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0F1F8A">
      <w:pPr>
        <w:rPr>
          <w:sz w:val="36"/>
          <w:szCs w:val="36"/>
        </w:rPr>
      </w:pPr>
    </w:p>
    <w:p w14:paraId="7FF5FD9A">
      <w:pPr>
        <w:rPr>
          <w:sz w:val="36"/>
          <w:szCs w:val="36"/>
        </w:rPr>
      </w:pPr>
      <w:r>
        <w:rPr>
          <w:sz w:val="36"/>
          <w:szCs w:val="36"/>
        </w:rPr>
        <w:drawing>
          <wp:anchor distT="0" distB="0" distL="114300" distR="114300" simplePos="0" relativeHeight="251668480" behindDoc="1" locked="0" layoutInCell="1" allowOverlap="1">
            <wp:simplePos x="0" y="0"/>
            <wp:positionH relativeFrom="column">
              <wp:posOffset>-1133475</wp:posOffset>
            </wp:positionH>
            <wp:positionV relativeFrom="paragraph">
              <wp:posOffset>-915035</wp:posOffset>
            </wp:positionV>
            <wp:extent cx="7560310" cy="10692130"/>
            <wp:effectExtent l="0" t="0" r="2540" b="1397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
                    <a:stretch>
                      <a:fillRect/>
                    </a:stretch>
                  </pic:blipFill>
                  <pic:spPr>
                    <a:xfrm>
                      <a:off x="0" y="0"/>
                      <a:ext cx="7560310" cy="10692130"/>
                    </a:xfrm>
                    <a:prstGeom prst="rect">
                      <a:avLst/>
                    </a:prstGeom>
                    <a:noFill/>
                    <a:ln>
                      <a:noFill/>
                    </a:ln>
                  </pic:spPr>
                </pic:pic>
              </a:graphicData>
            </a:graphic>
          </wp:anchor>
        </w:drawing>
      </w:r>
    </w:p>
    <w:p w14:paraId="3EE09CFF">
      <w:pPr>
        <w:rPr>
          <w:sz w:val="36"/>
          <w:szCs w:val="36"/>
        </w:rPr>
      </w:pPr>
    </w:p>
    <w:p w14:paraId="35AF963D">
      <w:pPr>
        <w:rPr>
          <w:sz w:val="36"/>
          <w:szCs w:val="36"/>
        </w:rPr>
      </w:pPr>
    </w:p>
    <w:p w14:paraId="4C17CAC6">
      <w:pPr>
        <w:rPr>
          <w:sz w:val="36"/>
          <w:szCs w:val="36"/>
        </w:rPr>
      </w:pPr>
    </w:p>
    <w:p w14:paraId="5795458C">
      <w:pPr>
        <w:rPr>
          <w:sz w:val="36"/>
          <w:szCs w:val="36"/>
        </w:rPr>
      </w:pPr>
    </w:p>
    <w:p w14:paraId="73F83DF0">
      <w:pPr>
        <w:adjustRightInd w:val="0"/>
        <w:snapToGrid w:val="0"/>
        <w:jc w:val="center"/>
        <w:outlineLvl w:val="9"/>
        <w:rPr>
          <w:rFonts w:ascii="方正小标宋_GBK" w:eastAsia="方正小标宋_GBK"/>
          <w:bCs/>
          <w:sz w:val="72"/>
          <w:szCs w:val="72"/>
        </w:rPr>
      </w:pPr>
      <w:bookmarkStart w:id="0" w:name="_Toc18361"/>
      <w:r>
        <w:rPr>
          <w:rFonts w:ascii="方正小标宋_GBK" w:eastAsia="方正小标宋_GBK"/>
          <w:bCs/>
          <w:sz w:val="72"/>
          <w:szCs w:val="72"/>
        </w:rPr>
        <w:t>建设项目环境影响报告表</w:t>
      </w:r>
      <w:bookmarkEnd w:id="0"/>
    </w:p>
    <w:p w14:paraId="2FBFF8AA">
      <w:pPr>
        <w:adjustRightInd w:val="0"/>
        <w:snapToGrid w:val="0"/>
        <w:spacing w:before="192" w:beforeLines="80"/>
        <w:jc w:val="center"/>
        <w:outlineLvl w:val="9"/>
        <w:rPr>
          <w:rFonts w:ascii="楷体_GB2312" w:eastAsia="楷体_GB2312"/>
          <w:bCs/>
          <w:sz w:val="48"/>
          <w:szCs w:val="48"/>
        </w:rPr>
      </w:pPr>
      <w:bookmarkStart w:id="1" w:name="_Toc27002"/>
      <w:r>
        <w:rPr>
          <w:rFonts w:ascii="楷体_GB2312" w:eastAsia="楷体_GB2312"/>
          <w:bCs/>
          <w:sz w:val="48"/>
          <w:szCs w:val="48"/>
        </w:rPr>
        <w:t>（污染影响类-</w:t>
      </w:r>
      <w:r>
        <w:rPr>
          <w:rFonts w:hint="eastAsia" w:ascii="楷体_GB2312" w:eastAsia="楷体_GB2312"/>
          <w:bCs/>
          <w:sz w:val="48"/>
          <w:szCs w:val="48"/>
          <w:lang w:val="en-US" w:eastAsia="zh-CN"/>
        </w:rPr>
        <w:t>报批</w:t>
      </w:r>
      <w:r>
        <w:rPr>
          <w:rFonts w:ascii="楷体_GB2312" w:eastAsia="楷体_GB2312"/>
          <w:bCs/>
          <w:sz w:val="48"/>
          <w:szCs w:val="48"/>
        </w:rPr>
        <w:t>稿）</w:t>
      </w:r>
      <w:bookmarkEnd w:id="1"/>
    </w:p>
    <w:p w14:paraId="023D3CDE">
      <w:pPr>
        <w:pStyle w:val="3"/>
        <w:ind w:firstLine="960"/>
        <w:rPr>
          <w:bCs/>
          <w:sz w:val="48"/>
          <w:szCs w:val="48"/>
        </w:rPr>
      </w:pPr>
    </w:p>
    <w:p w14:paraId="4D5E3B66">
      <w:pPr>
        <w:adjustRightInd w:val="0"/>
        <w:snapToGrid w:val="0"/>
        <w:spacing w:line="288" w:lineRule="auto"/>
        <w:jc w:val="center"/>
        <w:rPr>
          <w:kern w:val="44"/>
          <w:sz w:val="44"/>
          <w:szCs w:val="44"/>
        </w:rPr>
      </w:pPr>
    </w:p>
    <w:p w14:paraId="682C8AD8">
      <w:pPr>
        <w:jc w:val="center"/>
        <w:rPr>
          <w:sz w:val="52"/>
          <w:szCs w:val="52"/>
        </w:rPr>
      </w:pPr>
    </w:p>
    <w:p w14:paraId="1A8AF097">
      <w:pPr>
        <w:ind w:firstLine="1040"/>
        <w:rPr>
          <w:sz w:val="44"/>
          <w:szCs w:val="44"/>
        </w:rPr>
      </w:pPr>
    </w:p>
    <w:p w14:paraId="0D11EB6B">
      <w:pPr>
        <w:ind w:firstLine="1040"/>
        <w:rPr>
          <w:sz w:val="44"/>
          <w:szCs w:val="44"/>
        </w:rPr>
      </w:pPr>
    </w:p>
    <w:p w14:paraId="364BFB6F">
      <w:pPr>
        <w:ind w:firstLine="1040"/>
        <w:rPr>
          <w:sz w:val="44"/>
          <w:szCs w:val="44"/>
        </w:rPr>
      </w:pPr>
    </w:p>
    <w:p w14:paraId="710ED3B4">
      <w:pPr>
        <w:ind w:firstLine="1040"/>
        <w:rPr>
          <w:sz w:val="44"/>
          <w:szCs w:val="44"/>
        </w:rPr>
      </w:pPr>
    </w:p>
    <w:p w14:paraId="1A8DC8B8">
      <w:pPr>
        <w:adjustRightInd w:val="0"/>
        <w:snapToGrid w:val="0"/>
        <w:spacing w:line="288" w:lineRule="auto"/>
        <w:ind w:left="2163" w:leftChars="173" w:hanging="1800" w:hangingChars="500"/>
        <w:jc w:val="left"/>
        <w:rPr>
          <w:kern w:val="0"/>
          <w:sz w:val="36"/>
          <w:szCs w:val="36"/>
        </w:rPr>
      </w:pPr>
    </w:p>
    <w:p w14:paraId="5E31D212">
      <w:pPr>
        <w:adjustRightInd w:val="0"/>
        <w:snapToGrid w:val="0"/>
        <w:spacing w:line="288" w:lineRule="auto"/>
        <w:ind w:left="2163" w:leftChars="173" w:hanging="1800" w:hangingChars="500"/>
        <w:jc w:val="left"/>
        <w:rPr>
          <w:rFonts w:ascii="仿宋" w:hAnsi="仿宋" w:eastAsia="仿宋"/>
          <w:kern w:val="0"/>
          <w:sz w:val="36"/>
          <w:szCs w:val="36"/>
        </w:rPr>
      </w:pPr>
    </w:p>
    <w:p w14:paraId="647A7D16">
      <w:pPr>
        <w:adjustRightInd w:val="0"/>
        <w:snapToGrid w:val="0"/>
        <w:spacing w:line="288" w:lineRule="auto"/>
        <w:ind w:left="2163" w:leftChars="173" w:hanging="1800" w:hangingChars="500"/>
        <w:jc w:val="left"/>
        <w:rPr>
          <w:rFonts w:ascii="仿宋" w:hAnsi="仿宋" w:eastAsia="仿宋"/>
          <w:kern w:val="0"/>
          <w:sz w:val="36"/>
          <w:szCs w:val="36"/>
          <w:u w:val="single"/>
        </w:rPr>
      </w:pPr>
      <w:r>
        <w:rPr>
          <w:rFonts w:ascii="仿宋" w:hAnsi="仿宋" w:eastAsia="仿宋"/>
          <w:kern w:val="0"/>
          <w:sz w:val="36"/>
          <w:szCs w:val="36"/>
        </w:rPr>
        <w:t>项目名称：</w:t>
      </w:r>
      <w:r>
        <w:rPr>
          <w:rFonts w:hint="eastAsia" w:ascii="仿宋" w:hAnsi="仿宋" w:eastAsia="仿宋"/>
          <w:kern w:val="0"/>
          <w:sz w:val="36"/>
          <w:szCs w:val="36"/>
          <w:u w:val="single"/>
          <w:lang w:val="en-US" w:eastAsia="zh-CN"/>
        </w:rPr>
        <w:t>湖南童记三利和食品有限公司年</w:t>
      </w:r>
      <w:r>
        <w:rPr>
          <w:rFonts w:hint="default" w:ascii="仿宋" w:hAnsi="仿宋" w:eastAsia="仿宋"/>
          <w:kern w:val="0"/>
          <w:sz w:val="36"/>
          <w:szCs w:val="36"/>
          <w:u w:val="single"/>
        </w:rPr>
        <w:t>产5000吨肉制品</w:t>
      </w:r>
      <w:r>
        <w:rPr>
          <w:rFonts w:hint="eastAsia" w:ascii="仿宋" w:hAnsi="仿宋" w:eastAsia="仿宋"/>
          <w:kern w:val="0"/>
          <w:sz w:val="36"/>
          <w:szCs w:val="36"/>
          <w:u w:val="single"/>
          <w:lang w:val="en-US" w:eastAsia="zh-CN"/>
        </w:rPr>
        <w:t>和</w:t>
      </w:r>
      <w:r>
        <w:rPr>
          <w:rFonts w:hint="default" w:ascii="仿宋" w:hAnsi="仿宋" w:eastAsia="仿宋"/>
          <w:kern w:val="0"/>
          <w:sz w:val="36"/>
          <w:szCs w:val="36"/>
          <w:u w:val="single"/>
        </w:rPr>
        <w:t>3000吨鹌鹑蛋项目</w:t>
      </w:r>
      <w:r>
        <w:rPr>
          <w:rFonts w:hint="eastAsia" w:ascii="仿宋" w:hAnsi="仿宋" w:eastAsia="仿宋"/>
          <w:kern w:val="0"/>
          <w:sz w:val="36"/>
          <w:szCs w:val="36"/>
          <w:u w:val="single"/>
          <w:lang w:val="en-US" w:eastAsia="zh-CN"/>
        </w:rPr>
        <w:t xml:space="preserve">    </w:t>
      </w:r>
      <w:r>
        <w:rPr>
          <w:rFonts w:ascii="仿宋" w:hAnsi="仿宋" w:eastAsia="仿宋"/>
          <w:kern w:val="0"/>
          <w:sz w:val="36"/>
          <w:szCs w:val="36"/>
          <w:u w:val="single"/>
        </w:rPr>
        <w:t xml:space="preserve">   </w:t>
      </w:r>
    </w:p>
    <w:p w14:paraId="04CA594F">
      <w:pPr>
        <w:adjustRightInd w:val="0"/>
        <w:snapToGrid w:val="0"/>
        <w:spacing w:line="288" w:lineRule="auto"/>
        <w:ind w:left="1803" w:leftChars="173" w:hanging="1440" w:hangingChars="400"/>
        <w:jc w:val="left"/>
        <w:rPr>
          <w:rFonts w:ascii="仿宋" w:hAnsi="仿宋" w:eastAsia="仿宋"/>
          <w:kern w:val="0"/>
          <w:sz w:val="36"/>
          <w:szCs w:val="36"/>
          <w:u w:val="single"/>
        </w:rPr>
      </w:pPr>
      <w:r>
        <w:rPr>
          <w:rFonts w:ascii="仿宋" w:hAnsi="仿宋" w:eastAsia="仿宋"/>
          <w:kern w:val="0"/>
          <w:sz w:val="36"/>
          <w:szCs w:val="36"/>
        </w:rPr>
        <w:t>建设单位：</w:t>
      </w:r>
      <w:r>
        <w:rPr>
          <w:rFonts w:hint="eastAsia" w:ascii="仿宋" w:hAnsi="仿宋" w:eastAsia="仿宋"/>
          <w:kern w:val="0"/>
          <w:sz w:val="36"/>
          <w:szCs w:val="36"/>
          <w:u w:val="single"/>
          <w:lang w:val="en-US" w:eastAsia="zh-CN"/>
        </w:rPr>
        <w:t xml:space="preserve">    湖南童记三利和食品有限公司</w:t>
      </w:r>
      <w:r>
        <w:rPr>
          <w:rFonts w:ascii="仿宋" w:hAnsi="仿宋" w:eastAsia="仿宋"/>
          <w:kern w:val="0"/>
          <w:sz w:val="36"/>
          <w:szCs w:val="36"/>
          <w:u w:val="single"/>
        </w:rPr>
        <w:t xml:space="preserve">    </w:t>
      </w:r>
    </w:p>
    <w:p w14:paraId="208E0955">
      <w:pPr>
        <w:adjustRightInd w:val="0"/>
        <w:snapToGrid w:val="0"/>
        <w:spacing w:line="288" w:lineRule="auto"/>
        <w:ind w:left="1803" w:leftChars="173" w:hanging="1440" w:hangingChars="400"/>
        <w:jc w:val="left"/>
        <w:rPr>
          <w:rFonts w:ascii="仿宋" w:hAnsi="仿宋" w:eastAsia="仿宋"/>
          <w:kern w:val="0"/>
          <w:sz w:val="36"/>
          <w:szCs w:val="36"/>
          <w:u w:val="single"/>
        </w:rPr>
      </w:pPr>
      <w:r>
        <w:rPr>
          <w:rFonts w:ascii="仿宋" w:hAnsi="仿宋" w:eastAsia="仿宋"/>
          <w:kern w:val="0"/>
          <w:sz w:val="36"/>
          <w:szCs w:val="36"/>
        </w:rPr>
        <w:t>编制日期：</w:t>
      </w:r>
      <w:r>
        <w:rPr>
          <w:rFonts w:ascii="仿宋" w:hAnsi="仿宋" w:eastAsia="仿宋"/>
          <w:kern w:val="0"/>
          <w:sz w:val="36"/>
          <w:szCs w:val="36"/>
          <w:u w:val="single"/>
        </w:rPr>
        <w:t xml:space="preserve">          202</w:t>
      </w:r>
      <w:r>
        <w:rPr>
          <w:rFonts w:hint="eastAsia" w:ascii="仿宋" w:hAnsi="仿宋" w:eastAsia="仿宋"/>
          <w:kern w:val="0"/>
          <w:sz w:val="36"/>
          <w:szCs w:val="36"/>
          <w:u w:val="single"/>
          <w:lang w:val="en-US" w:eastAsia="zh-CN"/>
        </w:rPr>
        <w:t>5</w:t>
      </w:r>
      <w:r>
        <w:rPr>
          <w:rFonts w:ascii="仿宋" w:hAnsi="仿宋" w:eastAsia="仿宋"/>
          <w:kern w:val="0"/>
          <w:sz w:val="36"/>
          <w:szCs w:val="36"/>
          <w:u w:val="single"/>
        </w:rPr>
        <w:t>年</w:t>
      </w:r>
      <w:r>
        <w:rPr>
          <w:rFonts w:hint="eastAsia" w:ascii="仿宋" w:hAnsi="仿宋" w:eastAsia="仿宋"/>
          <w:kern w:val="0"/>
          <w:sz w:val="36"/>
          <w:szCs w:val="36"/>
          <w:u w:val="single"/>
          <w:lang w:val="en-US" w:eastAsia="zh-CN"/>
        </w:rPr>
        <w:t>06</w:t>
      </w:r>
      <w:r>
        <w:rPr>
          <w:rFonts w:ascii="仿宋" w:hAnsi="仿宋" w:eastAsia="仿宋"/>
          <w:kern w:val="0"/>
          <w:sz w:val="36"/>
          <w:szCs w:val="36"/>
          <w:u w:val="single"/>
        </w:rPr>
        <w:t xml:space="preserve">月             </w:t>
      </w:r>
    </w:p>
    <w:p w14:paraId="2D2E89AF">
      <w:pPr>
        <w:adjustRightInd w:val="0"/>
        <w:snapToGrid w:val="0"/>
        <w:spacing w:line="288" w:lineRule="auto"/>
        <w:jc w:val="both"/>
        <w:rPr>
          <w:rFonts w:hint="eastAsia" w:ascii="楷体_GB2312" w:eastAsia="楷体_GB2312"/>
          <w:sz w:val="36"/>
          <w:szCs w:val="36"/>
          <w:lang w:eastAsia="zh-CN"/>
        </w:rPr>
      </w:pPr>
    </w:p>
    <w:p w14:paraId="0C92123E">
      <w:pPr>
        <w:adjustRightInd w:val="0"/>
        <w:snapToGrid w:val="0"/>
        <w:spacing w:line="240" w:lineRule="auto"/>
        <w:jc w:val="both"/>
        <w:rPr>
          <w:rFonts w:hint="eastAsia" w:ascii="楷体_GB2312" w:eastAsia="楷体_GB2312"/>
          <w:sz w:val="36"/>
          <w:szCs w:val="36"/>
          <w:lang w:eastAsia="zh-CN"/>
        </w:rPr>
      </w:pPr>
    </w:p>
    <w:p w14:paraId="2105EAC1">
      <w:pPr>
        <w:adjustRightInd w:val="0"/>
        <w:snapToGrid w:val="0"/>
        <w:spacing w:line="288" w:lineRule="auto"/>
        <w:jc w:val="center"/>
        <w:rPr>
          <w:rFonts w:ascii="楷体_GB2312" w:eastAsia="楷体_GB2312"/>
          <w:sz w:val="36"/>
          <w:szCs w:val="36"/>
        </w:rPr>
      </w:pPr>
    </w:p>
    <w:p w14:paraId="73A17F20">
      <w:pPr>
        <w:spacing w:before="0" w:beforeLines="0" w:after="0" w:afterLines="0" w:line="360" w:lineRule="auto"/>
        <w:ind w:left="0" w:leftChars="0" w:right="0" w:rightChars="0" w:firstLine="0" w:firstLineChars="0"/>
        <w:jc w:val="center"/>
        <w:rPr>
          <w:rFonts w:ascii="楷体_GB2312" w:eastAsia="楷体_GB2312"/>
          <w:sz w:val="36"/>
          <w:szCs w:val="36"/>
        </w:rPr>
        <w:sectPr>
          <w:headerReference r:id="rId3" w:type="default"/>
          <w:footerReference r:id="rId4" w:type="default"/>
          <w:pgSz w:w="11906" w:h="16838"/>
          <w:pgMar w:top="1440" w:right="1803" w:bottom="1440" w:left="1803" w:header="851" w:footer="1077" w:gutter="0"/>
          <w:pgBorders>
            <w:top w:val="none" w:sz="0" w:space="0"/>
            <w:left w:val="none" w:sz="0" w:space="0"/>
            <w:bottom w:val="none" w:sz="0" w:space="0"/>
            <w:right w:val="none" w:sz="0" w:space="0"/>
          </w:pgBorders>
          <w:pgNumType w:fmt="upperRoman" w:start="1"/>
          <w:cols w:space="720" w:num="1"/>
          <w:docGrid w:linePitch="312" w:charSpace="0"/>
        </w:sectPr>
      </w:pPr>
      <w:r>
        <w:rPr>
          <w:rFonts w:ascii="楷体_GB2312" w:eastAsia="楷体_GB2312"/>
          <w:sz w:val="36"/>
          <w:szCs w:val="36"/>
        </w:rPr>
        <w:t>中华人民共和国生态环境部制</w:t>
      </w:r>
    </w:p>
    <w:p w14:paraId="290DEE74">
      <w:pPr>
        <w:spacing w:before="0" w:beforeLines="0" w:after="0" w:afterLines="0" w:line="360" w:lineRule="auto"/>
        <w:ind w:left="0" w:leftChars="0" w:right="0" w:rightChars="0" w:firstLine="0" w:firstLineChars="0"/>
        <w:jc w:val="center"/>
        <w:rPr>
          <w:rFonts w:hint="eastAsia" w:ascii="楷体_GB2312" w:eastAsia="楷体_GB2312"/>
          <w:sz w:val="36"/>
          <w:szCs w:val="36"/>
          <w:lang w:eastAsia="zh-CN"/>
        </w:rPr>
        <w:sectPr>
          <w:pgSz w:w="11906" w:h="16838"/>
          <w:pgMar w:top="1440" w:right="1803" w:bottom="1440" w:left="1803" w:header="851" w:footer="1077" w:gutter="0"/>
          <w:pgBorders>
            <w:top w:val="none" w:sz="0" w:space="0"/>
            <w:left w:val="none" w:sz="0" w:space="0"/>
            <w:bottom w:val="none" w:sz="0" w:space="0"/>
            <w:right w:val="none" w:sz="0" w:space="0"/>
          </w:pgBorders>
          <w:pgNumType w:fmt="upperRoman" w:start="1"/>
          <w:cols w:space="720" w:num="1"/>
          <w:docGrid w:linePitch="312" w:charSpace="0"/>
        </w:sectPr>
      </w:pPr>
      <w:r>
        <w:rPr>
          <w:rFonts w:hint="eastAsia" w:ascii="楷体_GB2312" w:eastAsia="楷体_GB2312"/>
          <w:sz w:val="36"/>
          <w:szCs w:val="36"/>
          <w:lang w:eastAsia="zh-CN"/>
        </w:rPr>
        <w:drawing>
          <wp:anchor distT="0" distB="0" distL="114300" distR="114300" simplePos="0" relativeHeight="251713536" behindDoc="0" locked="0" layoutInCell="1" allowOverlap="1">
            <wp:simplePos x="0" y="0"/>
            <wp:positionH relativeFrom="column">
              <wp:posOffset>-1155065</wp:posOffset>
            </wp:positionH>
            <wp:positionV relativeFrom="paragraph">
              <wp:posOffset>-893445</wp:posOffset>
            </wp:positionV>
            <wp:extent cx="7560310" cy="10701020"/>
            <wp:effectExtent l="0" t="0" r="2540" b="5080"/>
            <wp:wrapNone/>
            <wp:docPr id="98" name="图片 98" descr="湖南童记三利和封面_00"/>
            <wp:cNvGraphicFramePr/>
            <a:graphic xmlns:a="http://schemas.openxmlformats.org/drawingml/2006/main">
              <a:graphicData uri="http://schemas.openxmlformats.org/drawingml/2006/picture">
                <pic:pic xmlns:pic="http://schemas.openxmlformats.org/drawingml/2006/picture">
                  <pic:nvPicPr>
                    <pic:cNvPr id="98" name="图片 98" descr="湖南童记三利和封面_00"/>
                    <pic:cNvPicPr/>
                  </pic:nvPicPr>
                  <pic:blipFill>
                    <a:blip r:embed="rId14"/>
                    <a:stretch>
                      <a:fillRect/>
                    </a:stretch>
                  </pic:blipFill>
                  <pic:spPr>
                    <a:xfrm>
                      <a:off x="0" y="0"/>
                      <a:ext cx="7560310" cy="10701020"/>
                    </a:xfrm>
                    <a:prstGeom prst="rect">
                      <a:avLst/>
                    </a:prstGeom>
                  </pic:spPr>
                </pic:pic>
              </a:graphicData>
            </a:graphic>
          </wp:anchor>
        </w:drawing>
      </w:r>
    </w:p>
    <w:p w14:paraId="4F5AED1C">
      <w:pPr>
        <w:pStyle w:val="5"/>
        <w:keepNext w:val="0"/>
        <w:keepLines w:val="0"/>
        <w:widowControl/>
        <w:ind w:left="1429"/>
        <w:rPr>
          <w:rFonts w:hint="eastAsia" w:eastAsia="宋体"/>
          <w:lang w:eastAsia="zh-CN"/>
        </w:rPr>
        <w:sectPr>
          <w:pgSz w:w="11906" w:h="16838"/>
          <w:pgMar w:top="1440" w:right="1803" w:bottom="1440" w:left="1803" w:header="851" w:footer="1077" w:gutter="0"/>
          <w:pgBorders>
            <w:top w:val="none" w:sz="0" w:space="0"/>
            <w:left w:val="none" w:sz="0" w:space="0"/>
            <w:bottom w:val="none" w:sz="0" w:space="0"/>
            <w:right w:val="none" w:sz="0" w:space="0"/>
          </w:pgBorders>
          <w:pgNumType w:fmt="upperRoman" w:start="1"/>
          <w:cols w:space="720" w:num="1"/>
          <w:docGrid w:linePitch="312" w:charSpace="0"/>
        </w:sectPr>
      </w:pPr>
      <w:r>
        <w:rPr>
          <w:rFonts w:hint="eastAsia" w:eastAsia="宋体"/>
          <w:lang w:eastAsia="zh-CN"/>
        </w:rPr>
        <w:drawing>
          <wp:anchor distT="0" distB="0" distL="114300" distR="114300" simplePos="0" relativeHeight="251710464" behindDoc="0" locked="0" layoutInCell="1" allowOverlap="1">
            <wp:simplePos x="0" y="0"/>
            <wp:positionH relativeFrom="column">
              <wp:posOffset>-1139825</wp:posOffset>
            </wp:positionH>
            <wp:positionV relativeFrom="paragraph">
              <wp:posOffset>-908050</wp:posOffset>
            </wp:positionV>
            <wp:extent cx="7560310" cy="10692130"/>
            <wp:effectExtent l="0" t="0" r="2540" b="13970"/>
            <wp:wrapNone/>
            <wp:docPr id="22" name="图片 22" descr="附件资料_02"/>
            <wp:cNvGraphicFramePr/>
            <a:graphic xmlns:a="http://schemas.openxmlformats.org/drawingml/2006/main">
              <a:graphicData uri="http://schemas.openxmlformats.org/drawingml/2006/picture">
                <pic:pic xmlns:pic="http://schemas.openxmlformats.org/drawingml/2006/picture">
                  <pic:nvPicPr>
                    <pic:cNvPr id="22" name="图片 22" descr="附件资料_02"/>
                    <pic:cNvPicPr/>
                  </pic:nvPicPr>
                  <pic:blipFill>
                    <a:blip r:embed="rId15"/>
                    <a:stretch>
                      <a:fillRect/>
                    </a:stretch>
                  </pic:blipFill>
                  <pic:spPr>
                    <a:xfrm>
                      <a:off x="0" y="0"/>
                      <a:ext cx="7560310" cy="10692130"/>
                    </a:xfrm>
                    <a:prstGeom prst="rect">
                      <a:avLst/>
                    </a:prstGeom>
                  </pic:spPr>
                </pic:pic>
              </a:graphicData>
            </a:graphic>
          </wp:anchor>
        </w:drawing>
      </w:r>
    </w:p>
    <w:p w14:paraId="283C7FB1">
      <w:pPr>
        <w:spacing w:before="0" w:beforeLines="0" w:after="0" w:afterLines="0" w:line="360" w:lineRule="auto"/>
        <w:ind w:left="0" w:leftChars="0" w:right="0" w:rightChars="0" w:firstLine="0" w:firstLineChars="0"/>
        <w:jc w:val="center"/>
        <w:rPr>
          <w:rFonts w:hint="eastAsia" w:ascii="楷体_GB2312" w:eastAsia="楷体_GB2312"/>
          <w:sz w:val="36"/>
          <w:szCs w:val="36"/>
          <w:lang w:eastAsia="zh-CN"/>
        </w:rPr>
        <w:sectPr>
          <w:pgSz w:w="11906" w:h="16838"/>
          <w:pgMar w:top="1440" w:right="1803" w:bottom="1440" w:left="1803" w:header="851" w:footer="1077" w:gutter="0"/>
          <w:pgBorders>
            <w:top w:val="none" w:sz="0" w:space="0"/>
            <w:left w:val="none" w:sz="0" w:space="0"/>
            <w:bottom w:val="none" w:sz="0" w:space="0"/>
            <w:right w:val="none" w:sz="0" w:space="0"/>
          </w:pgBorders>
          <w:pgNumType w:fmt="upperRoman" w:start="1"/>
          <w:cols w:space="720" w:num="1"/>
          <w:docGrid w:linePitch="312" w:charSpace="0"/>
        </w:sectPr>
      </w:pPr>
      <w:r>
        <w:rPr>
          <w:rFonts w:hint="eastAsia" w:ascii="楷体_GB2312" w:eastAsia="楷体_GB2312"/>
          <w:sz w:val="36"/>
          <w:szCs w:val="36"/>
          <w:lang w:eastAsia="zh-CN"/>
        </w:rPr>
        <w:drawing>
          <wp:anchor distT="0" distB="0" distL="114300" distR="114300" simplePos="0" relativeHeight="251709440" behindDoc="0" locked="0" layoutInCell="1" allowOverlap="1">
            <wp:simplePos x="0" y="0"/>
            <wp:positionH relativeFrom="column">
              <wp:posOffset>-1143000</wp:posOffset>
            </wp:positionH>
            <wp:positionV relativeFrom="paragraph">
              <wp:posOffset>-908685</wp:posOffset>
            </wp:positionV>
            <wp:extent cx="7560310" cy="10692130"/>
            <wp:effectExtent l="0" t="0" r="2540" b="13970"/>
            <wp:wrapNone/>
            <wp:docPr id="6" name="图片 6" descr="编制情况承诺书_00"/>
            <wp:cNvGraphicFramePr/>
            <a:graphic xmlns:a="http://schemas.openxmlformats.org/drawingml/2006/main">
              <a:graphicData uri="http://schemas.openxmlformats.org/drawingml/2006/picture">
                <pic:pic xmlns:pic="http://schemas.openxmlformats.org/drawingml/2006/picture">
                  <pic:nvPicPr>
                    <pic:cNvPr id="6" name="图片 6" descr="编制情况承诺书_00"/>
                    <pic:cNvPicPr/>
                  </pic:nvPicPr>
                  <pic:blipFill>
                    <a:blip r:embed="rId16"/>
                    <a:stretch>
                      <a:fillRect/>
                    </a:stretch>
                  </pic:blipFill>
                  <pic:spPr>
                    <a:xfrm>
                      <a:off x="0" y="0"/>
                      <a:ext cx="7560310" cy="10692130"/>
                    </a:xfrm>
                    <a:prstGeom prst="rect">
                      <a:avLst/>
                    </a:prstGeom>
                  </pic:spPr>
                </pic:pic>
              </a:graphicData>
            </a:graphic>
          </wp:anchor>
        </w:drawing>
      </w:r>
    </w:p>
    <w:p w14:paraId="265735DF">
      <w:pPr>
        <w:spacing w:before="0" w:beforeLines="0" w:after="0" w:afterLines="0" w:line="360" w:lineRule="auto"/>
        <w:ind w:left="0" w:leftChars="0" w:right="0" w:rightChars="0" w:firstLine="0" w:firstLineChars="0"/>
        <w:jc w:val="center"/>
        <w:rPr>
          <w:rFonts w:hint="eastAsia" w:ascii="宋体" w:hAnsi="宋体" w:eastAsia="宋体" w:cs="宋体"/>
          <w:b/>
          <w:bCs/>
          <w:sz w:val="28"/>
          <w:szCs w:val="28"/>
          <w:lang w:val="en-US" w:eastAsia="zh-CN"/>
        </w:r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4"/>
      </w:tblGrid>
      <w:tr w14:paraId="5CB31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04" w:type="dxa"/>
          </w:tcPr>
          <w:p w14:paraId="6C5D604F">
            <w:pPr>
              <w:spacing w:before="0" w:beforeLines="0" w:after="0" w:afterLines="0" w:line="360" w:lineRule="auto"/>
              <w:ind w:right="0" w:rightChars="0"/>
              <w:jc w:val="center"/>
              <w:rPr>
                <w:rFonts w:hint="default" w:ascii="楷体_GB2312" w:eastAsia="楷体_GB2312"/>
                <w:sz w:val="36"/>
                <w:szCs w:val="36"/>
                <w:vertAlign w:val="baseline"/>
                <w:lang w:val="en-US" w:eastAsia="zh-CN"/>
              </w:rPr>
            </w:pPr>
            <w:r>
              <w:rPr>
                <w:rFonts w:hint="default" w:ascii="楷体_GB2312" w:eastAsia="楷体_GB2312"/>
                <w:sz w:val="36"/>
                <w:szCs w:val="36"/>
                <w:vertAlign w:val="baseline"/>
                <w:lang w:val="en-US" w:eastAsia="zh-CN"/>
              </w:rPr>
              <w:drawing>
                <wp:inline distT="0" distB="0" distL="114300" distR="114300">
                  <wp:extent cx="5255260" cy="2451100"/>
                  <wp:effectExtent l="0" t="0" r="2540" b="6350"/>
                  <wp:docPr id="1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
                          <pic:cNvPicPr>
                            <a:picLocks noChangeAspect="1"/>
                          </pic:cNvPicPr>
                        </pic:nvPicPr>
                        <pic:blipFill>
                          <a:blip r:embed="rId17"/>
                          <a:stretch>
                            <a:fillRect/>
                          </a:stretch>
                        </pic:blipFill>
                        <pic:spPr>
                          <a:xfrm>
                            <a:off x="0" y="0"/>
                            <a:ext cx="5255260" cy="2451100"/>
                          </a:xfrm>
                          <a:prstGeom prst="rect">
                            <a:avLst/>
                          </a:prstGeom>
                          <a:noFill/>
                          <a:ln>
                            <a:noFill/>
                          </a:ln>
                        </pic:spPr>
                      </pic:pic>
                    </a:graphicData>
                  </a:graphic>
                </wp:inline>
              </w:drawing>
            </w:r>
          </w:p>
        </w:tc>
      </w:tr>
    </w:tbl>
    <w:p w14:paraId="279E1477">
      <w:pPr>
        <w:spacing w:before="0" w:beforeLines="0" w:after="0" w:afterLines="0" w:line="360" w:lineRule="auto"/>
        <w:ind w:left="0" w:leftChars="0" w:right="0" w:rightChars="0" w:firstLine="0" w:firstLineChars="0"/>
        <w:jc w:val="cente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编制单位在环评信用平台截图</w:t>
      </w:r>
    </w:p>
    <w:p w14:paraId="0AF04F65">
      <w:pPr>
        <w:outlineLvl w:val="9"/>
        <w:rPr>
          <w:rFonts w:hint="default"/>
          <w:lang w:val="en-US" w:eastAsia="zh-CN"/>
        </w:rPr>
      </w:pP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9004"/>
      </w:tblGrid>
      <w:tr w14:paraId="4571F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9004" w:type="dxa"/>
          </w:tcPr>
          <w:p w14:paraId="51846F5C">
            <w:pPr>
              <w:spacing w:before="0" w:beforeLines="0" w:after="0" w:afterLines="0" w:line="360" w:lineRule="auto"/>
              <w:ind w:right="0" w:rightChars="0"/>
              <w:jc w:val="center"/>
              <w:rPr>
                <w:rFonts w:hint="default" w:ascii="楷体_GB2312" w:eastAsia="楷体_GB2312"/>
                <w:sz w:val="36"/>
                <w:szCs w:val="36"/>
                <w:vertAlign w:val="baseline"/>
                <w:lang w:val="en-US" w:eastAsia="zh-CN"/>
              </w:rPr>
            </w:pPr>
            <w:r>
              <w:rPr>
                <w:rFonts w:hint="default" w:ascii="楷体_GB2312" w:eastAsia="楷体_GB2312"/>
                <w:sz w:val="36"/>
                <w:szCs w:val="36"/>
                <w:vertAlign w:val="baseline"/>
                <w:lang w:val="en-US" w:eastAsia="zh-CN"/>
              </w:rPr>
              <w:drawing>
                <wp:inline distT="0" distB="0" distL="114300" distR="114300">
                  <wp:extent cx="5259070" cy="2710815"/>
                  <wp:effectExtent l="0" t="0" r="17780" b="13335"/>
                  <wp:docPr id="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
                          <pic:cNvPicPr>
                            <a:picLocks noChangeAspect="1"/>
                          </pic:cNvPicPr>
                        </pic:nvPicPr>
                        <pic:blipFill>
                          <a:blip r:embed="rId18"/>
                          <a:stretch>
                            <a:fillRect/>
                          </a:stretch>
                        </pic:blipFill>
                        <pic:spPr>
                          <a:xfrm>
                            <a:off x="0" y="0"/>
                            <a:ext cx="5259070" cy="2710815"/>
                          </a:xfrm>
                          <a:prstGeom prst="rect">
                            <a:avLst/>
                          </a:prstGeom>
                          <a:noFill/>
                          <a:ln>
                            <a:noFill/>
                          </a:ln>
                        </pic:spPr>
                      </pic:pic>
                    </a:graphicData>
                  </a:graphic>
                </wp:inline>
              </w:drawing>
            </w:r>
          </w:p>
        </w:tc>
      </w:tr>
    </w:tbl>
    <w:p w14:paraId="449377CB">
      <w:pPr>
        <w:jc w:val="center"/>
        <w:outlineLvl w:val="9"/>
        <w:rPr>
          <w:rFonts w:hint="default"/>
          <w:lang w:val="en-US" w:eastAsia="zh-CN"/>
        </w:rPr>
      </w:pPr>
      <w:r>
        <w:rPr>
          <w:rFonts w:hint="default"/>
          <w:b/>
          <w:bCs w:val="0"/>
          <w:sz w:val="28"/>
          <w:szCs w:val="28"/>
          <w:lang w:val="en-US" w:eastAsia="zh-CN"/>
        </w:rPr>
        <w:t>编制主持人在环评信用平台截图</w:t>
      </w:r>
    </w:p>
    <w:p w14:paraId="146DD4B1">
      <w:pPr>
        <w:outlineLvl w:val="9"/>
        <w:rPr>
          <w:rFonts w:hint="default"/>
          <w:lang w:val="en-US" w:eastAsia="zh-CN"/>
        </w:rPr>
      </w:pPr>
    </w:p>
    <w:p w14:paraId="028BF13D">
      <w:pPr>
        <w:pStyle w:val="5"/>
        <w:rPr>
          <w:rFonts w:hint="default"/>
          <w:lang w:val="en-US" w:eastAsia="zh-CN"/>
        </w:rPr>
        <w:sectPr>
          <w:pgSz w:w="11906" w:h="16838"/>
          <w:pgMar w:top="1417" w:right="1417" w:bottom="1417" w:left="1701" w:header="851" w:footer="1077" w:gutter="0"/>
          <w:pgBorders>
            <w:top w:val="none" w:sz="0" w:space="0"/>
            <w:left w:val="none" w:sz="0" w:space="0"/>
            <w:bottom w:val="none" w:sz="0" w:space="0"/>
            <w:right w:val="none" w:sz="0" w:space="0"/>
          </w:pgBorders>
          <w:pgNumType w:fmt="upperRoman" w:start="1"/>
          <w:cols w:space="720" w:num="1"/>
          <w:docGrid w:linePitch="312" w:charSpace="0"/>
        </w:sectPr>
      </w:pPr>
    </w:p>
    <w:p w14:paraId="1A4088B6">
      <w:pPr>
        <w:spacing w:before="0" w:beforeLines="0" w:after="0" w:afterLines="0" w:line="360" w:lineRule="auto"/>
        <w:ind w:left="0" w:leftChars="0" w:right="0" w:rightChars="0" w:firstLine="0" w:firstLineChars="0"/>
        <w:jc w:val="left"/>
        <w:rPr>
          <w:rFonts w:hint="eastAsia" w:ascii="Times New Roman" w:eastAsia="宋体"/>
          <w:b/>
          <w:bCs/>
          <w:sz w:val="24"/>
          <w:lang w:val="en-US" w:eastAsia="zh-CN"/>
        </w:rPr>
      </w:pPr>
      <w:r>
        <w:rPr>
          <w:rFonts w:hint="eastAsia" w:ascii="Times New Roman" w:eastAsia="宋体"/>
          <w:b/>
          <w:bCs/>
          <w:sz w:val="24"/>
          <w:lang w:val="en-US" w:eastAsia="zh-CN"/>
        </w:rPr>
        <w:t>编制主持人社保证明</w:t>
      </w:r>
    </w:p>
    <w:p w14:paraId="6510F6C9">
      <w:pPr>
        <w:spacing w:before="0" w:beforeLines="0" w:after="0" w:afterLines="0" w:line="360" w:lineRule="auto"/>
        <w:ind w:left="0" w:leftChars="0" w:right="0" w:rightChars="0" w:firstLine="0" w:firstLineChars="0"/>
        <w:jc w:val="left"/>
        <w:rPr>
          <w:rFonts w:hint="eastAsia" w:ascii="Times New Roman" w:eastAsia="宋体"/>
          <w:b/>
          <w:bCs/>
          <w:sz w:val="24"/>
          <w:lang w:val="en-US" w:eastAsia="zh-CN"/>
        </w:rPr>
      </w:pPr>
      <w:r>
        <w:rPr>
          <w:rFonts w:hint="eastAsia" w:ascii="Times New Roman" w:eastAsia="宋体"/>
          <w:b/>
          <w:bCs/>
          <w:sz w:val="24"/>
          <w:lang w:val="en-US" w:eastAsia="zh-CN"/>
        </w:rPr>
        <w:drawing>
          <wp:inline distT="0" distB="0" distL="114300" distR="114300">
            <wp:extent cx="5267960" cy="7453630"/>
            <wp:effectExtent l="0" t="0" r="8890" b="13970"/>
            <wp:docPr id="124" name="图片 124" descr="参保证明缴费明细-20250402112532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参保证明缴费明细-20250402112532_00"/>
                    <pic:cNvPicPr>
                      <a:picLocks noChangeAspect="1"/>
                    </pic:cNvPicPr>
                  </pic:nvPicPr>
                  <pic:blipFill>
                    <a:blip r:embed="rId19"/>
                    <a:stretch>
                      <a:fillRect/>
                    </a:stretch>
                  </pic:blipFill>
                  <pic:spPr>
                    <a:xfrm>
                      <a:off x="0" y="0"/>
                      <a:ext cx="5267960" cy="7453630"/>
                    </a:xfrm>
                    <a:prstGeom prst="rect">
                      <a:avLst/>
                    </a:prstGeom>
                  </pic:spPr>
                </pic:pic>
              </a:graphicData>
            </a:graphic>
          </wp:inline>
        </w:drawing>
      </w:r>
    </w:p>
    <w:p w14:paraId="3D7CB5E3">
      <w:pPr>
        <w:spacing w:before="0" w:beforeLines="0" w:after="0" w:afterLines="0" w:line="360" w:lineRule="auto"/>
        <w:ind w:left="0" w:leftChars="0" w:right="0" w:rightChars="0" w:firstLine="0" w:firstLineChars="0"/>
        <w:jc w:val="left"/>
        <w:rPr>
          <w:rFonts w:hint="eastAsia" w:ascii="Times New Roman" w:eastAsia="宋体"/>
          <w:b/>
          <w:bCs/>
          <w:sz w:val="24"/>
          <w:lang w:val="en-US" w:eastAsia="zh-CN"/>
        </w:rPr>
      </w:pPr>
      <w:r>
        <w:rPr>
          <w:rFonts w:hint="eastAsia" w:ascii="Times New Roman" w:eastAsia="宋体"/>
          <w:b/>
          <w:bCs/>
          <w:sz w:val="24"/>
          <w:lang w:val="en-US" w:eastAsia="zh-CN"/>
        </w:rPr>
        <w:drawing>
          <wp:inline distT="0" distB="0" distL="114300" distR="114300">
            <wp:extent cx="5267960" cy="7453630"/>
            <wp:effectExtent l="0" t="0" r="8890" b="13970"/>
            <wp:docPr id="125" name="图片 125" descr="参保证明缴费明细-2025040211253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参保证明缴费明细-20250402112532_01"/>
                    <pic:cNvPicPr>
                      <a:picLocks noChangeAspect="1"/>
                    </pic:cNvPicPr>
                  </pic:nvPicPr>
                  <pic:blipFill>
                    <a:blip r:embed="rId20"/>
                    <a:stretch>
                      <a:fillRect/>
                    </a:stretch>
                  </pic:blipFill>
                  <pic:spPr>
                    <a:xfrm>
                      <a:off x="0" y="0"/>
                      <a:ext cx="5267960" cy="7453630"/>
                    </a:xfrm>
                    <a:prstGeom prst="rect">
                      <a:avLst/>
                    </a:prstGeom>
                  </pic:spPr>
                </pic:pic>
              </a:graphicData>
            </a:graphic>
          </wp:inline>
        </w:drawing>
      </w:r>
    </w:p>
    <w:p w14:paraId="7748793C">
      <w:pPr>
        <w:spacing w:before="0" w:beforeLines="0" w:after="0" w:afterLines="0" w:line="360" w:lineRule="auto"/>
        <w:ind w:left="0" w:leftChars="0" w:right="0" w:rightChars="0" w:firstLine="0" w:firstLineChars="0"/>
        <w:jc w:val="left"/>
        <w:sectPr>
          <w:pgSz w:w="11906" w:h="16838"/>
          <w:pgMar w:top="1417" w:right="1417" w:bottom="1417" w:left="1701" w:header="851" w:footer="1077" w:gutter="0"/>
          <w:pgBorders>
            <w:top w:val="none" w:sz="0" w:space="0"/>
            <w:left w:val="none" w:sz="0" w:space="0"/>
            <w:bottom w:val="none" w:sz="0" w:space="0"/>
            <w:right w:val="none" w:sz="0" w:space="0"/>
          </w:pgBorders>
          <w:pgNumType w:fmt="upperRoman" w:start="1"/>
          <w:cols w:space="720" w:num="1"/>
          <w:docGrid w:linePitch="312" w:charSpace="0"/>
        </w:sectPr>
      </w:pPr>
    </w:p>
    <w:p w14:paraId="71837E7A">
      <w:pPr>
        <w:widowControl/>
        <w:spacing w:line="360" w:lineRule="auto"/>
        <w:ind w:firstLine="0" w:firstLineChars="0"/>
        <w:jc w:val="center"/>
        <w:rPr>
          <w:rFonts w:hint="default" w:ascii="Times New Roman" w:hAnsi="Times New Roman" w:eastAsia="宋体" w:cs="Times New Roman"/>
          <w:b/>
          <w:bCs/>
          <w:kern w:val="0"/>
          <w:sz w:val="28"/>
          <w:szCs w:val="28"/>
          <w:lang w:val="en-US" w:eastAsia="zh-CN"/>
        </w:rPr>
      </w:pPr>
      <w:r>
        <w:rPr>
          <w:rFonts w:hint="eastAsia" w:ascii="Times New Roman" w:hAnsi="Times New Roman" w:eastAsia="宋体" w:cs="Times New Roman"/>
          <w:b/>
          <w:bCs/>
          <w:kern w:val="0"/>
          <w:sz w:val="28"/>
          <w:szCs w:val="28"/>
          <w:lang w:val="en-US" w:eastAsia="zh-CN"/>
        </w:rPr>
        <w:t>湖南童记三利和食品有限公司年产5000吨肉制品和3000吨鹌鹑蛋项目</w:t>
      </w:r>
    </w:p>
    <w:p w14:paraId="1F634560">
      <w:pPr>
        <w:widowControl/>
        <w:spacing w:line="360" w:lineRule="auto"/>
        <w:ind w:firstLine="0" w:firstLineChars="0"/>
        <w:jc w:val="center"/>
        <w:rPr>
          <w:rFonts w:hint="default" w:ascii="Times New Roman" w:hAnsi="Times New Roman" w:eastAsia="宋体" w:cs="Times New Roman"/>
          <w:b/>
          <w:bCs/>
          <w:kern w:val="0"/>
          <w:sz w:val="28"/>
          <w:szCs w:val="28"/>
          <w:lang w:val="en-US" w:eastAsia="zh-CN"/>
        </w:rPr>
      </w:pPr>
      <w:r>
        <w:rPr>
          <w:rFonts w:hint="default" w:ascii="Times New Roman" w:hAnsi="Times New Roman" w:eastAsia="宋体" w:cs="Times New Roman"/>
          <w:b/>
          <w:bCs/>
          <w:kern w:val="0"/>
          <w:sz w:val="28"/>
          <w:szCs w:val="28"/>
          <w:lang w:val="en-US" w:eastAsia="zh-CN"/>
        </w:rPr>
        <w:t>环境影响报告表技术审查意见修改清单</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4077"/>
        <w:gridCol w:w="4056"/>
      </w:tblGrid>
      <w:tr w14:paraId="49511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2C441314">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序号</w:t>
            </w:r>
          </w:p>
        </w:tc>
        <w:tc>
          <w:tcPr>
            <w:tcW w:w="2265" w:type="pct"/>
            <w:vAlign w:val="center"/>
          </w:tcPr>
          <w:p w14:paraId="127A4FE6">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评审意见</w:t>
            </w:r>
          </w:p>
        </w:tc>
        <w:tc>
          <w:tcPr>
            <w:tcW w:w="2253" w:type="pct"/>
            <w:vAlign w:val="center"/>
          </w:tcPr>
          <w:p w14:paraId="6321EADE">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b/>
                <w:bCs/>
                <w:kern w:val="2"/>
                <w:sz w:val="21"/>
                <w:szCs w:val="21"/>
              </w:rPr>
            </w:pPr>
            <w:r>
              <w:rPr>
                <w:rFonts w:hint="default" w:ascii="Times New Roman" w:hAnsi="Times New Roman" w:eastAsia="宋体" w:cs="Times New Roman"/>
                <w:b/>
                <w:bCs/>
                <w:kern w:val="2"/>
                <w:sz w:val="21"/>
                <w:szCs w:val="21"/>
              </w:rPr>
              <w:t>修改说明</w:t>
            </w:r>
          </w:p>
        </w:tc>
      </w:tr>
      <w:tr w14:paraId="0A625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15B06722">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1</w:t>
            </w:r>
          </w:p>
        </w:tc>
        <w:tc>
          <w:tcPr>
            <w:tcW w:w="2265" w:type="pct"/>
            <w:vAlign w:val="center"/>
          </w:tcPr>
          <w:p w14:paraId="2EA7A1F7">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left"/>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细化项目由来，调查君山产业开发区荆江门片区规划情况，完善与规划符合习性分析；结合园区集中供热情况，分析项目建设一台4t/h生物质蒸汽锅炉合理性、必要性，补充园区意见</w:t>
            </w:r>
          </w:p>
        </w:tc>
        <w:tc>
          <w:tcPr>
            <w:tcW w:w="2253" w:type="pct"/>
            <w:vAlign w:val="center"/>
          </w:tcPr>
          <w:p w14:paraId="0CD2A9D0">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eastAsia="zh-CN"/>
              </w:rPr>
              <w:t>已</w:t>
            </w:r>
            <w:r>
              <w:rPr>
                <w:rFonts w:hint="eastAsia" w:ascii="Times New Roman" w:hAnsi="Times New Roman" w:eastAsia="宋体" w:cs="Times New Roman"/>
                <w:kern w:val="2"/>
                <w:sz w:val="21"/>
                <w:szCs w:val="21"/>
                <w:lang w:val="en-US" w:eastAsia="zh-CN"/>
              </w:rPr>
              <w:t>细化项目由来，详见P16；</w:t>
            </w:r>
          </w:p>
          <w:p w14:paraId="1731480D">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rPr>
            </w:pPr>
            <w:r>
              <w:rPr>
                <w:rFonts w:hint="eastAsia" w:ascii="Times New Roman" w:hAnsi="Times New Roman" w:eastAsia="宋体" w:cs="Times New Roman"/>
                <w:kern w:val="2"/>
                <w:sz w:val="21"/>
                <w:szCs w:val="21"/>
                <w:lang w:val="en-US" w:eastAsia="zh-CN"/>
              </w:rPr>
              <w:t>已调查君山产业开发区荆江门片区规划情况</w:t>
            </w:r>
            <w:r>
              <w:rPr>
                <w:rFonts w:hint="eastAsia"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lang w:val="en-US" w:eastAsia="zh-CN"/>
              </w:rPr>
              <w:t>完善与规划符合习性分析</w:t>
            </w:r>
            <w:r>
              <w:rPr>
                <w:rFonts w:hint="eastAsia" w:cs="Times New Roman"/>
                <w:kern w:val="2"/>
                <w:sz w:val="21"/>
                <w:szCs w:val="21"/>
                <w:lang w:val="en-US" w:eastAsia="zh-CN"/>
              </w:rPr>
              <w:t>，</w:t>
            </w:r>
            <w:r>
              <w:rPr>
                <w:rFonts w:hint="eastAsia" w:ascii="Times New Roman" w:hAnsi="Times New Roman" w:eastAsia="宋体" w:cs="Times New Roman"/>
                <w:kern w:val="2"/>
                <w:sz w:val="21"/>
                <w:szCs w:val="21"/>
                <w:highlight w:val="none"/>
                <w:lang w:eastAsia="zh-CN"/>
              </w:rPr>
              <w:t>详见</w:t>
            </w:r>
            <w:r>
              <w:rPr>
                <w:rFonts w:hint="default" w:ascii="Times New Roman" w:hAnsi="Times New Roman" w:eastAsia="宋体" w:cs="Times New Roman"/>
                <w:kern w:val="2"/>
                <w:sz w:val="21"/>
                <w:szCs w:val="21"/>
                <w:highlight w:val="none"/>
              </w:rPr>
              <w:t>P</w:t>
            </w:r>
            <w:r>
              <w:rPr>
                <w:rFonts w:hint="eastAsia" w:cs="Times New Roman"/>
                <w:kern w:val="2"/>
                <w:sz w:val="21"/>
                <w:szCs w:val="21"/>
                <w:highlight w:val="none"/>
                <w:lang w:val="en-US" w:eastAsia="zh-CN"/>
              </w:rPr>
              <w:t>9-P11</w:t>
            </w:r>
            <w:r>
              <w:rPr>
                <w:rFonts w:hint="default" w:ascii="Times New Roman" w:hAnsi="Times New Roman" w:eastAsia="宋体" w:cs="Times New Roman"/>
                <w:kern w:val="2"/>
                <w:sz w:val="21"/>
                <w:szCs w:val="21"/>
                <w:highlight w:val="none"/>
              </w:rPr>
              <w:t>；</w:t>
            </w:r>
          </w:p>
          <w:p w14:paraId="5DB5B3CE">
            <w:pPr>
              <w:keepNext w:val="0"/>
              <w:keepLines w:val="0"/>
              <w:widowControl/>
              <w:suppressLineNumbers w:val="0"/>
              <w:autoSpaceDE/>
              <w:autoSpaceDN/>
              <w:spacing w:before="0" w:beforeLines="0" w:beforeAutospacing="0" w:after="0" w:afterLines="0" w:afterAutospacing="0" w:line="240" w:lineRule="auto"/>
              <w:ind w:left="0" w:right="0" w:firstLine="0" w:firstLineChars="0"/>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已</w:t>
            </w:r>
            <w:r>
              <w:rPr>
                <w:rFonts w:hint="eastAsia" w:ascii="Times New Roman" w:hAnsi="Times New Roman" w:eastAsia="宋体" w:cs="Times New Roman"/>
                <w:kern w:val="2"/>
                <w:sz w:val="21"/>
                <w:szCs w:val="21"/>
                <w:lang w:val="en-US" w:eastAsia="zh-CN"/>
              </w:rPr>
              <w:t>结合园区集中供热情况，分析项目建设一台4t/h生物质蒸汽锅炉合理性、必要性，</w:t>
            </w:r>
            <w:r>
              <w:rPr>
                <w:rFonts w:hint="eastAsia" w:ascii="Times New Roman" w:hAnsi="Times New Roman" w:eastAsia="宋体" w:cs="Times New Roman"/>
                <w:kern w:val="2"/>
                <w:sz w:val="21"/>
                <w:szCs w:val="21"/>
                <w:lang w:eastAsia="zh-CN"/>
              </w:rPr>
              <w:t>详见</w:t>
            </w:r>
            <w:r>
              <w:rPr>
                <w:rFonts w:hint="default" w:ascii="Times New Roman" w:hAnsi="Times New Roman" w:eastAsia="宋体" w:cs="Times New Roman"/>
                <w:kern w:val="2"/>
                <w:sz w:val="21"/>
                <w:szCs w:val="21"/>
              </w:rPr>
              <w:t>P</w:t>
            </w:r>
            <w:r>
              <w:rPr>
                <w:rFonts w:hint="eastAsia" w:ascii="Times New Roman" w:hAnsi="Times New Roman" w:eastAsia="宋体" w:cs="Times New Roman"/>
                <w:kern w:val="2"/>
                <w:sz w:val="21"/>
                <w:szCs w:val="21"/>
                <w:lang w:val="en-US" w:eastAsia="zh-CN"/>
              </w:rPr>
              <w:t>16</w:t>
            </w:r>
            <w:r>
              <w:rPr>
                <w:rFonts w:hint="default" w:ascii="Times New Roman" w:hAnsi="Times New Roman" w:eastAsia="宋体" w:cs="Times New Roman"/>
                <w:kern w:val="2"/>
                <w:sz w:val="21"/>
                <w:szCs w:val="21"/>
              </w:rPr>
              <w:t>；</w:t>
            </w:r>
          </w:p>
          <w:p w14:paraId="068BD468">
            <w:pPr>
              <w:keepNext w:val="0"/>
              <w:keepLines w:val="0"/>
              <w:widowControl/>
              <w:suppressLineNumbers w:val="0"/>
              <w:autoSpaceDE/>
              <w:autoSpaceDN/>
              <w:spacing w:before="0" w:beforeLines="0" w:beforeAutospacing="0" w:after="0" w:afterLines="0" w:afterAutospacing="0" w:line="240" w:lineRule="auto"/>
              <w:ind w:left="0" w:right="0" w:firstLine="0" w:firstLineChars="0"/>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highlight w:val="none"/>
                <w:lang w:val="en-US" w:eastAsia="zh-CN"/>
              </w:rPr>
              <w:t>已补充园区意见，详见P</w:t>
            </w:r>
            <w:r>
              <w:rPr>
                <w:rFonts w:hint="eastAsia" w:cs="Times New Roman"/>
                <w:kern w:val="2"/>
                <w:sz w:val="21"/>
                <w:szCs w:val="21"/>
                <w:highlight w:val="none"/>
                <w:lang w:val="en-US" w:eastAsia="zh-CN"/>
              </w:rPr>
              <w:t>114</w:t>
            </w:r>
          </w:p>
        </w:tc>
      </w:tr>
      <w:tr w14:paraId="00C4B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73E1EE51">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2</w:t>
            </w:r>
          </w:p>
        </w:tc>
        <w:tc>
          <w:tcPr>
            <w:tcW w:w="2265" w:type="pct"/>
            <w:vAlign w:val="center"/>
          </w:tcPr>
          <w:p w14:paraId="0E95573A">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left"/>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强化生产废水处理系统等依托工程的可靠性分析，明确冷库冷媒，核实原辅材料种类、用量，对原料来源提出限制要求，细化产品方案，核实设备清单，强化项目产能匹配性分析</w:t>
            </w:r>
          </w:p>
        </w:tc>
        <w:tc>
          <w:tcPr>
            <w:tcW w:w="2253" w:type="pct"/>
            <w:vAlign w:val="center"/>
          </w:tcPr>
          <w:p w14:paraId="5B2751E4">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eastAsia" w:ascii="Times New Roman" w:hAnsi="Times New Roman" w:eastAsia="宋体" w:cs="Times New Roman"/>
                <w:kern w:val="2"/>
                <w:sz w:val="21"/>
                <w:szCs w:val="21"/>
                <w:highlight w:val="yellow"/>
                <w:lang w:val="en-US" w:eastAsia="zh-CN"/>
              </w:rPr>
            </w:pPr>
            <w:r>
              <w:rPr>
                <w:rFonts w:hint="default" w:ascii="Times New Roman" w:hAnsi="Times New Roman" w:eastAsia="宋体" w:cs="Times New Roman"/>
                <w:kern w:val="2"/>
                <w:sz w:val="21"/>
                <w:szCs w:val="21"/>
              </w:rPr>
              <w:t>已</w:t>
            </w:r>
            <w:r>
              <w:rPr>
                <w:rFonts w:hint="eastAsia" w:ascii="Times New Roman" w:hAnsi="Times New Roman" w:eastAsia="宋体" w:cs="Times New Roman"/>
                <w:kern w:val="2"/>
                <w:sz w:val="21"/>
                <w:szCs w:val="21"/>
                <w:lang w:val="en-US" w:eastAsia="zh-CN"/>
              </w:rPr>
              <w:t>强化生产废水处理系统等依托工程的可靠性分析</w:t>
            </w:r>
            <w:r>
              <w:rPr>
                <w:rFonts w:hint="eastAsia" w:ascii="Times New Roman" w:hAnsi="Times New Roman" w:eastAsia="宋体" w:cs="Times New Roman"/>
                <w:kern w:val="2"/>
                <w:sz w:val="21"/>
                <w:szCs w:val="21"/>
                <w:lang w:eastAsia="zh-CN"/>
              </w:rPr>
              <w:t>，</w:t>
            </w:r>
            <w:r>
              <w:rPr>
                <w:rFonts w:hint="eastAsia" w:ascii="Times New Roman" w:hAnsi="Times New Roman" w:eastAsia="宋体" w:cs="Times New Roman"/>
                <w:kern w:val="2"/>
                <w:sz w:val="21"/>
                <w:szCs w:val="21"/>
                <w:highlight w:val="none"/>
                <w:lang w:eastAsia="zh-CN"/>
              </w:rPr>
              <w:t>详见</w:t>
            </w:r>
            <w:r>
              <w:rPr>
                <w:rFonts w:hint="default" w:ascii="Times New Roman" w:hAnsi="Times New Roman" w:eastAsia="宋体" w:cs="Times New Roman"/>
                <w:kern w:val="2"/>
                <w:sz w:val="21"/>
                <w:szCs w:val="21"/>
                <w:highlight w:val="none"/>
              </w:rPr>
              <w:t>P</w:t>
            </w:r>
            <w:r>
              <w:rPr>
                <w:rFonts w:hint="eastAsia" w:ascii="Times New Roman" w:hAnsi="Times New Roman" w:eastAsia="宋体" w:cs="Times New Roman"/>
                <w:kern w:val="2"/>
                <w:sz w:val="21"/>
                <w:szCs w:val="21"/>
                <w:highlight w:val="none"/>
                <w:lang w:val="en-US" w:eastAsia="zh-CN"/>
              </w:rPr>
              <w:t>19；</w:t>
            </w:r>
          </w:p>
          <w:p w14:paraId="12AF908C">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yellow"/>
                <w:lang w:val="en-US" w:eastAsia="zh-CN"/>
              </w:rPr>
            </w:pPr>
            <w:r>
              <w:rPr>
                <w:rFonts w:hint="eastAsia" w:ascii="Times New Roman" w:hAnsi="Times New Roman" w:eastAsia="宋体" w:cs="Times New Roman"/>
                <w:kern w:val="2"/>
                <w:sz w:val="21"/>
                <w:szCs w:val="21"/>
                <w:highlight w:val="none"/>
                <w:lang w:val="en-US" w:eastAsia="zh-CN"/>
              </w:rPr>
              <w:t>已明确冷库冷媒，核实原辅材料种类、用量，对原料来源提出限制要求，细化产品方案，核实设备清单，强化项目产能匹配性分析，详见P</w:t>
            </w:r>
            <w:r>
              <w:rPr>
                <w:rFonts w:hint="eastAsia" w:cs="Times New Roman"/>
                <w:kern w:val="2"/>
                <w:sz w:val="21"/>
                <w:szCs w:val="21"/>
                <w:highlight w:val="none"/>
                <w:lang w:val="en-US" w:eastAsia="zh-CN"/>
              </w:rPr>
              <w:t>20-P22。</w:t>
            </w:r>
          </w:p>
        </w:tc>
      </w:tr>
      <w:tr w14:paraId="15354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2DF5AA1E">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3</w:t>
            </w:r>
          </w:p>
        </w:tc>
        <w:tc>
          <w:tcPr>
            <w:tcW w:w="2265" w:type="pct"/>
            <w:vAlign w:val="center"/>
          </w:tcPr>
          <w:p w14:paraId="3D6BA7E2">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left"/>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细化现有工程采取的污染防治措施调查，结合现有工程污染源数据，强化现有工程产排污现状调查，据此强化现有工程存在的环境问题调查，细化“以新代老”的工程措施</w:t>
            </w:r>
          </w:p>
        </w:tc>
        <w:tc>
          <w:tcPr>
            <w:tcW w:w="2253" w:type="pct"/>
            <w:vAlign w:val="center"/>
          </w:tcPr>
          <w:p w14:paraId="04EB81D9">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highlight w:val="none"/>
              </w:rPr>
              <w:t>已</w:t>
            </w:r>
            <w:r>
              <w:rPr>
                <w:rFonts w:hint="eastAsia" w:ascii="Times New Roman" w:hAnsi="Times New Roman" w:eastAsia="宋体" w:cs="Times New Roman"/>
                <w:kern w:val="2"/>
                <w:sz w:val="21"/>
                <w:szCs w:val="21"/>
                <w:highlight w:val="none"/>
                <w:lang w:val="en-US" w:eastAsia="zh-CN"/>
              </w:rPr>
              <w:t>细化现有工程采取的污染防治措施调查，结合现有工程污染源数据，强化现有工程产排污现状调查，据此强化现有工程存在的环境问题调查，细化“以新代老”的工程措施</w:t>
            </w:r>
            <w:r>
              <w:rPr>
                <w:rFonts w:hint="default" w:ascii="Times New Roman" w:hAnsi="Times New Roman" w:eastAsia="宋体" w:cs="Times New Roman"/>
                <w:kern w:val="2"/>
                <w:sz w:val="21"/>
                <w:szCs w:val="21"/>
                <w:highlight w:val="none"/>
              </w:rPr>
              <w:t>，</w:t>
            </w:r>
            <w:r>
              <w:rPr>
                <w:rFonts w:hint="eastAsia" w:ascii="Times New Roman" w:hAnsi="Times New Roman" w:eastAsia="宋体" w:cs="Times New Roman"/>
                <w:kern w:val="2"/>
                <w:sz w:val="21"/>
                <w:szCs w:val="21"/>
                <w:highlight w:val="none"/>
                <w:lang w:eastAsia="zh-CN"/>
              </w:rPr>
              <w:t>详见</w:t>
            </w:r>
            <w:r>
              <w:rPr>
                <w:rFonts w:hint="default" w:ascii="Times New Roman" w:hAnsi="Times New Roman" w:eastAsia="宋体" w:cs="Times New Roman"/>
                <w:kern w:val="2"/>
                <w:sz w:val="21"/>
                <w:szCs w:val="21"/>
                <w:highlight w:val="none"/>
              </w:rPr>
              <w:t>P</w:t>
            </w:r>
            <w:r>
              <w:rPr>
                <w:rFonts w:hint="eastAsia" w:cs="Times New Roman"/>
                <w:kern w:val="2"/>
                <w:sz w:val="21"/>
                <w:szCs w:val="21"/>
                <w:highlight w:val="none"/>
                <w:lang w:val="en-US" w:eastAsia="zh-CN"/>
              </w:rPr>
              <w:t>3</w:t>
            </w:r>
            <w:r>
              <w:rPr>
                <w:rFonts w:hint="eastAsia" w:ascii="Times New Roman" w:hAnsi="Times New Roman" w:eastAsia="宋体" w:cs="Times New Roman"/>
                <w:kern w:val="2"/>
                <w:sz w:val="21"/>
                <w:szCs w:val="21"/>
                <w:highlight w:val="none"/>
                <w:lang w:val="en-US" w:eastAsia="zh-CN"/>
              </w:rPr>
              <w:t>2-</w:t>
            </w:r>
            <w:r>
              <w:rPr>
                <w:rFonts w:hint="eastAsia" w:cs="Times New Roman"/>
                <w:kern w:val="2"/>
                <w:sz w:val="21"/>
                <w:szCs w:val="21"/>
                <w:highlight w:val="none"/>
                <w:lang w:val="en-US" w:eastAsia="zh-CN"/>
              </w:rPr>
              <w:t>P33，P35-P37</w:t>
            </w:r>
            <w:r>
              <w:rPr>
                <w:rFonts w:hint="default" w:ascii="Times New Roman" w:hAnsi="Times New Roman" w:eastAsia="宋体" w:cs="Times New Roman"/>
                <w:kern w:val="2"/>
                <w:sz w:val="21"/>
                <w:szCs w:val="21"/>
                <w:highlight w:val="none"/>
              </w:rPr>
              <w:t>。</w:t>
            </w:r>
          </w:p>
        </w:tc>
      </w:tr>
      <w:tr w14:paraId="0DDC3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3EAF8E82">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4</w:t>
            </w:r>
          </w:p>
        </w:tc>
        <w:tc>
          <w:tcPr>
            <w:tcW w:w="2265" w:type="pct"/>
            <w:vAlign w:val="center"/>
          </w:tcPr>
          <w:p w14:paraId="53A65D6F">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核实环境保护目标方位、距离及规模</w:t>
            </w:r>
          </w:p>
        </w:tc>
        <w:tc>
          <w:tcPr>
            <w:tcW w:w="2253" w:type="pct"/>
            <w:vAlign w:val="center"/>
          </w:tcPr>
          <w:p w14:paraId="6A8BB031">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已</w:t>
            </w:r>
            <w:r>
              <w:rPr>
                <w:rFonts w:hint="eastAsia" w:ascii="Times New Roman" w:hAnsi="Times New Roman" w:eastAsia="宋体" w:cs="Times New Roman"/>
                <w:kern w:val="2"/>
                <w:sz w:val="21"/>
                <w:szCs w:val="21"/>
                <w:lang w:val="en-US" w:eastAsia="zh-CN"/>
              </w:rPr>
              <w:t>核实环境保护目标方位、距离及规模</w:t>
            </w:r>
            <w:r>
              <w:rPr>
                <w:rFonts w:hint="eastAsia" w:ascii="Times New Roman" w:hAnsi="Times New Roman" w:eastAsia="宋体" w:cs="Times New Roman"/>
                <w:kern w:val="2"/>
                <w:sz w:val="21"/>
                <w:szCs w:val="21"/>
                <w:lang w:eastAsia="zh-CN"/>
              </w:rPr>
              <w:t>，详见</w:t>
            </w:r>
            <w:r>
              <w:rPr>
                <w:rFonts w:hint="default" w:ascii="Times New Roman" w:hAnsi="Times New Roman" w:eastAsia="宋体" w:cs="Times New Roman"/>
                <w:kern w:val="2"/>
                <w:sz w:val="21"/>
                <w:szCs w:val="21"/>
              </w:rPr>
              <w:t>P</w:t>
            </w:r>
            <w:r>
              <w:rPr>
                <w:rFonts w:hint="eastAsia" w:cs="Times New Roman"/>
                <w:kern w:val="2"/>
                <w:sz w:val="21"/>
                <w:szCs w:val="21"/>
                <w:lang w:val="en-US" w:eastAsia="zh-CN"/>
              </w:rPr>
              <w:t>41</w:t>
            </w:r>
            <w:r>
              <w:rPr>
                <w:rFonts w:hint="default" w:ascii="Times New Roman" w:hAnsi="Times New Roman" w:eastAsia="宋体" w:cs="Times New Roman"/>
                <w:kern w:val="2"/>
                <w:sz w:val="21"/>
                <w:szCs w:val="21"/>
              </w:rPr>
              <w:t>。</w:t>
            </w:r>
          </w:p>
        </w:tc>
      </w:tr>
      <w:tr w14:paraId="1C753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2D7F8E64">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eastAsia"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5</w:t>
            </w:r>
          </w:p>
        </w:tc>
        <w:tc>
          <w:tcPr>
            <w:tcW w:w="2265" w:type="pct"/>
            <w:vAlign w:val="center"/>
          </w:tcPr>
          <w:p w14:paraId="50674281">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left"/>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进一步核实肉制品废水、鹌鹑蛋制品废水等工段用水量、排水量及污染源强，核实水平衡，强化其依托现有处理措施可行性分析。</w:t>
            </w:r>
          </w:p>
        </w:tc>
        <w:tc>
          <w:tcPr>
            <w:tcW w:w="2253" w:type="pct"/>
            <w:vAlign w:val="center"/>
          </w:tcPr>
          <w:p w14:paraId="0BDD2600">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yellow"/>
                <w:lang w:val="en-US" w:eastAsia="zh-CN"/>
              </w:rPr>
            </w:pPr>
            <w:r>
              <w:rPr>
                <w:rFonts w:hint="eastAsia" w:ascii="Times New Roman" w:hAnsi="Times New Roman" w:eastAsia="宋体" w:cs="Times New Roman"/>
                <w:kern w:val="2"/>
                <w:sz w:val="21"/>
                <w:szCs w:val="21"/>
                <w:highlight w:val="none"/>
                <w:lang w:val="en-US" w:eastAsia="zh-CN"/>
              </w:rPr>
              <w:t>已核实肉制品废水、鹌鹑蛋制品废水等工段用水量、排水量及污染源强，</w:t>
            </w:r>
            <w:r>
              <w:rPr>
                <w:rFonts w:hint="eastAsia" w:cs="Times New Roman"/>
                <w:kern w:val="2"/>
                <w:sz w:val="21"/>
                <w:szCs w:val="21"/>
                <w:highlight w:val="none"/>
                <w:lang w:val="en-US" w:eastAsia="zh-CN"/>
              </w:rPr>
              <w:t>已</w:t>
            </w:r>
            <w:r>
              <w:rPr>
                <w:rFonts w:hint="eastAsia" w:ascii="Times New Roman" w:hAnsi="Times New Roman" w:eastAsia="宋体" w:cs="Times New Roman"/>
                <w:kern w:val="2"/>
                <w:sz w:val="21"/>
                <w:szCs w:val="21"/>
                <w:highlight w:val="none"/>
                <w:lang w:val="en-US" w:eastAsia="zh-CN"/>
              </w:rPr>
              <w:t>核实水平衡，强化其依托现有处理措施可行性分析，详见P</w:t>
            </w:r>
            <w:r>
              <w:rPr>
                <w:rFonts w:hint="eastAsia" w:cs="Times New Roman"/>
                <w:kern w:val="2"/>
                <w:sz w:val="21"/>
                <w:szCs w:val="21"/>
                <w:highlight w:val="none"/>
                <w:lang w:val="en-US" w:eastAsia="zh-CN"/>
              </w:rPr>
              <w:t>23-P26。</w:t>
            </w:r>
          </w:p>
        </w:tc>
      </w:tr>
      <w:tr w14:paraId="217FB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6F509B56">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6</w:t>
            </w:r>
          </w:p>
        </w:tc>
        <w:tc>
          <w:tcPr>
            <w:tcW w:w="2265" w:type="pct"/>
            <w:vAlign w:val="center"/>
          </w:tcPr>
          <w:p w14:paraId="5F718C30">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进一步核实油烟废气产生源强，细化其收集措施；细化车间异味处理措施，核实排气筒参数，核实锅炉运行时间及生物质用量，据此核实锅炉废气议案强，强化锅炉废气处理措施合理性分析。</w:t>
            </w:r>
          </w:p>
        </w:tc>
        <w:tc>
          <w:tcPr>
            <w:tcW w:w="2253" w:type="pct"/>
            <w:vAlign w:val="center"/>
          </w:tcPr>
          <w:p w14:paraId="64A16C3C">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eastAsia" w:ascii="Times New Roman" w:hAnsi="Times New Roman" w:eastAsia="宋体" w:cs="Times New Roman"/>
                <w:kern w:val="2"/>
                <w:sz w:val="21"/>
                <w:szCs w:val="21"/>
                <w:highlight w:val="none"/>
                <w:lang w:val="en-US" w:eastAsia="zh-CN"/>
              </w:rPr>
            </w:pPr>
            <w:r>
              <w:rPr>
                <w:rFonts w:hint="eastAsia" w:ascii="Times New Roman" w:hAnsi="Times New Roman" w:eastAsia="宋体" w:cs="Times New Roman"/>
                <w:kern w:val="2"/>
                <w:sz w:val="21"/>
                <w:szCs w:val="21"/>
                <w:highlight w:val="none"/>
                <w:lang w:val="en-US" w:eastAsia="zh-CN"/>
              </w:rPr>
              <w:t>已核实油烟废气产生源强，细化其收集措施，详见P</w:t>
            </w:r>
            <w:r>
              <w:rPr>
                <w:rFonts w:hint="eastAsia" w:cs="Times New Roman"/>
                <w:kern w:val="2"/>
                <w:sz w:val="21"/>
                <w:szCs w:val="21"/>
                <w:highlight w:val="none"/>
                <w:lang w:val="en-US" w:eastAsia="zh-CN"/>
              </w:rPr>
              <w:t>46</w:t>
            </w:r>
            <w:r>
              <w:rPr>
                <w:rFonts w:hint="eastAsia" w:ascii="Times New Roman" w:hAnsi="Times New Roman" w:eastAsia="宋体" w:cs="Times New Roman"/>
                <w:kern w:val="2"/>
                <w:sz w:val="21"/>
                <w:szCs w:val="21"/>
                <w:highlight w:val="none"/>
                <w:lang w:val="en-US" w:eastAsia="zh-CN"/>
              </w:rPr>
              <w:t>；</w:t>
            </w:r>
          </w:p>
          <w:p w14:paraId="25F1F288">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eastAsia="宋体" w:cs="Times New Roman"/>
                <w:kern w:val="2"/>
                <w:sz w:val="21"/>
                <w:szCs w:val="21"/>
                <w:highlight w:val="none"/>
                <w:lang w:val="en-US" w:eastAsia="zh-CN"/>
              </w:rPr>
              <w:t>已细化车间异味处理措施，详见P</w:t>
            </w:r>
            <w:r>
              <w:rPr>
                <w:rFonts w:hint="eastAsia" w:cs="Times New Roman"/>
                <w:kern w:val="2"/>
                <w:sz w:val="21"/>
                <w:szCs w:val="21"/>
                <w:highlight w:val="none"/>
                <w:lang w:val="en-US" w:eastAsia="zh-CN"/>
              </w:rPr>
              <w:t>46-P47；</w:t>
            </w:r>
          </w:p>
          <w:p w14:paraId="5035C4CE">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yellow"/>
                <w:lang w:val="en-US" w:eastAsia="zh-CN"/>
              </w:rPr>
            </w:pPr>
            <w:r>
              <w:rPr>
                <w:rFonts w:hint="eastAsia" w:ascii="Times New Roman" w:hAnsi="Times New Roman" w:eastAsia="宋体" w:cs="Times New Roman"/>
                <w:kern w:val="2"/>
                <w:sz w:val="21"/>
                <w:szCs w:val="21"/>
                <w:highlight w:val="none"/>
                <w:lang w:val="en-US" w:eastAsia="zh-CN"/>
              </w:rPr>
              <w:t>已</w:t>
            </w:r>
            <w:r>
              <w:rPr>
                <w:rFonts w:hint="default" w:ascii="Times New Roman" w:hAnsi="Times New Roman" w:eastAsia="宋体" w:cs="Times New Roman"/>
                <w:kern w:val="2"/>
                <w:sz w:val="21"/>
                <w:szCs w:val="21"/>
                <w:highlight w:val="none"/>
                <w:lang w:val="en-US" w:eastAsia="zh-CN"/>
              </w:rPr>
              <w:t>核实排气筒参数，核实锅炉运行时间及生物质用量，据此核实锅炉废气</w:t>
            </w:r>
            <w:r>
              <w:rPr>
                <w:rFonts w:hint="eastAsia" w:ascii="Times New Roman" w:hAnsi="Times New Roman" w:eastAsia="宋体" w:cs="Times New Roman"/>
                <w:kern w:val="2"/>
                <w:sz w:val="21"/>
                <w:szCs w:val="21"/>
                <w:highlight w:val="none"/>
                <w:lang w:val="en-US" w:eastAsia="zh-CN"/>
              </w:rPr>
              <w:t>源</w:t>
            </w:r>
            <w:r>
              <w:rPr>
                <w:rFonts w:hint="default" w:ascii="Times New Roman" w:hAnsi="Times New Roman" w:eastAsia="宋体" w:cs="Times New Roman"/>
                <w:kern w:val="2"/>
                <w:sz w:val="21"/>
                <w:szCs w:val="21"/>
                <w:highlight w:val="none"/>
                <w:lang w:val="en-US" w:eastAsia="zh-CN"/>
              </w:rPr>
              <w:t>强，强化锅炉废气处理措施合理性分析</w:t>
            </w:r>
            <w:r>
              <w:rPr>
                <w:rFonts w:hint="eastAsia" w:cs="Times New Roman"/>
                <w:kern w:val="2"/>
                <w:sz w:val="21"/>
                <w:szCs w:val="21"/>
                <w:highlight w:val="none"/>
                <w:lang w:val="en-US" w:eastAsia="zh-CN"/>
              </w:rPr>
              <w:t>，详见P45-P50。</w:t>
            </w:r>
          </w:p>
        </w:tc>
      </w:tr>
      <w:tr w14:paraId="3F3CA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81" w:type="pct"/>
            <w:vAlign w:val="center"/>
          </w:tcPr>
          <w:p w14:paraId="2DDE64F5">
            <w:pPr>
              <w:keepNext w:val="0"/>
              <w:keepLines w:val="0"/>
              <w:widowControl w:val="0"/>
              <w:suppressLineNumbers w:val="0"/>
              <w:spacing w:before="0" w:beforeLines="0" w:beforeAutospacing="0" w:after="0" w:afterLines="0" w:afterAutospacing="0" w:line="240" w:lineRule="auto"/>
              <w:ind w:left="0" w:right="0" w:firstLine="0" w:firstLineChars="0"/>
              <w:jc w:val="center"/>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7</w:t>
            </w:r>
          </w:p>
        </w:tc>
        <w:tc>
          <w:tcPr>
            <w:tcW w:w="2265" w:type="pct"/>
            <w:vAlign w:val="center"/>
          </w:tcPr>
          <w:p w14:paraId="74EB6B1E">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left"/>
              <w:textAlignment w:val="auto"/>
              <w:rPr>
                <w:rFonts w:hint="default" w:ascii="Times New Roman" w:hAnsi="Times New Roman" w:eastAsia="宋体" w:cs="Times New Roman"/>
                <w:kern w:val="2"/>
                <w:sz w:val="21"/>
                <w:szCs w:val="21"/>
                <w:lang w:val="en-US" w:eastAsia="zh-CN"/>
              </w:rPr>
            </w:pPr>
            <w:r>
              <w:rPr>
                <w:rFonts w:hint="eastAsia" w:ascii="Times New Roman" w:hAnsi="Times New Roman" w:eastAsia="宋体" w:cs="Times New Roman"/>
                <w:kern w:val="2"/>
                <w:sz w:val="21"/>
                <w:szCs w:val="21"/>
                <w:lang w:val="en-US" w:eastAsia="zh-CN"/>
              </w:rPr>
              <w:t>核实改扩建前后污染物排放的三本帐，核实总量控制指标，核实新增环保投资，完善环境保护措施监督检查清单。</w:t>
            </w:r>
          </w:p>
        </w:tc>
        <w:tc>
          <w:tcPr>
            <w:tcW w:w="2253" w:type="pct"/>
            <w:vAlign w:val="center"/>
          </w:tcPr>
          <w:p w14:paraId="79F8CF3A">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eastAsia="宋体" w:cs="Times New Roman"/>
                <w:kern w:val="2"/>
                <w:sz w:val="21"/>
                <w:szCs w:val="21"/>
                <w:highlight w:val="none"/>
                <w:lang w:val="en-US" w:eastAsia="zh-CN"/>
              </w:rPr>
              <w:t>已核实改扩建前后污染物排放的三本帐，详见P</w:t>
            </w:r>
            <w:r>
              <w:rPr>
                <w:rFonts w:hint="eastAsia" w:cs="Times New Roman"/>
                <w:kern w:val="2"/>
                <w:sz w:val="21"/>
                <w:szCs w:val="21"/>
                <w:highlight w:val="none"/>
                <w:lang w:val="en-US" w:eastAsia="zh-CN"/>
              </w:rPr>
              <w:t>35；</w:t>
            </w:r>
          </w:p>
          <w:p w14:paraId="55148BAD">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eastAsia="宋体" w:cs="Times New Roman"/>
                <w:kern w:val="2"/>
                <w:sz w:val="21"/>
                <w:szCs w:val="21"/>
                <w:highlight w:val="none"/>
                <w:lang w:val="en-US" w:eastAsia="zh-CN"/>
              </w:rPr>
              <w:t>已核实总量控制指标，详见P</w:t>
            </w:r>
            <w:r>
              <w:rPr>
                <w:rFonts w:hint="eastAsia" w:cs="Times New Roman"/>
                <w:kern w:val="2"/>
                <w:sz w:val="21"/>
                <w:szCs w:val="21"/>
                <w:highlight w:val="none"/>
                <w:lang w:val="en-US" w:eastAsia="zh-CN"/>
              </w:rPr>
              <w:t>43；</w:t>
            </w:r>
          </w:p>
          <w:p w14:paraId="7465ADA0">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eastAsia="宋体" w:cs="Times New Roman"/>
                <w:kern w:val="2"/>
                <w:sz w:val="21"/>
                <w:szCs w:val="21"/>
                <w:highlight w:val="none"/>
                <w:lang w:val="en-US" w:eastAsia="zh-CN"/>
              </w:rPr>
              <w:t>已</w:t>
            </w:r>
            <w:r>
              <w:rPr>
                <w:rFonts w:hint="default" w:ascii="Times New Roman" w:hAnsi="Times New Roman" w:eastAsia="宋体" w:cs="Times New Roman"/>
                <w:kern w:val="2"/>
                <w:sz w:val="21"/>
                <w:szCs w:val="21"/>
                <w:highlight w:val="none"/>
                <w:lang w:val="en-US" w:eastAsia="zh-CN"/>
              </w:rPr>
              <w:t>核实新增环保投资</w:t>
            </w:r>
            <w:r>
              <w:rPr>
                <w:rFonts w:hint="eastAsia" w:ascii="Times New Roman" w:hAnsi="Times New Roman" w:eastAsia="宋体" w:cs="Times New Roman"/>
                <w:kern w:val="2"/>
                <w:sz w:val="21"/>
                <w:szCs w:val="21"/>
                <w:highlight w:val="none"/>
                <w:lang w:val="en-US" w:eastAsia="zh-CN"/>
              </w:rPr>
              <w:t>，详见P</w:t>
            </w:r>
            <w:r>
              <w:rPr>
                <w:rFonts w:hint="eastAsia" w:cs="Times New Roman"/>
                <w:kern w:val="2"/>
                <w:sz w:val="21"/>
                <w:szCs w:val="21"/>
                <w:highlight w:val="none"/>
                <w:lang w:val="en-US" w:eastAsia="zh-CN"/>
              </w:rPr>
              <w:t>64；</w:t>
            </w:r>
          </w:p>
          <w:p w14:paraId="30ABE205">
            <w:pPr>
              <w:keepNext w:val="0"/>
              <w:keepLines w:val="0"/>
              <w:pageBreakBefore w:val="0"/>
              <w:widowControl w:val="0"/>
              <w:suppressLineNumbers w:val="0"/>
              <w:kinsoku/>
              <w:wordWrap/>
              <w:overflowPunct/>
              <w:topLinePunct w:val="0"/>
              <w:bidi w:val="0"/>
              <w:adjustRightInd/>
              <w:snapToGrid/>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kern w:val="2"/>
                <w:sz w:val="21"/>
                <w:szCs w:val="21"/>
                <w:highlight w:val="yellow"/>
                <w:lang w:val="en-US" w:eastAsia="zh-CN"/>
              </w:rPr>
            </w:pPr>
            <w:r>
              <w:rPr>
                <w:rFonts w:hint="eastAsia" w:ascii="Times New Roman" w:hAnsi="Times New Roman" w:eastAsia="宋体" w:cs="Times New Roman"/>
                <w:kern w:val="2"/>
                <w:sz w:val="21"/>
                <w:szCs w:val="21"/>
                <w:highlight w:val="none"/>
                <w:lang w:val="en-US" w:eastAsia="zh-CN"/>
              </w:rPr>
              <w:t>已</w:t>
            </w:r>
            <w:r>
              <w:rPr>
                <w:rFonts w:hint="default" w:ascii="Times New Roman" w:hAnsi="Times New Roman" w:eastAsia="宋体" w:cs="Times New Roman"/>
                <w:kern w:val="2"/>
                <w:sz w:val="21"/>
                <w:szCs w:val="21"/>
                <w:highlight w:val="none"/>
                <w:lang w:val="en-US" w:eastAsia="zh-CN"/>
              </w:rPr>
              <w:t>完善环境保护措施监督检查清单</w:t>
            </w:r>
            <w:r>
              <w:rPr>
                <w:rFonts w:hint="eastAsia" w:ascii="Times New Roman" w:hAnsi="Times New Roman" w:eastAsia="宋体" w:cs="Times New Roman"/>
                <w:kern w:val="2"/>
                <w:sz w:val="21"/>
                <w:szCs w:val="21"/>
                <w:highlight w:val="none"/>
                <w:lang w:val="en-US" w:eastAsia="zh-CN"/>
              </w:rPr>
              <w:t>，详见P6</w:t>
            </w:r>
            <w:r>
              <w:rPr>
                <w:rFonts w:hint="eastAsia" w:cs="Times New Roman"/>
                <w:kern w:val="2"/>
                <w:sz w:val="21"/>
                <w:szCs w:val="21"/>
                <w:highlight w:val="none"/>
                <w:lang w:val="en-US" w:eastAsia="zh-CN"/>
              </w:rPr>
              <w:t>5</w:t>
            </w:r>
          </w:p>
        </w:tc>
      </w:tr>
    </w:tbl>
    <w:p w14:paraId="69044929">
      <w:pPr>
        <w:spacing w:before="0" w:beforeLines="0" w:after="0" w:afterLines="0" w:line="360" w:lineRule="auto"/>
        <w:ind w:left="0" w:leftChars="0" w:right="0" w:rightChars="0" w:firstLine="0" w:firstLineChars="0"/>
        <w:jc w:val="left"/>
        <w:rPr>
          <w:rFonts w:hint="eastAsia"/>
          <w:lang w:val="en-US" w:eastAsia="zh-CN"/>
        </w:rPr>
      </w:pPr>
    </w:p>
    <w:p w14:paraId="2B42B8BA">
      <w:pPr>
        <w:spacing w:before="0" w:beforeLines="0" w:after="0" w:afterLines="0" w:line="360" w:lineRule="auto"/>
        <w:ind w:left="0" w:leftChars="0" w:right="0" w:rightChars="0" w:firstLine="0" w:firstLineChars="0"/>
        <w:jc w:val="left"/>
        <w:rPr>
          <w:rFonts w:hint="default" w:ascii="Times New Roman" w:eastAsia="宋体"/>
          <w:lang w:val="en-US" w:eastAsia="zh-CN"/>
        </w:rPr>
        <w:sectPr>
          <w:headerReference r:id="rId5" w:type="default"/>
          <w:pgSz w:w="11906" w:h="16838"/>
          <w:pgMar w:top="1417" w:right="1417" w:bottom="1417" w:left="1701" w:header="851" w:footer="1077" w:gutter="0"/>
          <w:pgBorders>
            <w:top w:val="none" w:sz="0" w:space="0"/>
            <w:left w:val="none" w:sz="0" w:space="0"/>
            <w:bottom w:val="none" w:sz="0" w:space="0"/>
            <w:right w:val="none" w:sz="0" w:space="0"/>
          </w:pgBorders>
          <w:pgNumType w:fmt="upperRoman" w:start="1"/>
          <w:cols w:space="720" w:num="1"/>
          <w:docGrid w:linePitch="312" w:charSpace="0"/>
        </w:sectPr>
      </w:pPr>
    </w:p>
    <w:p w14:paraId="271FF52C">
      <w:pPr>
        <w:spacing w:before="0" w:beforeLines="0" w:after="0" w:afterLines="0" w:line="360" w:lineRule="auto"/>
        <w:ind w:left="0" w:leftChars="0" w:right="0" w:rightChars="0" w:firstLine="0" w:firstLineChars="0"/>
        <w:jc w:val="center"/>
        <w:rPr>
          <w:sz w:val="36"/>
          <w:szCs w:val="36"/>
        </w:rPr>
      </w:pPr>
      <w:r>
        <w:rPr>
          <w:rFonts w:ascii="宋体" w:hAnsi="宋体" w:eastAsia="宋体"/>
          <w:b/>
          <w:bCs/>
          <w:sz w:val="36"/>
          <w:szCs w:val="36"/>
        </w:rPr>
        <w:t>目</w:t>
      </w:r>
      <w:r>
        <w:rPr>
          <w:rFonts w:hint="eastAsia" w:ascii="宋体" w:hAnsi="宋体" w:eastAsia="宋体"/>
          <w:b/>
          <w:bCs/>
          <w:sz w:val="36"/>
          <w:szCs w:val="36"/>
          <w:lang w:val="en-US" w:eastAsia="zh-CN"/>
        </w:rPr>
        <w:t xml:space="preserve">  </w:t>
      </w:r>
      <w:r>
        <w:rPr>
          <w:rFonts w:ascii="宋体" w:hAnsi="宋体" w:eastAsia="宋体"/>
          <w:b/>
          <w:bCs/>
          <w:sz w:val="36"/>
          <w:szCs w:val="36"/>
        </w:rPr>
        <w:t>录</w:t>
      </w:r>
    </w:p>
    <w:p w14:paraId="17D49DBF">
      <w:pPr>
        <w:pStyle w:val="18"/>
        <w:tabs>
          <w:tab w:val="right" w:leader="middleDot" w:pos="8300"/>
        </w:tabs>
        <w:spacing w:line="360" w:lineRule="auto"/>
        <w:rPr>
          <w:rFonts w:hint="default" w:ascii="Times New Roman" w:hAnsi="Times New Roman" w:eastAsia="宋体" w:cs="Times New Roman"/>
          <w:sz w:val="24"/>
        </w:rPr>
      </w:pPr>
      <w:r>
        <w:rPr>
          <w:rFonts w:ascii="Times New Roman" w:hAnsi="Times New Roman"/>
          <w:sz w:val="36"/>
          <w:szCs w:val="36"/>
        </w:rPr>
        <w:fldChar w:fldCharType="begin"/>
      </w:r>
      <w:r>
        <w:rPr>
          <w:rFonts w:ascii="Times New Roman" w:hAnsi="Times New Roman"/>
          <w:sz w:val="36"/>
          <w:szCs w:val="36"/>
        </w:rPr>
        <w:instrText xml:space="preserve">TOC \o "1-1" \h \u </w:instrText>
      </w:r>
      <w:r>
        <w:rPr>
          <w:rFonts w:ascii="Times New Roman" w:hAnsi="Times New Roman"/>
          <w:sz w:val="36"/>
          <w:szCs w:val="36"/>
        </w:rPr>
        <w:fldChar w:fldCharType="separate"/>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_Toc16986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napToGrid w:val="0"/>
          <w:sz w:val="24"/>
          <w:szCs w:val="24"/>
        </w:rPr>
        <w:t>一、建设项目基本情况</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_Toc16986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0FBED451">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_Toc25222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napToGrid w:val="0"/>
          <w:sz w:val="24"/>
          <w:szCs w:val="24"/>
        </w:rPr>
        <w:t>二、建设项目工程分析</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_Toc25222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16</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429BB37E">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_Toc19719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napToGrid w:val="0"/>
          <w:sz w:val="24"/>
          <w:szCs w:val="24"/>
        </w:rPr>
        <w:t>三、区域环境质量现状、环境保护目标及评价标准</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_Toc19719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38</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44313075">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_Toc3434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napToGrid w:val="0"/>
          <w:sz w:val="24"/>
          <w:szCs w:val="24"/>
        </w:rPr>
        <w:t>四、主要环境影响和保护措施</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_Toc3434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44</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25B32E45">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_Toc27072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napToGrid w:val="0"/>
          <w:sz w:val="24"/>
          <w:szCs w:val="24"/>
        </w:rPr>
        <w:t>五、环境保护措施监督检查清单</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_Toc27072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65</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027FE1A3">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_Toc25777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napToGrid w:val="0"/>
          <w:sz w:val="24"/>
          <w:szCs w:val="24"/>
        </w:rPr>
        <w:t>六、结论</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_Toc25777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66</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44FE5C29">
      <w:pPr>
        <w:pStyle w:val="18"/>
        <w:tabs>
          <w:tab w:val="right" w:leader="middle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_Toc19128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napToGrid w:val="0"/>
          <w:sz w:val="24"/>
          <w:szCs w:val="24"/>
        </w:rPr>
        <w:t>建设项目污染物排放量汇总表</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_Toc19128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67</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01F22C59">
      <w:pPr>
        <w:pStyle w:val="18"/>
        <w:tabs>
          <w:tab w:val="right" w:leader="middleDot" w:pos="8300"/>
        </w:tabs>
        <w:spacing w:line="360" w:lineRule="auto"/>
        <w:rPr>
          <w:rFonts w:hint="default" w:ascii="Times New Roman" w:hAnsi="Times New Roman" w:eastAsia="宋体" w:cs="Times New Roman"/>
          <w:sz w:val="24"/>
          <w:szCs w:val="24"/>
        </w:rPr>
      </w:pPr>
    </w:p>
    <w:p w14:paraId="0D3A8012">
      <w:pPr>
        <w:pStyle w:val="18"/>
        <w:tabs>
          <w:tab w:val="right" w:leader="middleDot" w:pos="8300"/>
        </w:tabs>
        <w:spacing w:line="360" w:lineRule="auto"/>
        <w:rPr>
          <w:rFonts w:hint="eastAsia" w:ascii="Times New Roman" w:hAnsi="Times New Roman" w:eastAsia="宋体" w:cs="Times New Roman"/>
          <w:sz w:val="24"/>
        </w:rPr>
      </w:pPr>
      <w:r>
        <w:rPr>
          <w:rFonts w:hint="eastAsia" w:ascii="Times New Roman" w:hAnsi="Times New Roman" w:eastAsia="宋体" w:cs="Times New Roman"/>
          <w:b/>
          <w:bCs/>
          <w:sz w:val="24"/>
          <w:szCs w:val="24"/>
          <w:lang w:val="en-US" w:eastAsia="zh-CN"/>
        </w:rPr>
        <w:t>附件</w:t>
      </w:r>
    </w:p>
    <w:p w14:paraId="4B9D4145">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_Toc16388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附件1： 环评委托书</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_Toc16388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68</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623AF05E">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_Toc11522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附件2： </w:t>
      </w:r>
      <w:r>
        <w:rPr>
          <w:rFonts w:hint="default" w:ascii="Times New Roman" w:hAnsi="Times New Roman" w:eastAsia="宋体" w:cs="Times New Roman"/>
          <w:bCs/>
          <w:sz w:val="24"/>
          <w:szCs w:val="24"/>
          <w:lang w:val="en-US" w:eastAsia="zh-CN"/>
        </w:rPr>
        <w:t>技术审查会专家意见及签到表</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_Toc11522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69</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4AEC5310">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_Toc2632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附件3： 项目备案证明</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_Toc2632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72</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022F45A2">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_Toc1024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附件4： </w:t>
      </w:r>
      <w:r>
        <w:rPr>
          <w:rFonts w:hint="default" w:ascii="Times New Roman" w:hAnsi="Times New Roman" w:eastAsia="宋体" w:cs="Times New Roman"/>
          <w:bCs/>
          <w:sz w:val="24"/>
          <w:szCs w:val="24"/>
          <w:lang w:val="en-US" w:eastAsia="zh-CN"/>
        </w:rPr>
        <w:t>湖南省环境保护厅《关于岳阳市君山工业集中区荆江门片区环境影响报告的批复意见的函》（湘环评函[2014]54号）</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_Toc1024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76</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23CE1854">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_Toc28014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附件5： </w:t>
      </w:r>
      <w:r>
        <w:rPr>
          <w:rFonts w:hint="default" w:ascii="Times New Roman" w:hAnsi="Times New Roman" w:eastAsia="宋体" w:cs="Times New Roman"/>
          <w:bCs/>
          <w:sz w:val="24"/>
          <w:szCs w:val="24"/>
          <w:lang w:val="en-US" w:eastAsia="zh-CN"/>
        </w:rPr>
        <w:t>湖南省环境保护厅《关于岳阳市君山工业集中区荆江门片区能源变更意见的函》（湘环评函[2015]75号）</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_Toc28014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81</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56E08A41">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_Toc17725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附件6： </w:t>
      </w:r>
      <w:r>
        <w:rPr>
          <w:rFonts w:hint="default" w:ascii="Times New Roman" w:hAnsi="Times New Roman" w:eastAsia="宋体" w:cs="Times New Roman"/>
          <w:bCs/>
          <w:sz w:val="24"/>
          <w:szCs w:val="24"/>
          <w:lang w:eastAsia="zh-CN"/>
        </w:rPr>
        <w:t>《</w:t>
      </w:r>
      <w:r>
        <w:rPr>
          <w:rFonts w:hint="default" w:ascii="Times New Roman" w:hAnsi="Times New Roman" w:eastAsia="宋体" w:cs="Times New Roman"/>
          <w:bCs/>
          <w:sz w:val="24"/>
          <w:szCs w:val="24"/>
          <w:lang w:val="en-US" w:eastAsia="zh-CN"/>
        </w:rPr>
        <w:t>湖南省生态环境厅关于君山产业开发区环境影响跟踪评价工作意见的函</w:t>
      </w:r>
      <w:r>
        <w:rPr>
          <w:rFonts w:hint="default" w:ascii="Times New Roman" w:hAnsi="Times New Roman" w:eastAsia="宋体" w:cs="Times New Roman"/>
          <w:bCs/>
          <w:sz w:val="24"/>
          <w:szCs w:val="24"/>
          <w:lang w:eastAsia="zh-CN"/>
        </w:rPr>
        <w:t>》</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_Toc17725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83</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4C9AFE41">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_Toc844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附件7： 《</w:t>
      </w:r>
      <w:r>
        <w:rPr>
          <w:rFonts w:hint="default" w:ascii="Times New Roman" w:hAnsi="Times New Roman" w:eastAsia="宋体" w:cs="Times New Roman"/>
          <w:bCs/>
          <w:sz w:val="24"/>
          <w:szCs w:val="24"/>
          <w:lang w:val="en-US" w:eastAsia="zh-CN"/>
        </w:rPr>
        <w:t>关于湖南童记三利和食品有限公司年产2万吨特色休闲鱼制品</w:t>
      </w:r>
      <w:r>
        <w:rPr>
          <w:rFonts w:hint="default" w:ascii="Times New Roman" w:hAnsi="Times New Roman" w:eastAsia="宋体" w:cs="Times New Roman"/>
          <w:bCs/>
          <w:sz w:val="24"/>
          <w:szCs w:val="24"/>
        </w:rPr>
        <w:t>建设项目环境影响报告</w:t>
      </w:r>
      <w:r>
        <w:rPr>
          <w:rFonts w:hint="default" w:ascii="Times New Roman" w:hAnsi="Times New Roman" w:eastAsia="宋体" w:cs="Times New Roman"/>
          <w:bCs/>
          <w:sz w:val="24"/>
          <w:szCs w:val="24"/>
          <w:lang w:val="en-US" w:eastAsia="zh-CN"/>
        </w:rPr>
        <w:t>表的</w:t>
      </w:r>
      <w:r>
        <w:rPr>
          <w:rFonts w:hint="default" w:ascii="Times New Roman" w:hAnsi="Times New Roman" w:eastAsia="宋体" w:cs="Times New Roman"/>
          <w:bCs/>
          <w:sz w:val="24"/>
          <w:szCs w:val="24"/>
        </w:rPr>
        <w:t>批复》</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_Toc844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89</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5FA911DE">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_Toc30896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附件8： </w:t>
      </w:r>
      <w:r>
        <w:rPr>
          <w:rFonts w:hint="default" w:ascii="Times New Roman" w:hAnsi="Times New Roman" w:eastAsia="宋体" w:cs="Times New Roman"/>
          <w:bCs/>
          <w:sz w:val="24"/>
          <w:szCs w:val="24"/>
          <w:lang w:eastAsia="zh-CN"/>
        </w:rPr>
        <w:t>《</w:t>
      </w:r>
      <w:r>
        <w:rPr>
          <w:rFonts w:hint="default" w:ascii="Times New Roman" w:hAnsi="Times New Roman" w:eastAsia="宋体" w:cs="Times New Roman"/>
          <w:bCs/>
          <w:sz w:val="24"/>
          <w:szCs w:val="24"/>
          <w:lang w:val="en-US" w:eastAsia="zh-CN"/>
        </w:rPr>
        <w:t>湖南童记三利和食品有限公司年产2万吨特色休闲鱼制品建设项目竣工环境保护验收批复</w:t>
      </w:r>
      <w:r>
        <w:rPr>
          <w:rFonts w:hint="default" w:ascii="Times New Roman" w:hAnsi="Times New Roman" w:eastAsia="宋体" w:cs="Times New Roman"/>
          <w:bCs/>
          <w:sz w:val="24"/>
          <w:szCs w:val="24"/>
          <w:lang w:eastAsia="zh-CN"/>
        </w:rPr>
        <w:t>》</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_Toc30896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92</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73E6CDB0">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_Toc8663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附件9： </w:t>
      </w:r>
      <w:r>
        <w:rPr>
          <w:rFonts w:hint="default" w:ascii="Times New Roman" w:hAnsi="Times New Roman" w:eastAsia="宋体" w:cs="Times New Roman"/>
          <w:bCs/>
          <w:sz w:val="24"/>
          <w:szCs w:val="24"/>
          <w:lang w:val="en-US" w:eastAsia="zh-CN"/>
        </w:rPr>
        <w:t>废油收购合同</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_Toc8663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96</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34372C35">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_Toc10379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附件10： </w:t>
      </w:r>
      <w:r>
        <w:rPr>
          <w:rFonts w:hint="default" w:ascii="Times New Roman" w:hAnsi="Times New Roman" w:eastAsia="宋体" w:cs="Times New Roman"/>
          <w:bCs/>
          <w:sz w:val="24"/>
          <w:szCs w:val="24"/>
          <w:lang w:val="en-US" w:eastAsia="zh-CN"/>
        </w:rPr>
        <w:t>监测报告</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_Toc10379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98</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31881B82">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_Toc21776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附件11： </w:t>
      </w:r>
      <w:r>
        <w:rPr>
          <w:rFonts w:hint="default" w:ascii="Times New Roman" w:hAnsi="Times New Roman" w:eastAsia="宋体" w:cs="Times New Roman"/>
          <w:bCs/>
          <w:sz w:val="24"/>
          <w:szCs w:val="24"/>
          <w:lang w:val="en-US" w:eastAsia="zh-CN"/>
        </w:rPr>
        <w:t>固定污染源排放登记表回执</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_Toc21776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109</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6F343A36">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_Toc4175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附件12： </w:t>
      </w:r>
      <w:r>
        <w:rPr>
          <w:rFonts w:hint="default" w:ascii="Times New Roman" w:hAnsi="Times New Roman" w:eastAsia="宋体" w:cs="Times New Roman"/>
          <w:bCs/>
          <w:sz w:val="24"/>
          <w:szCs w:val="24"/>
          <w:lang w:val="en-US" w:eastAsia="zh-CN"/>
        </w:rPr>
        <w:t>辐射安全许可证</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_Toc4175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110</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51F4EC7F">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_Toc21532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附件13： </w:t>
      </w:r>
      <w:r>
        <w:rPr>
          <w:rFonts w:hint="default" w:ascii="Times New Roman" w:hAnsi="Times New Roman" w:eastAsia="宋体" w:cs="Times New Roman"/>
          <w:bCs/>
          <w:sz w:val="24"/>
          <w:szCs w:val="24"/>
          <w:lang w:val="en-US" w:eastAsia="zh-CN"/>
        </w:rPr>
        <w:t>岳阳市主要污染物初始排污权指标核定结果汇总表</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_Toc21532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111</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4D4DE02A">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_Toc16459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附件14： </w:t>
      </w:r>
      <w:r>
        <w:rPr>
          <w:rFonts w:hint="default" w:ascii="Times New Roman" w:hAnsi="Times New Roman" w:eastAsia="宋体" w:cs="Times New Roman"/>
          <w:bCs/>
          <w:sz w:val="24"/>
          <w:szCs w:val="24"/>
          <w:lang w:val="en-US" w:eastAsia="zh-CN"/>
        </w:rPr>
        <w:t>岳阳市君山产业开发区管理委员会《关于同意湖南童记三利和食品有限公司使用生物质蒸汽锅炉替换现有生物质导热油锅炉的请示》</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_Toc16459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114</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0D899DE9">
      <w:pPr>
        <w:pStyle w:val="18"/>
        <w:tabs>
          <w:tab w:val="right" w:leader="middleDot" w:pos="8300"/>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_Toc19561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 xml:space="preserve">附件15： </w:t>
      </w:r>
      <w:r>
        <w:rPr>
          <w:rFonts w:hint="default" w:ascii="Times New Roman" w:hAnsi="Times New Roman" w:eastAsia="宋体" w:cs="Times New Roman"/>
          <w:bCs/>
          <w:sz w:val="24"/>
          <w:szCs w:val="24"/>
          <w:lang w:val="en-US" w:eastAsia="zh-CN"/>
        </w:rPr>
        <w:t>布袋除尘器检验报告</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_Toc19561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115</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4A4E3BE1">
      <w:pPr>
        <w:pStyle w:val="18"/>
        <w:tabs>
          <w:tab w:val="right" w:leader="middleDot" w:pos="8300"/>
        </w:tabs>
        <w:spacing w:line="360" w:lineRule="auto"/>
        <w:rPr>
          <w:rFonts w:hint="default" w:ascii="Times New Roman" w:hAnsi="Times New Roman" w:eastAsia="宋体" w:cs="Times New Roman"/>
          <w:sz w:val="24"/>
          <w:szCs w:val="24"/>
        </w:rPr>
      </w:pPr>
    </w:p>
    <w:p w14:paraId="193242EF">
      <w:pPr>
        <w:pStyle w:val="18"/>
        <w:tabs>
          <w:tab w:val="right" w:leader="middleDot" w:pos="8300"/>
        </w:tabs>
        <w:spacing w:line="360" w:lineRule="auto"/>
        <w:rPr>
          <w:rFonts w:hint="eastAsia" w:ascii="Times New Roman" w:hAnsi="Times New Roman" w:eastAsia="宋体" w:cs="Times New Roman"/>
          <w:sz w:val="24"/>
        </w:rPr>
      </w:pPr>
      <w:r>
        <w:rPr>
          <w:rFonts w:hint="eastAsia" w:ascii="Times New Roman" w:hAnsi="Times New Roman" w:eastAsia="宋体" w:cs="Times New Roman"/>
          <w:b/>
          <w:bCs/>
          <w:sz w:val="24"/>
          <w:szCs w:val="24"/>
          <w:lang w:val="en-US" w:eastAsia="zh-CN"/>
        </w:rPr>
        <w:t>附图</w:t>
      </w:r>
    </w:p>
    <w:p w14:paraId="1C3F972E">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_Toc4031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附图1 项目地理位置图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_Toc4031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116</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508E59B3">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_Toc16796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附图2 环境保护目标图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_Toc16796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117</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7D7DEC6E">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_Toc24470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lang w:val="en-US" w:eastAsia="zh-CN"/>
        </w:rPr>
        <w:t>附图3 湖南东洞庭湖国家级自然保护区功能区划图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_Toc24470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118</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2D5A94DE">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_Toc13672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附图</w:t>
      </w:r>
      <w:r>
        <w:rPr>
          <w:rFonts w:hint="default" w:ascii="Times New Roman" w:hAnsi="Times New Roman" w:eastAsia="宋体" w:cs="Times New Roman"/>
          <w:bCs/>
          <w:sz w:val="24"/>
          <w:szCs w:val="24"/>
          <w:lang w:val="en-US" w:eastAsia="zh-CN"/>
        </w:rPr>
        <w:t>4</w:t>
      </w:r>
      <w:r>
        <w:rPr>
          <w:rFonts w:hint="default" w:ascii="Times New Roman" w:hAnsi="Times New Roman" w:eastAsia="宋体" w:cs="Times New Roman"/>
          <w:bCs/>
          <w:sz w:val="24"/>
          <w:szCs w:val="24"/>
        </w:rPr>
        <w:t xml:space="preserve"> </w:t>
      </w:r>
      <w:r>
        <w:rPr>
          <w:rFonts w:hint="default" w:ascii="Times New Roman" w:hAnsi="Times New Roman" w:eastAsia="宋体" w:cs="Times New Roman"/>
          <w:bCs/>
          <w:sz w:val="24"/>
          <w:szCs w:val="24"/>
          <w:lang w:val="en-US" w:eastAsia="zh-CN"/>
        </w:rPr>
        <w:t>厂区总</w:t>
      </w:r>
      <w:r>
        <w:rPr>
          <w:rFonts w:hint="default" w:ascii="Times New Roman" w:hAnsi="Times New Roman" w:eastAsia="宋体" w:cs="Times New Roman"/>
          <w:bCs/>
          <w:sz w:val="24"/>
          <w:szCs w:val="24"/>
        </w:rPr>
        <w:t>平面布置图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_Toc13672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119</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676AF849">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_Toc16152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lang w:val="en-US" w:eastAsia="zh-CN"/>
        </w:rPr>
        <w:t>附图5 肉制品生产线平面布置图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_Toc16152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120</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0B5E0BC9">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_Toc31544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lang w:val="en-US" w:eastAsia="zh-CN"/>
        </w:rPr>
        <w:t>附图6 鹌鹑蛋生产线车间平面布置图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_Toc31544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121</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3744D1D7">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_Toc6267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lang w:val="en-US" w:eastAsia="zh-CN"/>
        </w:rPr>
        <w:t>附图7 二楼消毒、包装车间</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_Toc6267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122</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281AECB9">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_Toc25468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附图</w:t>
      </w:r>
      <w:r>
        <w:rPr>
          <w:rFonts w:hint="default" w:ascii="Times New Roman" w:hAnsi="Times New Roman" w:eastAsia="宋体" w:cs="Times New Roman"/>
          <w:bCs/>
          <w:sz w:val="24"/>
          <w:szCs w:val="24"/>
          <w:lang w:val="en-US" w:eastAsia="zh-CN"/>
        </w:rPr>
        <w:t>8</w:t>
      </w:r>
      <w:r>
        <w:rPr>
          <w:rFonts w:hint="default" w:ascii="Times New Roman" w:hAnsi="Times New Roman" w:eastAsia="宋体" w:cs="Times New Roman"/>
          <w:bCs/>
          <w:sz w:val="24"/>
          <w:szCs w:val="24"/>
        </w:rPr>
        <w:t xml:space="preserve"> </w:t>
      </w:r>
      <w:r>
        <w:rPr>
          <w:rFonts w:hint="default" w:ascii="Times New Roman" w:hAnsi="Times New Roman" w:eastAsia="宋体" w:cs="Times New Roman"/>
          <w:bCs/>
          <w:sz w:val="24"/>
          <w:szCs w:val="24"/>
          <w:lang w:val="en-US" w:eastAsia="zh-CN"/>
        </w:rPr>
        <w:t>锅炉房平面布置图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_Toc25468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123</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661506DC">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_Toc4876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rPr>
        <w:t>附图</w:t>
      </w:r>
      <w:r>
        <w:rPr>
          <w:rFonts w:hint="default" w:ascii="Times New Roman" w:hAnsi="Times New Roman" w:eastAsia="宋体" w:cs="Times New Roman"/>
          <w:bCs/>
          <w:sz w:val="24"/>
          <w:szCs w:val="24"/>
          <w:lang w:val="en-US" w:eastAsia="zh-CN"/>
        </w:rPr>
        <w:t>9</w:t>
      </w:r>
      <w:r>
        <w:rPr>
          <w:rFonts w:hint="default" w:ascii="Times New Roman" w:hAnsi="Times New Roman" w:eastAsia="宋体" w:cs="Times New Roman"/>
          <w:bCs/>
          <w:sz w:val="24"/>
          <w:szCs w:val="24"/>
        </w:rPr>
        <w:t xml:space="preserve"> 荆江门片区土地利用规划图</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_Toc4876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124</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74193563">
      <w:pPr>
        <w:pStyle w:val="18"/>
        <w:tabs>
          <w:tab w:val="right" w:leader="middleDot" w:pos="8300"/>
        </w:tabs>
        <w:spacing w:line="360" w:lineRule="auto"/>
        <w:rPr>
          <w:rFonts w:hint="default" w:ascii="Times New Roman" w:hAnsi="Times New Roman" w:eastAsia="宋体" w:cs="Times New Roman"/>
          <w:sz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_Toc10193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lang w:val="en-US" w:eastAsia="zh-CN"/>
        </w:rPr>
        <w:t>附图10 工业园污水排放管网图（荆江门片区）</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_Toc10193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125</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28C11D01">
      <w:pPr>
        <w:pStyle w:val="18"/>
        <w:tabs>
          <w:tab w:val="right" w:leader="middleDot" w:pos="8300"/>
        </w:tabs>
        <w:spacing w:line="360" w:lineRule="auto"/>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_Toc16275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bCs/>
          <w:sz w:val="24"/>
          <w:szCs w:val="24"/>
          <w:lang w:val="en-US" w:eastAsia="zh-CN"/>
        </w:rPr>
        <w:t>附图11 现场照片</w:t>
      </w:r>
      <w:r>
        <w:rPr>
          <w:rFonts w:hint="default" w:ascii="Times New Roman" w:hAnsi="Times New Roman" w:eastAsia="宋体" w:cs="Times New Roman"/>
          <w:sz w:val="24"/>
        </w:rPr>
        <w:tab/>
      </w: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PAGEREF _Toc16275 \h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126</w:t>
      </w:r>
      <w:r>
        <w:rPr>
          <w:rFonts w:hint="default" w:ascii="Times New Roman" w:hAnsi="Times New Roman" w:eastAsia="宋体" w:cs="Times New Roman"/>
          <w:sz w:val="24"/>
        </w:rPr>
        <w:fldChar w:fldCharType="end"/>
      </w:r>
      <w:r>
        <w:rPr>
          <w:rFonts w:hint="default" w:ascii="Times New Roman" w:hAnsi="Times New Roman" w:eastAsia="宋体" w:cs="Times New Roman"/>
          <w:sz w:val="24"/>
          <w:szCs w:val="24"/>
        </w:rPr>
        <w:fldChar w:fldCharType="end"/>
      </w:r>
    </w:p>
    <w:p w14:paraId="3BFF050D">
      <w:pPr>
        <w:pStyle w:val="20"/>
        <w:spacing w:beforeLines="0" w:beforeAutospacing="0" w:afterLines="0" w:afterAutospacing="0" w:line="360" w:lineRule="auto"/>
        <w:ind w:left="0" w:leftChars="0"/>
        <w:rPr>
          <w:rFonts w:ascii="Times New Roman" w:hAnsi="Times New Roman" w:eastAsia="宋体" w:cs="Times New Roman"/>
          <w:kern w:val="0"/>
          <w:sz w:val="24"/>
          <w:szCs w:val="36"/>
          <w:lang w:val="en-US" w:eastAsia="zh-CN" w:bidi="ar-SA"/>
        </w:rPr>
      </w:pPr>
      <w:r>
        <w:rPr>
          <w:rFonts w:ascii="Times New Roman" w:hAnsi="Times New Roman"/>
          <w:szCs w:val="36"/>
        </w:rPr>
        <w:fldChar w:fldCharType="end"/>
      </w:r>
    </w:p>
    <w:p w14:paraId="48612F93">
      <w:pPr>
        <w:pStyle w:val="20"/>
        <w:ind w:left="-420" w:leftChars="-200"/>
        <w:rPr>
          <w:rFonts w:ascii="Times New Roman" w:hAnsi="Times New Roman" w:eastAsia="宋体" w:cs="Times New Roman"/>
          <w:kern w:val="0"/>
          <w:sz w:val="24"/>
          <w:szCs w:val="36"/>
          <w:lang w:val="en-US" w:eastAsia="zh-CN" w:bidi="ar-SA"/>
        </w:rPr>
      </w:pPr>
    </w:p>
    <w:p w14:paraId="5DF36E06">
      <w:pPr>
        <w:pStyle w:val="20"/>
        <w:outlineLvl w:val="9"/>
        <w:rPr>
          <w:rFonts w:ascii="Times New Roman" w:hAnsi="Times New Roman"/>
          <w:sz w:val="36"/>
          <w:szCs w:val="36"/>
        </w:rPr>
        <w:sectPr>
          <w:headerReference r:id="rId6" w:type="default"/>
          <w:footerReference r:id="rId7" w:type="default"/>
          <w:pgSz w:w="11906" w:h="16838"/>
          <w:pgMar w:top="1417" w:right="1417" w:bottom="1417" w:left="1701" w:header="851" w:footer="1077" w:gutter="0"/>
          <w:pgBorders>
            <w:top w:val="none" w:sz="0" w:space="0"/>
            <w:left w:val="none" w:sz="0" w:space="0"/>
            <w:bottom w:val="none" w:sz="0" w:space="0"/>
            <w:right w:val="none" w:sz="0" w:space="0"/>
          </w:pgBorders>
          <w:pgNumType w:fmt="upperRoman" w:start="1"/>
          <w:cols w:space="720" w:num="1"/>
          <w:docGrid w:linePitch="312" w:charSpace="0"/>
        </w:sectPr>
      </w:pPr>
    </w:p>
    <w:p w14:paraId="7792FFAC">
      <w:pPr>
        <w:pStyle w:val="20"/>
        <w:spacing w:before="0" w:beforeAutospacing="0" w:after="0" w:afterAutospacing="0" w:line="360" w:lineRule="auto"/>
        <w:ind w:left="0" w:leftChars="0" w:right="0" w:rightChars="0" w:firstLine="0" w:firstLineChars="0"/>
        <w:jc w:val="center"/>
        <w:outlineLvl w:val="0"/>
        <w:rPr>
          <w:rFonts w:ascii="Times New Roman" w:hAnsi="Times New Roman"/>
          <w:snapToGrid w:val="0"/>
          <w:sz w:val="30"/>
          <w:szCs w:val="30"/>
        </w:rPr>
      </w:pPr>
      <w:bookmarkStart w:id="192" w:name="_GoBack"/>
      <w:bookmarkEnd w:id="192"/>
      <w:bookmarkStart w:id="2" w:name="_Toc81"/>
      <w:bookmarkStart w:id="3" w:name="_Toc20409"/>
      <w:bookmarkStart w:id="4" w:name="_Toc16986"/>
      <w:bookmarkStart w:id="5" w:name="_Toc25548"/>
      <w:bookmarkStart w:id="6" w:name="_Toc6071"/>
      <w:bookmarkStart w:id="7" w:name="_Toc29579"/>
      <w:r>
        <w:rPr>
          <w:rFonts w:ascii="Times New Roman" w:hAnsi="Times New Roman"/>
          <w:b/>
          <w:bCs/>
          <w:snapToGrid w:val="0"/>
          <w:sz w:val="30"/>
          <w:szCs w:val="30"/>
        </w:rPr>
        <w:t>一、建设项目基本情况</w:t>
      </w:r>
      <w:bookmarkEnd w:id="2"/>
      <w:bookmarkEnd w:id="3"/>
      <w:bookmarkEnd w:id="4"/>
      <w:bookmarkEnd w:id="5"/>
      <w:bookmarkEnd w:id="6"/>
      <w:bookmarkEnd w:id="7"/>
    </w:p>
    <w:tbl>
      <w:tblPr>
        <w:tblStyle w:val="24"/>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37"/>
        <w:gridCol w:w="2491"/>
        <w:gridCol w:w="2189"/>
        <w:gridCol w:w="2995"/>
      </w:tblGrid>
      <w:tr w14:paraId="3FD6F5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27D6CED8">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建设项目名称</w:t>
            </w:r>
          </w:p>
        </w:tc>
        <w:tc>
          <w:tcPr>
            <w:tcW w:w="4354" w:type="pct"/>
            <w:gridSpan w:val="3"/>
            <w:vAlign w:val="center"/>
          </w:tcPr>
          <w:p w14:paraId="67BA6544">
            <w:pPr>
              <w:keepNext w:val="0"/>
              <w:keepLines w:val="0"/>
              <w:suppressLineNumbers w:val="0"/>
              <w:adjustRightInd w:val="0"/>
              <w:snapToGrid w:val="0"/>
              <w:spacing w:before="0" w:beforeAutospacing="0" w:after="0" w:afterAutospacing="0"/>
              <w:ind w:left="0" w:right="0"/>
              <w:jc w:val="center"/>
              <w:rPr>
                <w:rFonts w:hint="eastAsia"/>
                <w:sz w:val="24"/>
                <w:lang w:val="en-US" w:eastAsia="zh-CN"/>
              </w:rPr>
            </w:pPr>
            <w:r>
              <w:rPr>
                <w:rFonts w:hint="eastAsia"/>
                <w:sz w:val="24"/>
                <w:lang w:val="en-US" w:eastAsia="zh-CN"/>
              </w:rPr>
              <w:t>湖南童记三利和食品有限公司</w:t>
            </w:r>
          </w:p>
          <w:p w14:paraId="489EEB66">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年产5000吨肉制品</w:t>
            </w:r>
            <w:r>
              <w:rPr>
                <w:rFonts w:hint="eastAsia"/>
                <w:sz w:val="24"/>
                <w:lang w:val="en-US" w:eastAsia="zh-CN"/>
              </w:rPr>
              <w:t>和</w:t>
            </w:r>
            <w:r>
              <w:rPr>
                <w:rFonts w:hint="default"/>
                <w:sz w:val="24"/>
              </w:rPr>
              <w:t>3000吨鹌鹑蛋项目</w:t>
            </w:r>
          </w:p>
        </w:tc>
      </w:tr>
      <w:tr w14:paraId="2304C1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65BCAB96">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项目代码</w:t>
            </w:r>
          </w:p>
        </w:tc>
        <w:tc>
          <w:tcPr>
            <w:tcW w:w="4354" w:type="pct"/>
            <w:gridSpan w:val="3"/>
            <w:vAlign w:val="center"/>
          </w:tcPr>
          <w:p w14:paraId="53EA1347">
            <w:pPr>
              <w:keepNext w:val="0"/>
              <w:keepLines w:val="0"/>
              <w:suppressLineNumbers w:val="0"/>
              <w:adjustRightInd w:val="0"/>
              <w:snapToGrid w:val="0"/>
              <w:spacing w:before="0" w:beforeAutospacing="0" w:after="0" w:afterAutospacing="0"/>
              <w:ind w:left="0" w:right="0"/>
              <w:jc w:val="center"/>
              <w:rPr>
                <w:rFonts w:hint="eastAsia"/>
                <w:sz w:val="24"/>
                <w:lang w:val="en-US" w:eastAsia="zh-CN"/>
              </w:rPr>
            </w:pPr>
            <w:r>
              <w:rPr>
                <w:rFonts w:hint="eastAsia"/>
                <w:sz w:val="24"/>
                <w:lang w:val="en-US" w:eastAsia="zh-CN"/>
              </w:rPr>
              <w:t>2019-430611-13-03-020266</w:t>
            </w:r>
          </w:p>
          <w:p w14:paraId="52AB073C">
            <w:pPr>
              <w:keepNext w:val="0"/>
              <w:keepLines w:val="0"/>
              <w:suppressLineNumbers w:val="0"/>
              <w:adjustRightInd w:val="0"/>
              <w:snapToGrid w:val="0"/>
              <w:spacing w:before="0" w:beforeAutospacing="0" w:after="0" w:afterAutospacing="0"/>
              <w:ind w:left="0" w:right="0"/>
              <w:jc w:val="center"/>
              <w:rPr>
                <w:rFonts w:hint="eastAsia" w:eastAsia="宋体"/>
                <w:sz w:val="24"/>
                <w:lang w:val="en-US" w:eastAsia="zh-CN"/>
              </w:rPr>
            </w:pPr>
            <w:r>
              <w:rPr>
                <w:rFonts w:hint="eastAsia"/>
                <w:sz w:val="24"/>
                <w:lang w:val="en-US" w:eastAsia="zh-CN"/>
              </w:rPr>
              <w:t>2309-430611-04-02-795228</w:t>
            </w:r>
          </w:p>
        </w:tc>
      </w:tr>
      <w:tr w14:paraId="7A8F5F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28225313">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建设单位联系人</w:t>
            </w:r>
          </w:p>
        </w:tc>
        <w:tc>
          <w:tcPr>
            <w:tcW w:w="1413" w:type="pct"/>
            <w:vAlign w:val="center"/>
          </w:tcPr>
          <w:p w14:paraId="5EECDCA3">
            <w:pPr>
              <w:keepNext w:val="0"/>
              <w:keepLines w:val="0"/>
              <w:suppressLineNumbers w:val="0"/>
              <w:adjustRightInd w:val="0"/>
              <w:snapToGrid w:val="0"/>
              <w:spacing w:before="0" w:beforeAutospacing="0" w:after="0" w:afterAutospacing="0"/>
              <w:ind w:left="0" w:right="0"/>
              <w:jc w:val="center"/>
              <w:rPr>
                <w:rFonts w:hint="eastAsia" w:eastAsia="宋体"/>
                <w:sz w:val="24"/>
                <w:lang w:val="en-US" w:eastAsia="zh-CN"/>
              </w:rPr>
            </w:pPr>
            <w:r>
              <w:rPr>
                <w:rFonts w:hint="eastAsia" w:eastAsia="宋体"/>
                <w:sz w:val="24"/>
                <w:lang w:val="en-US" w:eastAsia="zh-CN"/>
              </w:rPr>
              <w:t>胡</w:t>
            </w:r>
            <w:r>
              <w:rPr>
                <w:rFonts w:hint="eastAsia"/>
                <w:sz w:val="24"/>
                <w:lang w:val="en-US" w:eastAsia="zh-CN"/>
              </w:rPr>
              <w:t>小英</w:t>
            </w:r>
          </w:p>
        </w:tc>
        <w:tc>
          <w:tcPr>
            <w:tcW w:w="1242" w:type="pct"/>
            <w:vAlign w:val="center"/>
          </w:tcPr>
          <w:p w14:paraId="34018E8B">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联系方式</w:t>
            </w:r>
          </w:p>
        </w:tc>
        <w:tc>
          <w:tcPr>
            <w:tcW w:w="1698" w:type="pct"/>
            <w:vAlign w:val="center"/>
          </w:tcPr>
          <w:p w14:paraId="44FA8698">
            <w:pPr>
              <w:keepNext w:val="0"/>
              <w:keepLines w:val="0"/>
              <w:suppressLineNumbers w:val="0"/>
              <w:adjustRightInd w:val="0"/>
              <w:snapToGrid w:val="0"/>
              <w:spacing w:before="0" w:beforeAutospacing="0" w:after="0" w:afterAutospacing="0"/>
              <w:ind w:left="0" w:right="0"/>
              <w:jc w:val="center"/>
              <w:rPr>
                <w:rFonts w:hint="default"/>
                <w:sz w:val="24"/>
              </w:rPr>
            </w:pPr>
            <w:r>
              <w:rPr>
                <w:rFonts w:hint="eastAsia"/>
                <w:sz w:val="24"/>
                <w:lang w:val="en-US" w:eastAsia="zh-CN"/>
              </w:rPr>
              <w:t>15007303709</w:t>
            </w:r>
          </w:p>
        </w:tc>
      </w:tr>
      <w:tr w14:paraId="5F5980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5B3E404D">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建设地点</w:t>
            </w:r>
          </w:p>
        </w:tc>
        <w:tc>
          <w:tcPr>
            <w:tcW w:w="4354" w:type="pct"/>
            <w:gridSpan w:val="3"/>
            <w:vAlign w:val="center"/>
          </w:tcPr>
          <w:p w14:paraId="3EB23980">
            <w:pPr>
              <w:keepNext w:val="0"/>
              <w:keepLines w:val="0"/>
              <w:suppressLineNumbers w:val="0"/>
              <w:adjustRightInd w:val="0"/>
              <w:snapToGrid w:val="0"/>
              <w:spacing w:before="0" w:beforeAutospacing="0" w:after="0" w:afterAutospacing="0"/>
              <w:ind w:left="0" w:right="0"/>
              <w:jc w:val="center"/>
              <w:rPr>
                <w:rFonts w:hint="default"/>
                <w:sz w:val="24"/>
                <w:lang w:val="en-US"/>
              </w:rPr>
            </w:pPr>
            <w:r>
              <w:rPr>
                <w:rFonts w:hint="default"/>
                <w:sz w:val="24"/>
                <w:lang w:val="en-US" w:eastAsia="zh-CN"/>
              </w:rPr>
              <w:t>岳阳市君山区</w:t>
            </w:r>
            <w:r>
              <w:rPr>
                <w:rFonts w:hint="default"/>
                <w:strike w:val="0"/>
                <w:sz w:val="24"/>
                <w:lang w:val="en-US" w:eastAsia="zh-CN"/>
              </w:rPr>
              <w:t>君山产业开发区荆江门片区</w:t>
            </w:r>
            <w:r>
              <w:rPr>
                <w:rFonts w:hint="eastAsia"/>
                <w:strike w:val="0"/>
                <w:sz w:val="24"/>
                <w:lang w:val="en-US" w:eastAsia="zh-CN"/>
              </w:rPr>
              <w:t>童记三利和现有厂房内</w:t>
            </w:r>
          </w:p>
        </w:tc>
      </w:tr>
      <w:tr w14:paraId="638440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7B4D5359">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地理坐标</w:t>
            </w:r>
          </w:p>
        </w:tc>
        <w:tc>
          <w:tcPr>
            <w:tcW w:w="4354" w:type="pct"/>
            <w:gridSpan w:val="3"/>
            <w:vAlign w:val="center"/>
          </w:tcPr>
          <w:p w14:paraId="32157FA3">
            <w:pPr>
              <w:keepNext w:val="0"/>
              <w:keepLines w:val="0"/>
              <w:suppressLineNumbers w:val="0"/>
              <w:spacing w:before="0" w:beforeAutospacing="0" w:after="0" w:afterAutospacing="0"/>
              <w:ind w:left="0" w:right="0"/>
              <w:jc w:val="center"/>
              <w:rPr>
                <w:rFonts w:hint="default"/>
              </w:rPr>
            </w:pPr>
            <w:r>
              <w:rPr>
                <w:rFonts w:hint="default"/>
                <w:sz w:val="24"/>
              </w:rPr>
              <w:t>（</w:t>
            </w:r>
            <w:r>
              <w:rPr>
                <w:rFonts w:hint="eastAsia"/>
                <w:sz w:val="24"/>
                <w:lang w:val="en-US" w:eastAsia="zh-CN"/>
              </w:rPr>
              <w:t>112</w:t>
            </w:r>
            <w:r>
              <w:rPr>
                <w:rFonts w:hint="default"/>
                <w:sz w:val="24"/>
              </w:rPr>
              <w:t>度</w:t>
            </w:r>
            <w:r>
              <w:rPr>
                <w:rFonts w:hint="eastAsia"/>
                <w:sz w:val="24"/>
                <w:lang w:val="en-US" w:eastAsia="zh-CN"/>
              </w:rPr>
              <w:t>57</w:t>
            </w:r>
            <w:r>
              <w:rPr>
                <w:rFonts w:hint="default"/>
                <w:sz w:val="24"/>
              </w:rPr>
              <w:t>分</w:t>
            </w:r>
            <w:r>
              <w:rPr>
                <w:rFonts w:hint="eastAsia"/>
                <w:sz w:val="24"/>
                <w:highlight w:val="none"/>
                <w:lang w:val="en-US" w:eastAsia="zh-CN"/>
              </w:rPr>
              <w:t>10.491</w:t>
            </w:r>
            <w:r>
              <w:rPr>
                <w:rFonts w:hint="default"/>
                <w:sz w:val="24"/>
                <w:highlight w:val="none"/>
              </w:rPr>
              <w:t>秒</w:t>
            </w:r>
            <w:r>
              <w:rPr>
                <w:rFonts w:hint="default"/>
                <w:sz w:val="24"/>
              </w:rPr>
              <w:t>，</w:t>
            </w:r>
            <w:r>
              <w:rPr>
                <w:rFonts w:hint="eastAsia"/>
                <w:sz w:val="24"/>
                <w:lang w:val="en-US" w:eastAsia="zh-CN"/>
              </w:rPr>
              <w:t>29</w:t>
            </w:r>
            <w:r>
              <w:rPr>
                <w:rFonts w:hint="default"/>
                <w:sz w:val="24"/>
              </w:rPr>
              <w:t>度</w:t>
            </w:r>
            <w:r>
              <w:rPr>
                <w:rFonts w:hint="eastAsia"/>
                <w:sz w:val="24"/>
                <w:lang w:val="en-US" w:eastAsia="zh-CN"/>
              </w:rPr>
              <w:t>26</w:t>
            </w:r>
            <w:r>
              <w:rPr>
                <w:rFonts w:hint="default"/>
                <w:sz w:val="24"/>
              </w:rPr>
              <w:t>分</w:t>
            </w:r>
            <w:r>
              <w:rPr>
                <w:rFonts w:hint="eastAsia"/>
                <w:sz w:val="24"/>
                <w:lang w:val="en-US" w:eastAsia="zh-CN"/>
              </w:rPr>
              <w:t>39.365</w:t>
            </w:r>
            <w:r>
              <w:rPr>
                <w:rFonts w:hint="default"/>
                <w:sz w:val="24"/>
              </w:rPr>
              <w:t>秒）</w:t>
            </w:r>
          </w:p>
        </w:tc>
      </w:tr>
      <w:tr w14:paraId="1608B1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645" w:type="pct"/>
            <w:tcMar>
              <w:top w:w="16" w:type="dxa"/>
              <w:left w:w="16" w:type="dxa"/>
              <w:right w:w="16" w:type="dxa"/>
            </w:tcMar>
            <w:vAlign w:val="center"/>
          </w:tcPr>
          <w:p w14:paraId="06744EE2">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国民经济</w:t>
            </w:r>
          </w:p>
          <w:p w14:paraId="234697F2">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行业类别</w:t>
            </w:r>
          </w:p>
        </w:tc>
        <w:tc>
          <w:tcPr>
            <w:tcW w:w="1413" w:type="pct"/>
            <w:vAlign w:val="center"/>
          </w:tcPr>
          <w:p w14:paraId="192FB6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240" w:firstLineChars="100"/>
              <w:jc w:val="left"/>
              <w:textAlignment w:val="auto"/>
              <w:rPr>
                <w:rFonts w:hint="default"/>
                <w:sz w:val="24"/>
              </w:rPr>
            </w:pPr>
            <w:r>
              <w:rPr>
                <w:rFonts w:hint="default"/>
                <w:sz w:val="24"/>
              </w:rPr>
              <w:t>C1353肉制品及副产品加工</w:t>
            </w:r>
          </w:p>
          <w:p w14:paraId="3807C5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240" w:firstLineChars="100"/>
              <w:jc w:val="left"/>
              <w:textAlignment w:val="auto"/>
              <w:rPr>
                <w:rFonts w:hint="default"/>
                <w:sz w:val="24"/>
                <w:lang w:val="en-US" w:eastAsia="zh-CN"/>
              </w:rPr>
            </w:pPr>
            <w:r>
              <w:rPr>
                <w:rFonts w:hint="eastAsia"/>
                <w:sz w:val="24"/>
                <w:lang w:val="en-US" w:eastAsia="zh-CN"/>
              </w:rPr>
              <w:t>C1393蛋品加工</w:t>
            </w:r>
          </w:p>
          <w:p w14:paraId="7054B0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240" w:firstLineChars="100"/>
              <w:jc w:val="left"/>
              <w:textAlignment w:val="auto"/>
              <w:rPr>
                <w:rFonts w:hint="default"/>
                <w:sz w:val="24"/>
              </w:rPr>
            </w:pPr>
            <w:r>
              <w:rPr>
                <w:rFonts w:hint="default"/>
                <w:sz w:val="24"/>
              </w:rPr>
              <w:t>D4430热力生产和供应业</w:t>
            </w:r>
          </w:p>
        </w:tc>
        <w:tc>
          <w:tcPr>
            <w:tcW w:w="1242" w:type="pct"/>
            <w:vAlign w:val="center"/>
          </w:tcPr>
          <w:p w14:paraId="04D98776">
            <w:pPr>
              <w:keepNext w:val="0"/>
              <w:keepLines w:val="0"/>
              <w:suppressLineNumbers w:val="0"/>
              <w:adjustRightInd w:val="0"/>
              <w:snapToGrid w:val="0"/>
              <w:spacing w:before="0" w:beforeAutospacing="0" w:after="0" w:afterAutospacing="0"/>
              <w:ind w:left="0" w:right="0"/>
              <w:jc w:val="center"/>
              <w:rPr>
                <w:rFonts w:hint="default"/>
                <w:sz w:val="24"/>
              </w:rPr>
            </w:pPr>
            <w:bookmarkStart w:id="8" w:name="_Hlk49843745"/>
            <w:r>
              <w:rPr>
                <w:rFonts w:hint="default"/>
                <w:sz w:val="24"/>
              </w:rPr>
              <w:t>建设项目</w:t>
            </w:r>
          </w:p>
          <w:p w14:paraId="486E2731">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行业类别</w:t>
            </w:r>
            <w:bookmarkEnd w:id="8"/>
          </w:p>
        </w:tc>
        <w:tc>
          <w:tcPr>
            <w:tcW w:w="1698" w:type="pct"/>
            <w:vAlign w:val="center"/>
          </w:tcPr>
          <w:p w14:paraId="398AABBC">
            <w:pPr>
              <w:keepNext w:val="0"/>
              <w:keepLines w:val="0"/>
              <w:numPr>
                <w:ilvl w:val="0"/>
                <w:numId w:val="0"/>
              </w:numPr>
              <w:suppressLineNumbers w:val="0"/>
              <w:adjustRightInd w:val="0"/>
              <w:snapToGrid w:val="0"/>
              <w:spacing w:before="0" w:beforeAutospacing="0" w:after="0" w:afterAutospacing="0"/>
              <w:ind w:left="0" w:right="0"/>
              <w:rPr>
                <w:rFonts w:hint="default"/>
                <w:sz w:val="24"/>
                <w:lang w:eastAsia="zh-CN"/>
              </w:rPr>
            </w:pPr>
            <w:r>
              <w:rPr>
                <w:rFonts w:hint="eastAsia"/>
                <w:sz w:val="24"/>
                <w:lang w:val="en-US" w:eastAsia="zh-CN"/>
              </w:rPr>
              <w:t>十、</w:t>
            </w:r>
            <w:r>
              <w:rPr>
                <w:rFonts w:hint="default"/>
                <w:sz w:val="24"/>
              </w:rPr>
              <w:t>农副食品加工业13</w:t>
            </w:r>
            <w:r>
              <w:rPr>
                <w:rFonts w:hint="default"/>
                <w:sz w:val="24"/>
                <w:lang w:val="en-US" w:eastAsia="zh-CN"/>
              </w:rPr>
              <w:t>中的“</w:t>
            </w:r>
            <w:r>
              <w:rPr>
                <w:rFonts w:hint="default"/>
                <w:sz w:val="24"/>
              </w:rPr>
              <w:t>18屠宰及肉类加工135*</w:t>
            </w:r>
            <w:r>
              <w:rPr>
                <w:rFonts w:hint="default"/>
                <w:sz w:val="24"/>
                <w:lang w:eastAsia="zh-CN"/>
              </w:rPr>
              <w:t>”</w:t>
            </w:r>
          </w:p>
          <w:p w14:paraId="473624A4">
            <w:pPr>
              <w:keepNext w:val="0"/>
              <w:keepLines w:val="0"/>
              <w:numPr>
                <w:ilvl w:val="0"/>
                <w:numId w:val="0"/>
              </w:numPr>
              <w:suppressLineNumbers w:val="0"/>
              <w:adjustRightInd w:val="0"/>
              <w:snapToGrid w:val="0"/>
              <w:spacing w:before="0" w:beforeAutospacing="0" w:after="0" w:afterAutospacing="0"/>
              <w:ind w:left="0" w:right="0"/>
              <w:rPr>
                <w:rFonts w:hint="default"/>
                <w:sz w:val="24"/>
                <w:lang w:eastAsia="zh-CN"/>
              </w:rPr>
            </w:pPr>
            <w:r>
              <w:rPr>
                <w:rFonts w:hint="default"/>
                <w:sz w:val="24"/>
              </w:rPr>
              <w:t>十、农副食品加工业13</w:t>
            </w:r>
            <w:r>
              <w:rPr>
                <w:rFonts w:hint="default"/>
                <w:sz w:val="24"/>
                <w:lang w:val="en-US" w:eastAsia="zh-CN"/>
              </w:rPr>
              <w:t>中的“</w:t>
            </w:r>
            <w:r>
              <w:rPr>
                <w:rFonts w:hint="default"/>
                <w:sz w:val="24"/>
              </w:rPr>
              <w:t>20其他农副食品加工139*</w:t>
            </w:r>
            <w:r>
              <w:rPr>
                <w:rFonts w:hint="default"/>
                <w:sz w:val="24"/>
                <w:lang w:eastAsia="zh-CN"/>
              </w:rPr>
              <w:t>”</w:t>
            </w:r>
          </w:p>
          <w:p w14:paraId="5104BE7A">
            <w:pPr>
              <w:keepNext w:val="0"/>
              <w:keepLines w:val="0"/>
              <w:suppressLineNumbers w:val="0"/>
              <w:adjustRightInd w:val="0"/>
              <w:snapToGrid w:val="0"/>
              <w:spacing w:before="0" w:beforeAutospacing="0" w:after="0" w:afterAutospacing="0"/>
              <w:ind w:left="0" w:right="0"/>
              <w:rPr>
                <w:rFonts w:hint="default"/>
                <w:sz w:val="24"/>
              </w:rPr>
            </w:pPr>
            <w:r>
              <w:rPr>
                <w:rFonts w:hint="default"/>
                <w:sz w:val="24"/>
              </w:rPr>
              <w:t>四十一、电力、热力生产和供应业</w:t>
            </w:r>
            <w:r>
              <w:rPr>
                <w:rFonts w:hint="default"/>
                <w:sz w:val="24"/>
                <w:lang w:val="en-US" w:eastAsia="zh-CN"/>
              </w:rPr>
              <w:t>中的“</w:t>
            </w:r>
            <w:r>
              <w:rPr>
                <w:rFonts w:hint="default"/>
                <w:sz w:val="24"/>
              </w:rPr>
              <w:t>91热力生产和供应工程（包括建设单位自建 自用的供热工程）</w:t>
            </w:r>
            <w:r>
              <w:rPr>
                <w:rFonts w:hint="default"/>
                <w:sz w:val="24"/>
                <w:lang w:eastAsia="zh-CN"/>
              </w:rPr>
              <w:t>”</w:t>
            </w:r>
          </w:p>
        </w:tc>
      </w:tr>
      <w:tr w14:paraId="009AD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645" w:type="pct"/>
            <w:tcMar>
              <w:top w:w="16" w:type="dxa"/>
              <w:left w:w="16" w:type="dxa"/>
              <w:right w:w="16" w:type="dxa"/>
            </w:tcMar>
            <w:vAlign w:val="center"/>
          </w:tcPr>
          <w:p w14:paraId="36680060">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建设性质</w:t>
            </w:r>
          </w:p>
        </w:tc>
        <w:tc>
          <w:tcPr>
            <w:tcW w:w="1413" w:type="pct"/>
            <w:vAlign w:val="center"/>
          </w:tcPr>
          <w:p w14:paraId="097425D3">
            <w:pPr>
              <w:keepNext w:val="0"/>
              <w:keepLines w:val="0"/>
              <w:suppressLineNumbers w:val="0"/>
              <w:spacing w:before="0" w:beforeAutospacing="0" w:after="0" w:afterAutospacing="0"/>
              <w:ind w:left="0" w:right="0"/>
              <w:jc w:val="left"/>
              <w:rPr>
                <w:rFonts w:hint="default"/>
                <w:sz w:val="24"/>
              </w:rPr>
            </w:pPr>
            <w:r>
              <w:rPr>
                <w:rFonts w:hint="default"/>
                <w:sz w:val="24"/>
              </w:rPr>
              <w:sym w:font="Wingdings 2" w:char="00A3"/>
            </w:r>
            <w:r>
              <w:rPr>
                <w:rFonts w:hint="default"/>
                <w:sz w:val="24"/>
              </w:rPr>
              <w:t>新建（迁建）</w:t>
            </w:r>
          </w:p>
          <w:p w14:paraId="4A6D917F">
            <w:pPr>
              <w:keepNext w:val="0"/>
              <w:keepLines w:val="0"/>
              <w:suppressLineNumbers w:val="0"/>
              <w:spacing w:before="0" w:beforeAutospacing="0" w:after="0" w:afterAutospacing="0"/>
              <w:ind w:left="0" w:right="0"/>
              <w:jc w:val="left"/>
              <w:rPr>
                <w:rFonts w:hint="eastAsia" w:eastAsia="宋体"/>
                <w:sz w:val="24"/>
                <w:lang w:val="en-US" w:eastAsia="zh-CN"/>
              </w:rPr>
            </w:pPr>
            <w:r>
              <w:rPr>
                <w:rFonts w:hint="default"/>
                <w:sz w:val="24"/>
              </w:rPr>
              <w:sym w:font="Wingdings 2" w:char="0052"/>
            </w:r>
            <w:r>
              <w:rPr>
                <w:rFonts w:hint="default"/>
                <w:sz w:val="24"/>
              </w:rPr>
              <w:t>改</w:t>
            </w:r>
            <w:r>
              <w:rPr>
                <w:rFonts w:hint="eastAsia"/>
                <w:sz w:val="24"/>
                <w:lang w:val="en-US" w:eastAsia="zh-CN"/>
              </w:rPr>
              <w:t>扩建</w:t>
            </w:r>
          </w:p>
          <w:p w14:paraId="33974605">
            <w:pPr>
              <w:keepNext w:val="0"/>
              <w:keepLines w:val="0"/>
              <w:suppressLineNumbers w:val="0"/>
              <w:spacing w:before="0" w:beforeAutospacing="0" w:after="0" w:afterAutospacing="0"/>
              <w:ind w:left="0" w:right="0"/>
              <w:jc w:val="left"/>
              <w:rPr>
                <w:rFonts w:hint="default"/>
                <w:sz w:val="24"/>
              </w:rPr>
            </w:pPr>
            <w:r>
              <w:rPr>
                <w:rFonts w:hint="default"/>
                <w:sz w:val="24"/>
              </w:rPr>
              <w:sym w:font="Wingdings 2" w:char="00A3"/>
            </w:r>
            <w:r>
              <w:rPr>
                <w:rFonts w:hint="default"/>
                <w:sz w:val="24"/>
              </w:rPr>
              <w:t>技术改造</w:t>
            </w:r>
          </w:p>
        </w:tc>
        <w:tc>
          <w:tcPr>
            <w:tcW w:w="1242" w:type="pct"/>
            <w:vAlign w:val="center"/>
          </w:tcPr>
          <w:p w14:paraId="452F6F61">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建设项目</w:t>
            </w:r>
          </w:p>
          <w:p w14:paraId="5B71BF59">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申报情形</w:t>
            </w:r>
          </w:p>
        </w:tc>
        <w:tc>
          <w:tcPr>
            <w:tcW w:w="1698" w:type="pct"/>
            <w:vAlign w:val="center"/>
          </w:tcPr>
          <w:p w14:paraId="50FA858C">
            <w:pPr>
              <w:keepNext w:val="0"/>
              <w:keepLines w:val="0"/>
              <w:suppressLineNumbers w:val="0"/>
              <w:spacing w:before="0" w:beforeAutospacing="0" w:after="0" w:afterAutospacing="0"/>
              <w:ind w:left="0" w:right="0"/>
              <w:jc w:val="left"/>
              <w:rPr>
                <w:rFonts w:hint="default"/>
                <w:sz w:val="24"/>
              </w:rPr>
            </w:pPr>
            <w:r>
              <w:rPr>
                <w:rFonts w:hint="default"/>
                <w:sz w:val="24"/>
              </w:rPr>
              <w:sym w:font="Wingdings 2" w:char="0052"/>
            </w:r>
            <w:r>
              <w:rPr>
                <w:rFonts w:hint="default"/>
                <w:sz w:val="24"/>
              </w:rPr>
              <w:t xml:space="preserve">首次申报项目             </w:t>
            </w:r>
          </w:p>
          <w:p w14:paraId="16B7E9DC">
            <w:pPr>
              <w:keepNext w:val="0"/>
              <w:keepLines w:val="0"/>
              <w:suppressLineNumbers w:val="0"/>
              <w:spacing w:before="0" w:beforeAutospacing="0" w:after="0" w:afterAutospacing="0"/>
              <w:ind w:left="0" w:right="0"/>
              <w:jc w:val="left"/>
              <w:rPr>
                <w:rFonts w:hint="default"/>
                <w:sz w:val="24"/>
              </w:rPr>
            </w:pPr>
            <w:r>
              <w:rPr>
                <w:rFonts w:hint="default"/>
                <w:sz w:val="24"/>
              </w:rPr>
              <w:sym w:font="Wingdings 2" w:char="00A3"/>
            </w:r>
            <w:r>
              <w:rPr>
                <w:rFonts w:hint="default"/>
                <w:sz w:val="24"/>
              </w:rPr>
              <w:t>不予批准后再次申报项目</w:t>
            </w:r>
          </w:p>
          <w:p w14:paraId="0D93DB1C">
            <w:pPr>
              <w:keepNext w:val="0"/>
              <w:keepLines w:val="0"/>
              <w:suppressLineNumbers w:val="0"/>
              <w:spacing w:before="0" w:beforeAutospacing="0" w:after="0" w:afterAutospacing="0"/>
              <w:ind w:left="0" w:right="0"/>
              <w:jc w:val="left"/>
              <w:rPr>
                <w:rFonts w:hint="default"/>
                <w:sz w:val="24"/>
              </w:rPr>
            </w:pPr>
            <w:r>
              <w:rPr>
                <w:rFonts w:hint="default"/>
                <w:sz w:val="24"/>
              </w:rPr>
              <w:sym w:font="Wingdings 2" w:char="00A3"/>
            </w:r>
            <w:r>
              <w:rPr>
                <w:rFonts w:hint="default"/>
                <w:sz w:val="24"/>
              </w:rPr>
              <w:t xml:space="preserve">超五年重新审核项目     </w:t>
            </w:r>
          </w:p>
          <w:p w14:paraId="2276A546">
            <w:pPr>
              <w:keepNext w:val="0"/>
              <w:keepLines w:val="0"/>
              <w:suppressLineNumbers w:val="0"/>
              <w:spacing w:before="0" w:beforeAutospacing="0" w:after="0" w:afterAutospacing="0"/>
              <w:ind w:left="0" w:right="0"/>
              <w:jc w:val="left"/>
              <w:rPr>
                <w:rFonts w:hint="default"/>
                <w:sz w:val="24"/>
              </w:rPr>
            </w:pPr>
            <w:r>
              <w:rPr>
                <w:rFonts w:hint="default"/>
                <w:sz w:val="24"/>
              </w:rPr>
              <w:sym w:font="Wingdings 2" w:char="00A3"/>
            </w:r>
            <w:r>
              <w:rPr>
                <w:rFonts w:hint="default"/>
                <w:sz w:val="24"/>
              </w:rPr>
              <w:t>重大变动重新报批项目</w:t>
            </w:r>
          </w:p>
        </w:tc>
      </w:tr>
      <w:tr w14:paraId="1FC323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0" w:hRule="atLeast"/>
          <w:jc w:val="center"/>
        </w:trPr>
        <w:tc>
          <w:tcPr>
            <w:tcW w:w="645" w:type="pct"/>
            <w:tcMar>
              <w:top w:w="16" w:type="dxa"/>
              <w:left w:w="16" w:type="dxa"/>
              <w:right w:w="16" w:type="dxa"/>
            </w:tcMar>
            <w:vAlign w:val="center"/>
          </w:tcPr>
          <w:p w14:paraId="6A983429">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项目审批（核准/备案）部门（选填）</w:t>
            </w:r>
          </w:p>
        </w:tc>
        <w:tc>
          <w:tcPr>
            <w:tcW w:w="1413" w:type="pct"/>
            <w:vAlign w:val="center"/>
          </w:tcPr>
          <w:p w14:paraId="34F2860B">
            <w:pPr>
              <w:keepNext w:val="0"/>
              <w:keepLines w:val="0"/>
              <w:suppressLineNumbers w:val="0"/>
              <w:adjustRightInd w:val="0"/>
              <w:snapToGrid w:val="0"/>
              <w:spacing w:before="0" w:beforeAutospacing="0" w:after="0" w:afterAutospacing="0"/>
              <w:ind w:left="0" w:right="0"/>
              <w:jc w:val="center"/>
              <w:rPr>
                <w:rFonts w:hint="eastAsia" w:eastAsia="宋体"/>
                <w:sz w:val="24"/>
                <w:lang w:val="en-US" w:eastAsia="zh-CN"/>
              </w:rPr>
            </w:pPr>
            <w:r>
              <w:rPr>
                <w:rFonts w:hint="eastAsia"/>
                <w:sz w:val="24"/>
                <w:lang w:val="en-US" w:eastAsia="zh-CN"/>
              </w:rPr>
              <w:t>岳阳市君山区发展和改革局</w:t>
            </w:r>
          </w:p>
        </w:tc>
        <w:tc>
          <w:tcPr>
            <w:tcW w:w="1242" w:type="pct"/>
            <w:vAlign w:val="center"/>
          </w:tcPr>
          <w:p w14:paraId="6087EDAA">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项目审批（核准/</w:t>
            </w:r>
          </w:p>
          <w:p w14:paraId="3C0D95F4">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备案）文号（选填）</w:t>
            </w:r>
          </w:p>
        </w:tc>
        <w:tc>
          <w:tcPr>
            <w:tcW w:w="1698" w:type="pct"/>
            <w:vAlign w:val="center"/>
          </w:tcPr>
          <w:p w14:paraId="6C993F95">
            <w:pPr>
              <w:keepNext w:val="0"/>
              <w:keepLines w:val="0"/>
              <w:suppressLineNumbers w:val="0"/>
              <w:adjustRightInd w:val="0"/>
              <w:snapToGrid w:val="0"/>
              <w:spacing w:before="0" w:beforeAutospacing="0" w:after="0" w:afterAutospacing="0"/>
              <w:ind w:left="0" w:right="0"/>
              <w:jc w:val="center"/>
              <w:rPr>
                <w:rFonts w:hint="eastAsia"/>
                <w:sz w:val="24"/>
                <w:lang w:val="en-US" w:eastAsia="zh-CN"/>
              </w:rPr>
            </w:pPr>
            <w:r>
              <w:rPr>
                <w:rFonts w:hint="eastAsia"/>
                <w:sz w:val="24"/>
                <w:lang w:val="en-US" w:eastAsia="zh-CN"/>
              </w:rPr>
              <w:t>岳君发改备[2019]20号</w:t>
            </w:r>
          </w:p>
          <w:p w14:paraId="7CEE4131">
            <w:pPr>
              <w:keepNext w:val="0"/>
              <w:keepLines w:val="0"/>
              <w:suppressLineNumbers w:val="0"/>
              <w:adjustRightInd w:val="0"/>
              <w:snapToGrid w:val="0"/>
              <w:spacing w:before="0" w:beforeAutospacing="0" w:after="0" w:afterAutospacing="0"/>
              <w:ind w:left="0" w:right="0"/>
              <w:jc w:val="center"/>
              <w:rPr>
                <w:rFonts w:hint="default"/>
                <w:sz w:val="24"/>
              </w:rPr>
            </w:pPr>
            <w:r>
              <w:rPr>
                <w:rFonts w:hint="eastAsia"/>
                <w:sz w:val="24"/>
                <w:lang w:val="en-US" w:eastAsia="zh-CN"/>
              </w:rPr>
              <w:t>岳君发改备[2023]38号</w:t>
            </w:r>
          </w:p>
        </w:tc>
      </w:tr>
      <w:tr w14:paraId="73482E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65EF3C84">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总投资（万元）</w:t>
            </w:r>
          </w:p>
        </w:tc>
        <w:tc>
          <w:tcPr>
            <w:tcW w:w="1413" w:type="pct"/>
            <w:vAlign w:val="center"/>
          </w:tcPr>
          <w:p w14:paraId="555300D9">
            <w:pPr>
              <w:keepNext w:val="0"/>
              <w:keepLines w:val="0"/>
              <w:suppressLineNumbers w:val="0"/>
              <w:adjustRightInd w:val="0"/>
              <w:snapToGrid w:val="0"/>
              <w:spacing w:before="0" w:beforeAutospacing="0" w:after="0" w:afterAutospacing="0"/>
              <w:ind w:left="0" w:right="0"/>
              <w:jc w:val="center"/>
              <w:rPr>
                <w:rFonts w:hint="default" w:eastAsia="宋体"/>
                <w:sz w:val="24"/>
                <w:lang w:val="en-US" w:eastAsia="zh-CN"/>
              </w:rPr>
            </w:pPr>
            <w:r>
              <w:rPr>
                <w:rFonts w:hint="eastAsia"/>
                <w:sz w:val="24"/>
                <w:lang w:val="en-US" w:eastAsia="zh-CN"/>
              </w:rPr>
              <w:t>4500</w:t>
            </w:r>
          </w:p>
        </w:tc>
        <w:tc>
          <w:tcPr>
            <w:tcW w:w="1242" w:type="pct"/>
            <w:tcMar>
              <w:top w:w="16" w:type="dxa"/>
              <w:left w:w="16" w:type="dxa"/>
              <w:right w:w="16" w:type="dxa"/>
            </w:tcMar>
            <w:vAlign w:val="center"/>
          </w:tcPr>
          <w:p w14:paraId="024F81F0">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环保投资（万元）</w:t>
            </w:r>
          </w:p>
        </w:tc>
        <w:tc>
          <w:tcPr>
            <w:tcW w:w="1698" w:type="pct"/>
            <w:vAlign w:val="center"/>
          </w:tcPr>
          <w:p w14:paraId="338D26A1">
            <w:pPr>
              <w:keepNext w:val="0"/>
              <w:keepLines w:val="0"/>
              <w:suppressLineNumbers w:val="0"/>
              <w:adjustRightInd w:val="0"/>
              <w:snapToGrid w:val="0"/>
              <w:spacing w:before="0" w:beforeAutospacing="0" w:after="0" w:afterAutospacing="0"/>
              <w:ind w:left="0" w:right="0"/>
              <w:jc w:val="center"/>
              <w:rPr>
                <w:rFonts w:hint="default" w:eastAsia="宋体"/>
                <w:sz w:val="24"/>
                <w:lang w:val="en-US" w:eastAsia="zh-CN"/>
              </w:rPr>
            </w:pPr>
            <w:r>
              <w:rPr>
                <w:rFonts w:hint="eastAsia"/>
                <w:sz w:val="24"/>
                <w:lang w:val="en-US" w:eastAsia="zh-CN"/>
              </w:rPr>
              <w:t>59.2</w:t>
            </w:r>
          </w:p>
        </w:tc>
      </w:tr>
      <w:tr w14:paraId="6526CC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44BE8184">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环保投资占比（%）</w:t>
            </w:r>
          </w:p>
        </w:tc>
        <w:tc>
          <w:tcPr>
            <w:tcW w:w="1413" w:type="pct"/>
            <w:vAlign w:val="center"/>
          </w:tcPr>
          <w:p w14:paraId="118F9964">
            <w:pPr>
              <w:keepNext w:val="0"/>
              <w:keepLines w:val="0"/>
              <w:suppressLineNumbers w:val="0"/>
              <w:adjustRightInd w:val="0"/>
              <w:snapToGrid w:val="0"/>
              <w:spacing w:before="0" w:beforeAutospacing="0" w:after="0" w:afterAutospacing="0"/>
              <w:ind w:left="0" w:right="0"/>
              <w:jc w:val="center"/>
              <w:rPr>
                <w:rFonts w:hint="default" w:eastAsia="宋体"/>
                <w:sz w:val="24"/>
                <w:lang w:val="en-US" w:eastAsia="zh-CN"/>
              </w:rPr>
            </w:pPr>
            <w:r>
              <w:rPr>
                <w:rFonts w:hint="eastAsia"/>
                <w:sz w:val="24"/>
                <w:lang w:val="en-US" w:eastAsia="zh-CN"/>
              </w:rPr>
              <w:t>1.32</w:t>
            </w:r>
          </w:p>
        </w:tc>
        <w:tc>
          <w:tcPr>
            <w:tcW w:w="1242" w:type="pct"/>
            <w:tcMar>
              <w:top w:w="16" w:type="dxa"/>
              <w:left w:w="16" w:type="dxa"/>
              <w:right w:w="16" w:type="dxa"/>
            </w:tcMar>
            <w:vAlign w:val="center"/>
          </w:tcPr>
          <w:p w14:paraId="0655509D">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施工工期</w:t>
            </w:r>
          </w:p>
        </w:tc>
        <w:tc>
          <w:tcPr>
            <w:tcW w:w="1698" w:type="pct"/>
            <w:vAlign w:val="center"/>
          </w:tcPr>
          <w:p w14:paraId="2DFB5837">
            <w:pPr>
              <w:keepNext w:val="0"/>
              <w:keepLines w:val="0"/>
              <w:suppressLineNumbers w:val="0"/>
              <w:adjustRightInd w:val="0"/>
              <w:snapToGrid w:val="0"/>
              <w:spacing w:before="0" w:beforeAutospacing="0" w:after="0" w:afterAutospacing="0"/>
              <w:ind w:left="0" w:right="0"/>
              <w:jc w:val="center"/>
              <w:rPr>
                <w:rFonts w:hint="default"/>
                <w:sz w:val="24"/>
              </w:rPr>
            </w:pPr>
            <w:r>
              <w:rPr>
                <w:rFonts w:hint="eastAsia"/>
                <w:sz w:val="24"/>
                <w:lang w:val="en-US" w:eastAsia="zh-CN"/>
              </w:rPr>
              <w:t>5</w:t>
            </w:r>
            <w:r>
              <w:rPr>
                <w:rFonts w:hint="default"/>
                <w:sz w:val="24"/>
              </w:rPr>
              <w:t>个月</w:t>
            </w:r>
          </w:p>
        </w:tc>
      </w:tr>
      <w:tr w14:paraId="4F5376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645" w:type="pct"/>
            <w:tcMar>
              <w:top w:w="16" w:type="dxa"/>
              <w:left w:w="16" w:type="dxa"/>
              <w:right w:w="16" w:type="dxa"/>
            </w:tcMar>
            <w:vAlign w:val="center"/>
          </w:tcPr>
          <w:p w14:paraId="260E681D">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是否开工建设</w:t>
            </w:r>
          </w:p>
        </w:tc>
        <w:tc>
          <w:tcPr>
            <w:tcW w:w="1413" w:type="pct"/>
            <w:vAlign w:val="center"/>
          </w:tcPr>
          <w:p w14:paraId="337C040F">
            <w:pPr>
              <w:keepNext w:val="0"/>
              <w:keepLines w:val="0"/>
              <w:suppressLineNumbers w:val="0"/>
              <w:adjustRightInd w:val="0"/>
              <w:snapToGrid w:val="0"/>
              <w:spacing w:before="0" w:beforeAutospacing="0" w:after="0" w:afterAutospacing="0"/>
              <w:ind w:left="0" w:right="0"/>
              <w:rPr>
                <w:rFonts w:hint="default"/>
                <w:sz w:val="24"/>
              </w:rPr>
            </w:pPr>
            <w:r>
              <w:rPr>
                <w:rFonts w:hint="default"/>
                <w:sz w:val="24"/>
              </w:rPr>
              <w:sym w:font="Wingdings 2" w:char="0052"/>
            </w:r>
            <w:r>
              <w:rPr>
                <w:rFonts w:hint="default"/>
                <w:sz w:val="24"/>
              </w:rPr>
              <w:t>否</w:t>
            </w:r>
          </w:p>
          <w:p w14:paraId="57C0E22A">
            <w:pPr>
              <w:keepNext w:val="0"/>
              <w:keepLines w:val="0"/>
              <w:suppressLineNumbers w:val="0"/>
              <w:adjustRightInd w:val="0"/>
              <w:snapToGrid w:val="0"/>
              <w:spacing w:before="0" w:beforeAutospacing="0" w:after="0" w:afterAutospacing="0"/>
              <w:ind w:left="0" w:right="0"/>
              <w:rPr>
                <w:rFonts w:hint="default"/>
                <w:sz w:val="24"/>
              </w:rPr>
            </w:pPr>
            <w:r>
              <w:rPr>
                <w:rFonts w:hint="default"/>
                <w:sz w:val="24"/>
              </w:rPr>
              <w:sym w:font="Wingdings 2" w:char="00A3"/>
            </w:r>
            <w:r>
              <w:rPr>
                <w:rFonts w:hint="default"/>
                <w:sz w:val="24"/>
              </w:rPr>
              <w:t>是</w:t>
            </w:r>
          </w:p>
        </w:tc>
        <w:tc>
          <w:tcPr>
            <w:tcW w:w="1242" w:type="pct"/>
            <w:tcMar>
              <w:top w:w="16" w:type="dxa"/>
              <w:left w:w="16" w:type="dxa"/>
              <w:right w:w="16" w:type="dxa"/>
            </w:tcMar>
            <w:vAlign w:val="center"/>
          </w:tcPr>
          <w:p w14:paraId="5D1BD208">
            <w:pPr>
              <w:keepNext w:val="0"/>
              <w:keepLines w:val="0"/>
              <w:suppressLineNumbers w:val="0"/>
              <w:adjustRightInd w:val="0"/>
              <w:snapToGrid w:val="0"/>
              <w:spacing w:before="0" w:beforeAutospacing="0" w:after="0" w:afterAutospacing="0"/>
              <w:ind w:left="0" w:right="0"/>
              <w:jc w:val="center"/>
              <w:rPr>
                <w:rFonts w:hint="default"/>
                <w:spacing w:val="-6"/>
                <w:sz w:val="24"/>
              </w:rPr>
            </w:pPr>
            <w:r>
              <w:rPr>
                <w:rFonts w:hint="default"/>
                <w:spacing w:val="-6"/>
                <w:sz w:val="24"/>
              </w:rPr>
              <w:t>用地（用海）</w:t>
            </w:r>
          </w:p>
          <w:p w14:paraId="48B167DD">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pacing w:val="-6"/>
                <w:sz w:val="24"/>
              </w:rPr>
              <w:t>面积（m</w:t>
            </w:r>
            <w:r>
              <w:rPr>
                <w:rFonts w:hint="default"/>
                <w:spacing w:val="-6"/>
                <w:sz w:val="24"/>
                <w:vertAlign w:val="superscript"/>
              </w:rPr>
              <w:t>2</w:t>
            </w:r>
            <w:r>
              <w:rPr>
                <w:rFonts w:hint="default"/>
                <w:spacing w:val="-6"/>
                <w:sz w:val="24"/>
              </w:rPr>
              <w:t>）</w:t>
            </w:r>
          </w:p>
        </w:tc>
        <w:tc>
          <w:tcPr>
            <w:tcW w:w="1698" w:type="pct"/>
            <w:vAlign w:val="center"/>
          </w:tcPr>
          <w:p w14:paraId="371476A5">
            <w:pPr>
              <w:keepNext w:val="0"/>
              <w:keepLines w:val="0"/>
              <w:widowControl/>
              <w:suppressLineNumbers w:val="0"/>
              <w:spacing w:before="0" w:beforeAutospacing="0" w:after="0" w:afterAutospacing="0"/>
              <w:ind w:left="0" w:leftChars="0" w:right="0" w:rightChars="0" w:firstLine="0" w:firstLineChars="0"/>
              <w:jc w:val="center"/>
              <w:rPr>
                <w:rFonts w:hint="eastAsia"/>
                <w:sz w:val="24"/>
                <w:lang w:val="en-US" w:eastAsia="zh-CN"/>
              </w:rPr>
            </w:pPr>
            <w:r>
              <w:rPr>
                <w:rFonts w:hint="eastAsia"/>
                <w:sz w:val="24"/>
                <w:lang w:val="en-US" w:eastAsia="zh-CN"/>
              </w:rPr>
              <w:t>4814</w:t>
            </w:r>
          </w:p>
          <w:p w14:paraId="3EC6A21D">
            <w:pPr>
              <w:pStyle w:val="5"/>
              <w:suppressLineNumbers w:val="0"/>
              <w:spacing w:before="0" w:beforeAutospacing="0" w:after="0" w:afterAutospacing="0"/>
              <w:ind w:left="0" w:right="0" w:firstLine="0"/>
              <w:jc w:val="center"/>
              <w:rPr>
                <w:rFonts w:hint="default"/>
                <w:lang w:val="en-US" w:eastAsia="zh-CN"/>
              </w:rPr>
            </w:pPr>
            <w:r>
              <w:rPr>
                <w:rFonts w:hint="eastAsia"/>
                <w:sz w:val="24"/>
                <w:lang w:val="en-US" w:eastAsia="zh-CN"/>
              </w:rPr>
              <w:t>（不新增用地）</w:t>
            </w:r>
          </w:p>
        </w:tc>
      </w:tr>
      <w:tr w14:paraId="1712E3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45" w:type="pct"/>
            <w:vAlign w:val="center"/>
          </w:tcPr>
          <w:p w14:paraId="440F7F6A">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kern w:val="0"/>
                <w:sz w:val="24"/>
              </w:rPr>
              <w:t>专项评价设置情况</w:t>
            </w:r>
          </w:p>
        </w:tc>
        <w:tc>
          <w:tcPr>
            <w:tcW w:w="4354" w:type="pct"/>
            <w:gridSpan w:val="3"/>
            <w:vAlign w:val="center"/>
          </w:tcPr>
          <w:p w14:paraId="6C8AEB2B">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eastAsia" w:eastAsia="宋体"/>
                <w:kern w:val="0"/>
                <w:sz w:val="24"/>
                <w:lang w:val="en-US" w:eastAsia="zh-CN"/>
              </w:rPr>
            </w:pPr>
            <w:r>
              <w:rPr>
                <w:rFonts w:hint="eastAsia"/>
                <w:kern w:val="0"/>
                <w:sz w:val="24"/>
                <w:lang w:val="en-US" w:eastAsia="zh-CN"/>
              </w:rPr>
              <w:t>/</w:t>
            </w:r>
          </w:p>
        </w:tc>
      </w:tr>
      <w:tr w14:paraId="72BF77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6" w:hRule="atLeast"/>
          <w:jc w:val="center"/>
        </w:trPr>
        <w:tc>
          <w:tcPr>
            <w:tcW w:w="645" w:type="pct"/>
            <w:vAlign w:val="center"/>
          </w:tcPr>
          <w:p w14:paraId="3BC27D18">
            <w:pPr>
              <w:keepNext w:val="0"/>
              <w:keepLines w:val="0"/>
              <w:suppressLineNumbers w:val="0"/>
              <w:autoSpaceDE w:val="0"/>
              <w:autoSpaceDN w:val="0"/>
              <w:adjustRightInd w:val="0"/>
              <w:snapToGrid w:val="0"/>
              <w:spacing w:before="0" w:beforeAutospacing="0" w:after="0" w:afterAutospacing="0"/>
              <w:ind w:left="0" w:right="0"/>
              <w:jc w:val="center"/>
              <w:rPr>
                <w:rFonts w:hint="default"/>
                <w:sz w:val="24"/>
              </w:rPr>
            </w:pPr>
            <w:r>
              <w:rPr>
                <w:rFonts w:hint="default"/>
                <w:sz w:val="24"/>
              </w:rPr>
              <w:t>规划</w:t>
            </w:r>
          </w:p>
          <w:p w14:paraId="6744EA9C">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sz w:val="24"/>
              </w:rPr>
              <w:t>情况</w:t>
            </w:r>
          </w:p>
        </w:tc>
        <w:tc>
          <w:tcPr>
            <w:tcW w:w="4354" w:type="pct"/>
            <w:gridSpan w:val="3"/>
            <w:vAlign w:val="center"/>
          </w:tcPr>
          <w:p w14:paraId="4E9008D7">
            <w:pPr>
              <w:keepNext w:val="0"/>
              <w:keepLines w:val="0"/>
              <w:suppressLineNumbers w:val="0"/>
              <w:autoSpaceDE/>
              <w:autoSpaceDN/>
              <w:adjustRightInd w:val="0"/>
              <w:snapToGrid w:val="0"/>
              <w:spacing w:before="0" w:beforeAutospacing="0" w:after="0" w:afterAutospacing="0" w:line="288" w:lineRule="auto"/>
              <w:ind w:left="0" w:right="0" w:firstLine="0" w:firstLineChars="0"/>
              <w:jc w:val="center"/>
              <w:rPr>
                <w:rFonts w:hint="eastAsia" w:ascii="Times New Roman" w:hAnsi="Times New Roman" w:eastAsia="宋体"/>
                <w:caps w:val="0"/>
                <w:color w:val="000000"/>
                <w:kern w:val="0"/>
                <w:sz w:val="24"/>
                <w:u w:val="single" w:color="auto"/>
                <w:lang w:val="en-US" w:eastAsia="zh-CN"/>
              </w:rPr>
            </w:pPr>
            <w:r>
              <w:rPr>
                <w:rFonts w:hint="eastAsia"/>
                <w:lang w:val="en-US" w:eastAsia="zh-CN"/>
              </w:rPr>
              <w:t>/</w:t>
            </w:r>
          </w:p>
        </w:tc>
      </w:tr>
      <w:tr w14:paraId="635AAC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5" w:hRule="atLeast"/>
          <w:jc w:val="center"/>
        </w:trPr>
        <w:tc>
          <w:tcPr>
            <w:tcW w:w="645" w:type="pct"/>
            <w:vAlign w:val="center"/>
          </w:tcPr>
          <w:p w14:paraId="5D62E964">
            <w:pPr>
              <w:keepNext w:val="0"/>
              <w:keepLines w:val="0"/>
              <w:suppressLineNumbers w:val="0"/>
              <w:adjustRightInd w:val="0"/>
              <w:snapToGrid w:val="0"/>
              <w:spacing w:before="0" w:beforeAutospacing="0" w:after="0" w:afterAutospacing="0"/>
              <w:ind w:left="0" w:right="0"/>
              <w:jc w:val="center"/>
              <w:rPr>
                <w:rFonts w:hint="default"/>
                <w:kern w:val="0"/>
                <w:sz w:val="24"/>
              </w:rPr>
            </w:pPr>
            <w:r>
              <w:rPr>
                <w:rFonts w:hint="default"/>
                <w:sz w:val="24"/>
              </w:rPr>
              <w:t>规划环境影响评价情况</w:t>
            </w:r>
          </w:p>
        </w:tc>
        <w:tc>
          <w:tcPr>
            <w:tcW w:w="4354" w:type="pct"/>
            <w:gridSpan w:val="3"/>
            <w:vAlign w:val="center"/>
          </w:tcPr>
          <w:p w14:paraId="3D07125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kern w:val="0"/>
                <w:sz w:val="24"/>
                <w:lang w:val="en-US" w:eastAsia="zh-CN"/>
              </w:rPr>
            </w:pPr>
            <w:r>
              <w:rPr>
                <w:rFonts w:hint="default"/>
                <w:kern w:val="0"/>
                <w:sz w:val="24"/>
                <w:lang w:val="en-US" w:eastAsia="zh-CN"/>
              </w:rPr>
              <w:t>文件名称：《君山工业集中区荆江门片区环境影响报告书》</w:t>
            </w:r>
          </w:p>
          <w:p w14:paraId="4EC7637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kern w:val="0"/>
                <w:sz w:val="24"/>
                <w:lang w:val="en-US" w:eastAsia="zh-CN"/>
              </w:rPr>
            </w:pPr>
            <w:r>
              <w:rPr>
                <w:rFonts w:hint="default"/>
                <w:kern w:val="0"/>
                <w:sz w:val="24"/>
                <w:lang w:val="en-US" w:eastAsia="zh-CN"/>
              </w:rPr>
              <w:t>召集审查机关：</w:t>
            </w:r>
            <w:r>
              <w:rPr>
                <w:rFonts w:hint="eastAsia"/>
                <w:kern w:val="0"/>
                <w:sz w:val="24"/>
                <w:lang w:val="en-US" w:eastAsia="zh-CN"/>
              </w:rPr>
              <w:t>原</w:t>
            </w:r>
            <w:r>
              <w:rPr>
                <w:rFonts w:hint="default"/>
                <w:kern w:val="0"/>
                <w:sz w:val="24"/>
                <w:lang w:val="en-US" w:eastAsia="zh-CN"/>
              </w:rPr>
              <w:t xml:space="preserve">湖南省环境保护厅 </w:t>
            </w:r>
          </w:p>
          <w:p w14:paraId="7A82FCE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kern w:val="0"/>
                <w:sz w:val="24"/>
                <w:lang w:val="en-US" w:eastAsia="zh-CN"/>
              </w:rPr>
            </w:pPr>
            <w:r>
              <w:rPr>
                <w:rFonts w:hint="default"/>
                <w:kern w:val="0"/>
                <w:sz w:val="24"/>
                <w:lang w:val="en-US" w:eastAsia="zh-CN"/>
              </w:rPr>
              <w:t>审查文件名称及文号：《关于君山工业集中区荆江门片区环境影响报告书的批复》（湘环评函[2014]54号）</w:t>
            </w:r>
          </w:p>
          <w:p w14:paraId="5F79AC26">
            <w:pPr>
              <w:pStyle w:val="5"/>
              <w:suppressLineNumbers w:val="0"/>
              <w:spacing w:before="0" w:beforeAutospacing="0" w:after="0" w:afterAutospacing="0"/>
              <w:ind w:left="0" w:right="0" w:firstLine="480" w:firstLineChars="200"/>
              <w:rPr>
                <w:rFonts w:hint="eastAsia"/>
                <w:kern w:val="0"/>
                <w:sz w:val="24"/>
                <w:lang w:val="en-US" w:eastAsia="zh-CN"/>
              </w:rPr>
            </w:pPr>
            <w:r>
              <w:rPr>
                <w:rFonts w:hint="eastAsia"/>
                <w:kern w:val="0"/>
                <w:sz w:val="24"/>
                <w:lang w:val="en-US" w:eastAsia="zh-CN"/>
              </w:rPr>
              <w:t>文件名称：《岳阳市君山产业开发区环境影响跟踪评价报告书》</w:t>
            </w:r>
          </w:p>
          <w:p w14:paraId="1A6D1DAE">
            <w:pPr>
              <w:pStyle w:val="5"/>
              <w:suppressLineNumbers w:val="0"/>
              <w:spacing w:before="0" w:beforeAutospacing="0" w:after="0" w:afterAutospacing="0"/>
              <w:ind w:left="0" w:right="0" w:firstLine="480" w:firstLineChars="200"/>
              <w:rPr>
                <w:rFonts w:hint="default"/>
                <w:kern w:val="0"/>
                <w:sz w:val="24"/>
                <w:lang w:val="en-US" w:eastAsia="zh-CN"/>
              </w:rPr>
            </w:pPr>
            <w:r>
              <w:rPr>
                <w:rFonts w:hint="default"/>
                <w:kern w:val="0"/>
                <w:sz w:val="24"/>
                <w:lang w:val="en-US" w:eastAsia="zh-CN"/>
              </w:rPr>
              <w:t xml:space="preserve">召集审查机关：湖南省环境保护厅 </w:t>
            </w:r>
          </w:p>
          <w:p w14:paraId="77C9E2C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textAlignment w:val="auto"/>
              <w:rPr>
                <w:rFonts w:hint="default"/>
                <w:kern w:val="0"/>
                <w:sz w:val="24"/>
                <w:lang w:val="en-US" w:eastAsia="zh-CN"/>
              </w:rPr>
            </w:pPr>
            <w:r>
              <w:rPr>
                <w:rFonts w:hint="default"/>
                <w:kern w:val="0"/>
                <w:sz w:val="24"/>
                <w:lang w:val="en-US" w:eastAsia="zh-CN"/>
              </w:rPr>
              <w:t>审查文件名称及文号：《湖南省生态环境厅关于君山产业开发区环境影响跟踪评价工作意见的函》（湘环评函[2022]4号）</w:t>
            </w:r>
          </w:p>
          <w:p w14:paraId="77C5CC7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0" w:firstLineChars="0"/>
              <w:textAlignment w:val="auto"/>
              <w:rPr>
                <w:rFonts w:hint="default"/>
                <w:kern w:val="0"/>
                <w:sz w:val="24"/>
              </w:rPr>
            </w:pPr>
          </w:p>
        </w:tc>
      </w:tr>
      <w:tr w14:paraId="134F35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645" w:type="pct"/>
            <w:vAlign w:val="center"/>
          </w:tcPr>
          <w:p w14:paraId="35E41337">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kern w:val="0"/>
                <w:sz w:val="24"/>
              </w:rPr>
              <w:t>规划及规划环境影响评价符合性分析</w:t>
            </w:r>
          </w:p>
        </w:tc>
        <w:tc>
          <w:tcPr>
            <w:tcW w:w="4354" w:type="pct"/>
            <w:gridSpan w:val="3"/>
            <w:vAlign w:val="center"/>
          </w:tcPr>
          <w:p w14:paraId="1F750B9A">
            <w:pPr>
              <w:keepNext w:val="0"/>
              <w:keepLines w:val="0"/>
              <w:suppressLineNumbers w:val="0"/>
              <w:spacing w:before="0" w:beforeAutospacing="0" w:after="0" w:afterAutospacing="0" w:line="360" w:lineRule="auto"/>
              <w:ind w:left="0" w:right="0" w:firstLine="0" w:firstLineChars="0"/>
              <w:jc w:val="left"/>
              <w:rPr>
                <w:rFonts w:hint="default"/>
                <w:b/>
                <w:bCs/>
                <w:sz w:val="24"/>
              </w:rPr>
            </w:pPr>
            <w:r>
              <w:rPr>
                <w:rFonts w:hint="eastAsia"/>
                <w:b/>
                <w:bCs/>
                <w:sz w:val="24"/>
                <w:lang w:val="en-US" w:eastAsia="zh-CN"/>
              </w:rPr>
              <w:t>一、</w:t>
            </w:r>
            <w:r>
              <w:rPr>
                <w:rFonts w:hint="default"/>
                <w:b/>
                <w:bCs/>
                <w:sz w:val="24"/>
              </w:rPr>
              <w:t>与</w:t>
            </w:r>
            <w:r>
              <w:rPr>
                <w:rFonts w:hint="eastAsia"/>
                <w:b/>
                <w:bCs/>
                <w:sz w:val="24"/>
                <w:lang w:val="en-US" w:eastAsia="zh-CN"/>
              </w:rPr>
              <w:t>《岳阳市君山工业集中区荆江门片区环境影响评价报告书》</w:t>
            </w:r>
            <w:r>
              <w:rPr>
                <w:rFonts w:hint="default"/>
                <w:b/>
                <w:bCs/>
                <w:sz w:val="24"/>
              </w:rPr>
              <w:t>符合性分析</w:t>
            </w:r>
          </w:p>
          <w:p w14:paraId="77109683">
            <w:pPr>
              <w:keepNext w:val="0"/>
              <w:keepLines w:val="0"/>
              <w:suppressLineNumbers w:val="0"/>
              <w:spacing w:before="0" w:beforeAutospacing="0" w:after="0" w:afterAutospacing="0" w:line="360" w:lineRule="auto"/>
              <w:ind w:left="0" w:right="0" w:firstLine="480" w:firstLineChars="200"/>
              <w:rPr>
                <w:rFonts w:hint="default"/>
                <w:b w:val="0"/>
                <w:bCs w:val="0"/>
                <w:sz w:val="24"/>
              </w:rPr>
            </w:pPr>
            <w:r>
              <w:rPr>
                <w:rFonts w:hint="eastAsia"/>
                <w:b w:val="0"/>
                <w:bCs w:val="0"/>
                <w:sz w:val="24"/>
              </w:rPr>
              <w:t>根据《湖南省环境保护厅关于岳阳市君山工业集中区荆江门片区环境影响报告书的批复意见的函》（湘环评函[2014]54号）中的企业准入制度如下所示：</w:t>
            </w:r>
          </w:p>
          <w:p w14:paraId="0475723D">
            <w:pPr>
              <w:keepNext w:val="0"/>
              <w:keepLines w:val="0"/>
              <w:suppressLineNumbers w:val="0"/>
              <w:spacing w:before="0" w:beforeAutospacing="0" w:after="0" w:afterAutospacing="0" w:line="360" w:lineRule="auto"/>
              <w:ind w:left="0" w:right="0" w:firstLine="480" w:firstLineChars="200"/>
              <w:rPr>
                <w:rFonts w:hint="eastAsia"/>
                <w:b/>
                <w:bCs/>
                <w:sz w:val="21"/>
                <w:szCs w:val="21"/>
                <w:lang w:val="en-US" w:eastAsia="zh-CN"/>
              </w:rPr>
            </w:pPr>
            <w:r>
              <w:rPr>
                <w:rFonts w:hint="eastAsia"/>
                <w:b w:val="0"/>
                <w:bCs w:val="0"/>
                <w:sz w:val="24"/>
              </w:rPr>
              <w:t>严格执行荆江门片区企业准入制度，严格执行片区企业准入制度，入区企业选址必须符合片区总体发展规划、用地规划、环保规划和环境影响报告书要求，不得引进国家明令淘汰和禁止发展的能耗物耗高、环境污染严重、不符合产业政策和片区产业定位的建设项目，严格按产业定位引进产业，以一类工业为主，严格限制二类工业，禁止三类工业，禁止引进气型污染企业，禁止引进涉重金属、持久性有机物及高噪声设备的企业，严格限制耗水型及废水排放量大的企业进入，严格限制油脂加工类企业进入，管委会和地方环保行政主管部门必须按照报告书提出的“集中区准入与限制行业类型一览表”做好项目的招商把关，在入区项目前期和建设期，必须严格执行建设项目环境影响评价和“三同时”制度，推行清洁生产工艺，其排污浓度、总量必须满足达标排放和总量控制要求。</w:t>
            </w:r>
          </w:p>
          <w:p w14:paraId="65107B94">
            <w:pPr>
              <w:pStyle w:val="33"/>
              <w:keepNext w:val="0"/>
              <w:keepLines w:val="0"/>
              <w:numPr>
                <w:ilvl w:val="0"/>
                <w:numId w:val="2"/>
              </w:numPr>
              <w:suppressLineNumbers w:val="0"/>
              <w:spacing w:before="0" w:beforeAutospacing="0" w:after="0" w:afterAutospacing="0"/>
              <w:ind w:right="0" w:firstLineChars="0"/>
              <w:jc w:val="center"/>
              <w:rPr>
                <w:rFonts w:hint="default" w:eastAsia="宋体"/>
                <w:b/>
                <w:bCs/>
                <w:sz w:val="21"/>
                <w:szCs w:val="21"/>
                <w:lang w:val="en-US" w:eastAsia="zh-CN"/>
              </w:rPr>
            </w:pPr>
            <w:r>
              <w:rPr>
                <w:rFonts w:hint="eastAsia"/>
                <w:b/>
                <w:bCs/>
                <w:sz w:val="24"/>
                <w:szCs w:val="24"/>
                <w:lang w:val="en-US" w:eastAsia="zh-CN"/>
              </w:rPr>
              <w:t>项目与园区准入条件符合性分析</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73"/>
              <w:gridCol w:w="3456"/>
              <w:gridCol w:w="877"/>
              <w:gridCol w:w="1319"/>
              <w:gridCol w:w="701"/>
            </w:tblGrid>
            <w:tr w14:paraId="46806A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pct"/>
                  <w:vMerge w:val="restart"/>
                  <w:vAlign w:val="center"/>
                </w:tcPr>
                <w:p w14:paraId="133796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b/>
                      <w:bCs/>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产业定位的行业类别</w:t>
                  </w:r>
                </w:p>
              </w:tc>
              <w:tc>
                <w:tcPr>
                  <w:tcW w:w="2916" w:type="pct"/>
                  <w:gridSpan w:val="2"/>
                  <w:vAlign w:val="center"/>
                </w:tcPr>
                <w:p w14:paraId="5A66D7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b/>
                      <w:bCs/>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规划环评准入要求</w:t>
                  </w:r>
                </w:p>
              </w:tc>
              <w:tc>
                <w:tcPr>
                  <w:tcW w:w="888" w:type="pct"/>
                  <w:vMerge w:val="restart"/>
                  <w:vAlign w:val="center"/>
                </w:tcPr>
                <w:p w14:paraId="17BD91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b/>
                      <w:bCs/>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项目情况</w:t>
                  </w:r>
                </w:p>
              </w:tc>
              <w:tc>
                <w:tcPr>
                  <w:tcW w:w="472" w:type="pct"/>
                  <w:vMerge w:val="restart"/>
                  <w:vAlign w:val="center"/>
                </w:tcPr>
                <w:p w14:paraId="15CA37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b/>
                      <w:bCs/>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符合分析</w:t>
                  </w:r>
                </w:p>
              </w:tc>
            </w:tr>
            <w:tr w14:paraId="7BEF35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pct"/>
                  <w:vMerge w:val="continue"/>
                  <w:vAlign w:val="center"/>
                </w:tcPr>
                <w:p w14:paraId="5D3F1C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p>
              </w:tc>
              <w:tc>
                <w:tcPr>
                  <w:tcW w:w="2326" w:type="pct"/>
                  <w:vAlign w:val="center"/>
                </w:tcPr>
                <w:p w14:paraId="4EF73A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b/>
                      <w:bCs/>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入区项目相关要求</w:t>
                  </w:r>
                </w:p>
              </w:tc>
              <w:tc>
                <w:tcPr>
                  <w:tcW w:w="590" w:type="pct"/>
                  <w:vAlign w:val="center"/>
                </w:tcPr>
                <w:p w14:paraId="2D3EFA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b/>
                      <w:bCs/>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建议入园方位</w:t>
                  </w:r>
                </w:p>
              </w:tc>
              <w:tc>
                <w:tcPr>
                  <w:tcW w:w="888" w:type="pct"/>
                  <w:vMerge w:val="continue"/>
                  <w:vAlign w:val="center"/>
                </w:tcPr>
                <w:p w14:paraId="1FDCFA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p>
              </w:tc>
              <w:tc>
                <w:tcPr>
                  <w:tcW w:w="472" w:type="pct"/>
                  <w:vMerge w:val="continue"/>
                  <w:vAlign w:val="center"/>
                </w:tcPr>
                <w:p w14:paraId="5279C7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p>
              </w:tc>
            </w:tr>
            <w:tr w14:paraId="201371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pct"/>
                  <w:vMerge w:val="restart"/>
                  <w:vAlign w:val="center"/>
                </w:tcPr>
                <w:p w14:paraId="5FA420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食品制造加工、农副产品加工、茶叶加工</w:t>
                  </w:r>
                </w:p>
              </w:tc>
              <w:tc>
                <w:tcPr>
                  <w:tcW w:w="2326" w:type="pct"/>
                </w:tcPr>
                <w:p w14:paraId="7895CC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鼓励类：</w:t>
                  </w:r>
                </w:p>
                <w:p w14:paraId="30B5F5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①谷物磨制、农副产品饮料等高附加价值植物饮料的开发生产；②以农副产品为原料的绿色无公害及添加剂开发；③营养健康型大米、小麦粉及制品的开发生产、传统主食工业化生产，薯类变性淀粉生产等</w:t>
                  </w:r>
                  <w:r>
                    <w:rPr>
                      <w:rFonts w:hint="default" w:ascii="Times New Roman" w:hAnsi="Times New Roman"/>
                      <w:caps w:val="0"/>
                      <w:color w:val="000000" w:themeColor="text1"/>
                      <w:kern w:val="0"/>
                      <w:szCs w:val="21"/>
                      <w:u w:val="none" w:color="auto"/>
                      <w14:textFill>
                        <w14:solidFill>
                          <w14:schemeClr w14:val="tx1"/>
                        </w14:solidFill>
                      </w14:textFill>
                    </w:rPr>
                    <w:t>。</w:t>
                  </w:r>
                </w:p>
              </w:tc>
              <w:tc>
                <w:tcPr>
                  <w:tcW w:w="590" w:type="pct"/>
                  <w:vAlign w:val="center"/>
                </w:tcPr>
                <w:p w14:paraId="5C8B70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一类或二类</w:t>
                  </w:r>
                </w:p>
              </w:tc>
              <w:tc>
                <w:tcPr>
                  <w:tcW w:w="888" w:type="pct"/>
                  <w:vAlign w:val="center"/>
                </w:tcPr>
                <w:p w14:paraId="3DA336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lang w:val="en-US"/>
                      <w14:textFill>
                        <w14:solidFill>
                          <w14:schemeClr w14:val="tx1"/>
                        </w14:solidFill>
                      </w14:textFill>
                    </w:rPr>
                  </w:pPr>
                  <w:r>
                    <w:rPr>
                      <w:rFonts w:hint="eastAsia"/>
                      <w:caps w:val="0"/>
                      <w:color w:val="000000" w:themeColor="text1"/>
                      <w:szCs w:val="21"/>
                      <w:u w:val="none" w:color="auto"/>
                      <w:lang w:val="en-US" w:eastAsia="zh-CN"/>
                      <w14:textFill>
                        <w14:solidFill>
                          <w14:schemeClr w14:val="tx1"/>
                        </w14:solidFill>
                      </w14:textFill>
                    </w:rPr>
                    <w:t>本</w:t>
                  </w:r>
                  <w:r>
                    <w:rPr>
                      <w:rFonts w:hint="default" w:ascii="Times New Roman" w:hAnsi="Times New Roman"/>
                      <w:caps w:val="0"/>
                      <w:color w:val="000000" w:themeColor="text1"/>
                      <w:szCs w:val="21"/>
                      <w:u w:val="none" w:color="auto"/>
                      <w14:textFill>
                        <w14:solidFill>
                          <w14:schemeClr w14:val="tx1"/>
                        </w14:solidFill>
                      </w14:textFill>
                    </w:rPr>
                    <w:t>项目为</w:t>
                  </w:r>
                  <w:r>
                    <w:rPr>
                      <w:rFonts w:hint="eastAsia"/>
                      <w:caps w:val="0"/>
                      <w:color w:val="000000" w:themeColor="text1"/>
                      <w:szCs w:val="21"/>
                      <w:u w:val="none" w:color="auto"/>
                      <w:lang w:val="en-US" w:eastAsia="zh-CN"/>
                      <w14:textFill>
                        <w14:solidFill>
                          <w14:schemeClr w14:val="tx1"/>
                        </w14:solidFill>
                      </w14:textFill>
                    </w:rPr>
                    <w:t>农副产品加工，配套建设一台4t/h生物质蒸汽锅炉</w:t>
                  </w:r>
                </w:p>
              </w:tc>
              <w:tc>
                <w:tcPr>
                  <w:tcW w:w="472" w:type="pct"/>
                  <w:vAlign w:val="center"/>
                </w:tcPr>
                <w:p w14:paraId="288562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符合</w:t>
                  </w:r>
                </w:p>
              </w:tc>
            </w:tr>
            <w:tr w14:paraId="771A8B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pct"/>
                  <w:vMerge w:val="continue"/>
                  <w:vAlign w:val="center"/>
                </w:tcPr>
                <w:p w14:paraId="67910A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p>
              </w:tc>
              <w:tc>
                <w:tcPr>
                  <w:tcW w:w="2326" w:type="pct"/>
                </w:tcPr>
                <w:p w14:paraId="59BD78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限制类：</w:t>
                  </w:r>
                </w:p>
                <w:p w14:paraId="1BA9DB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①</w:t>
                  </w:r>
                  <w:r>
                    <w:rPr>
                      <w:rFonts w:hint="default" w:ascii="Times New Roman" w:hAnsi="Times New Roman"/>
                      <w:caps w:val="0"/>
                      <w:color w:val="000000" w:themeColor="text1"/>
                      <w:kern w:val="0"/>
                      <w:szCs w:val="21"/>
                      <w:u w:val="none" w:color="auto"/>
                      <w14:textFill>
                        <w14:solidFill>
                          <w14:schemeClr w14:val="tx1"/>
                        </w14:solidFill>
                      </w14:textFill>
                    </w:rPr>
                    <w:t>珍稀植物的根雕制造业；</w:t>
                  </w:r>
                  <w:r>
                    <w:rPr>
                      <w:rFonts w:hint="default" w:ascii="Times New Roman" w:hAnsi="Times New Roman"/>
                      <w:caps w:val="0"/>
                      <w:color w:val="000000" w:themeColor="text1"/>
                      <w:szCs w:val="21"/>
                      <w:u w:val="none" w:color="auto"/>
                      <w14:textFill>
                        <w14:solidFill>
                          <w14:schemeClr w14:val="tx1"/>
                        </w14:solidFill>
                      </w14:textFill>
                    </w:rPr>
                    <w:t>②以野外资源为原料的珍贵濒危野生动植物加工；③粮食转化乙醇、食用植物油料转化生物燃料项目；④达不到一定规模的菜籽油、棉籽油、花生油生产项目、玉米淀粉湿法生产项目、西式肉制品加工项目；⑤浓缩苹果汁生产项目、大豆压榨及浸出项目、冷冻海水鱼糜生产项目等；⑥菜籽油、花生油、棉籽油、米糠油玉米胚芽油、油茶籽、核桃等木本油料和胡麻、芝麻、葵花籽等小品种油料加工等；⑦粉尘排放量大的项目。</w:t>
                  </w:r>
                </w:p>
              </w:tc>
              <w:tc>
                <w:tcPr>
                  <w:tcW w:w="590" w:type="pct"/>
                  <w:vAlign w:val="center"/>
                </w:tcPr>
                <w:p w14:paraId="651C5E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c>
                <w:tcPr>
                  <w:tcW w:w="888" w:type="pct"/>
                  <w:vAlign w:val="center"/>
                </w:tcPr>
                <w:p w14:paraId="754AE6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c>
                <w:tcPr>
                  <w:tcW w:w="472" w:type="pct"/>
                  <w:vAlign w:val="center"/>
                </w:tcPr>
                <w:p w14:paraId="7D2980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r>
            <w:tr w14:paraId="563714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pct"/>
                  <w:vMerge w:val="continue"/>
                  <w:vAlign w:val="center"/>
                </w:tcPr>
                <w:p w14:paraId="6F39C6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p>
              </w:tc>
              <w:tc>
                <w:tcPr>
                  <w:tcW w:w="2326" w:type="pct"/>
                </w:tcPr>
                <w:p w14:paraId="039597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禁止类：</w:t>
                  </w:r>
                </w:p>
                <w:p w14:paraId="274E68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一定规模以下的玉米淀粉湿法生产项目、以茶叶为原料生产茶叶提取物项目及其他</w:t>
                  </w:r>
                  <w:r>
                    <w:rPr>
                      <w:rFonts w:hint="default" w:ascii="Times New Roman" w:hAnsi="Times New Roman"/>
                      <w:caps w:val="0"/>
                      <w:color w:val="000000" w:themeColor="text1"/>
                      <w:kern w:val="0"/>
                      <w:szCs w:val="21"/>
                      <w:u w:val="none" w:color="auto"/>
                      <w14:textFill>
                        <w14:solidFill>
                          <w14:schemeClr w14:val="tx1"/>
                        </w14:solidFill>
                      </w14:textFill>
                    </w:rPr>
                    <w:t>不符合产业政策或污染严重的食品、茶叶精深加工项目</w:t>
                  </w:r>
                  <w:r>
                    <w:rPr>
                      <w:rFonts w:hint="default" w:ascii="Times New Roman" w:hAnsi="Times New Roman"/>
                      <w:caps w:val="0"/>
                      <w:color w:val="000000" w:themeColor="text1"/>
                      <w:szCs w:val="21"/>
                      <w:u w:val="none" w:color="auto"/>
                      <w14:textFill>
                        <w14:solidFill>
                          <w14:schemeClr w14:val="tx1"/>
                        </w14:solidFill>
                      </w14:textFill>
                    </w:rPr>
                    <w:t>。</w:t>
                  </w:r>
                </w:p>
              </w:tc>
              <w:tc>
                <w:tcPr>
                  <w:tcW w:w="590" w:type="pct"/>
                  <w:vAlign w:val="center"/>
                </w:tcPr>
                <w:p w14:paraId="7427AE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c>
                <w:tcPr>
                  <w:tcW w:w="888" w:type="pct"/>
                  <w:vAlign w:val="center"/>
                </w:tcPr>
                <w:p w14:paraId="3C1E7F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c>
                <w:tcPr>
                  <w:tcW w:w="472" w:type="pct"/>
                  <w:vAlign w:val="center"/>
                </w:tcPr>
                <w:p w14:paraId="06408B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r>
            <w:tr w14:paraId="79834B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pct"/>
                  <w:vMerge w:val="restart"/>
                  <w:vAlign w:val="center"/>
                </w:tcPr>
                <w:p w14:paraId="6FE766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食品制造加工等相关产业</w:t>
                  </w:r>
                </w:p>
              </w:tc>
              <w:tc>
                <w:tcPr>
                  <w:tcW w:w="2326" w:type="pct"/>
                  <w:vAlign w:val="center"/>
                </w:tcPr>
                <w:p w14:paraId="7B9E16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鼓励类：</w:t>
                  </w:r>
                </w:p>
                <w:p w14:paraId="1F7C16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①先进的食品生产设备研发与制造；食品质量与安全监测仪器、设备的研发与生产；②食品、茶叶精深加工废渣等的综合开发与利用；③食品包装材料的生产。</w:t>
                  </w:r>
                </w:p>
              </w:tc>
              <w:tc>
                <w:tcPr>
                  <w:tcW w:w="590" w:type="pct"/>
                  <w:vAlign w:val="center"/>
                </w:tcPr>
                <w:p w14:paraId="6A8DB0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一类或二类</w:t>
                  </w:r>
                </w:p>
              </w:tc>
              <w:tc>
                <w:tcPr>
                  <w:tcW w:w="888" w:type="pct"/>
                  <w:vAlign w:val="center"/>
                </w:tcPr>
                <w:p w14:paraId="1F43CF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eastAsia" w:ascii="Times New Roman" w:hAnsi="Times New Roman"/>
                      <w:caps w:val="0"/>
                      <w:color w:val="000000" w:themeColor="text1"/>
                      <w:szCs w:val="21"/>
                      <w:u w:val="none" w:color="auto"/>
                      <w:lang w:val="en-US" w:eastAsia="zh-CN"/>
                      <w14:textFill>
                        <w14:solidFill>
                          <w14:schemeClr w14:val="tx1"/>
                        </w14:solidFill>
                      </w14:textFill>
                    </w:rPr>
                    <w:t>本</w:t>
                  </w:r>
                  <w:r>
                    <w:rPr>
                      <w:rFonts w:hint="default" w:ascii="Times New Roman" w:hAnsi="Times New Roman"/>
                      <w:caps w:val="0"/>
                      <w:color w:val="000000" w:themeColor="text1"/>
                      <w:szCs w:val="21"/>
                      <w:u w:val="none" w:color="auto"/>
                      <w14:textFill>
                        <w14:solidFill>
                          <w14:schemeClr w14:val="tx1"/>
                        </w14:solidFill>
                      </w14:textFill>
                    </w:rPr>
                    <w:t>项目为</w:t>
                  </w:r>
                  <w:r>
                    <w:rPr>
                      <w:rFonts w:hint="eastAsia" w:ascii="Times New Roman" w:hAnsi="Times New Roman"/>
                      <w:caps w:val="0"/>
                      <w:color w:val="000000" w:themeColor="text1"/>
                      <w:szCs w:val="21"/>
                      <w:u w:val="none" w:color="auto"/>
                      <w:lang w:val="en-US" w:eastAsia="zh-CN"/>
                      <w14:textFill>
                        <w14:solidFill>
                          <w14:schemeClr w14:val="tx1"/>
                        </w14:solidFill>
                      </w14:textFill>
                    </w:rPr>
                    <w:t>农副产品加工</w:t>
                  </w:r>
                  <w:r>
                    <w:rPr>
                      <w:rFonts w:hint="eastAsia"/>
                      <w:caps w:val="0"/>
                      <w:color w:val="000000" w:themeColor="text1"/>
                      <w:szCs w:val="21"/>
                      <w:u w:val="none" w:color="auto"/>
                      <w:lang w:val="en-US" w:eastAsia="zh-CN"/>
                      <w14:textFill>
                        <w14:solidFill>
                          <w14:schemeClr w14:val="tx1"/>
                        </w14:solidFill>
                      </w14:textFill>
                    </w:rPr>
                    <w:t>业，配套建设一台4t/h生物质蒸汽锅炉，</w:t>
                  </w:r>
                  <w:r>
                    <w:rPr>
                      <w:rFonts w:hint="eastAsia" w:ascii="Times New Roman" w:hAnsi="Times New Roman"/>
                      <w:caps w:val="0"/>
                      <w:color w:val="000000" w:themeColor="text1"/>
                      <w:szCs w:val="21"/>
                      <w:u w:val="none" w:color="auto"/>
                      <w14:textFill>
                        <w14:solidFill>
                          <w14:schemeClr w14:val="tx1"/>
                        </w14:solidFill>
                      </w14:textFill>
                    </w:rPr>
                    <w:t>为园区允许准入项目类。</w:t>
                  </w:r>
                </w:p>
              </w:tc>
              <w:tc>
                <w:tcPr>
                  <w:tcW w:w="472" w:type="pct"/>
                  <w:vAlign w:val="center"/>
                </w:tcPr>
                <w:p w14:paraId="10EACD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eastAsia" w:ascii="Times New Roman" w:hAnsi="Times New Roman"/>
                      <w:caps w:val="0"/>
                      <w:color w:val="000000" w:themeColor="text1"/>
                      <w:szCs w:val="21"/>
                      <w:u w:val="none" w:color="auto"/>
                      <w14:textFill>
                        <w14:solidFill>
                          <w14:schemeClr w14:val="tx1"/>
                        </w14:solidFill>
                      </w14:textFill>
                    </w:rPr>
                    <w:t>符合</w:t>
                  </w:r>
                </w:p>
              </w:tc>
            </w:tr>
            <w:tr w14:paraId="479D24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22" w:type="pct"/>
                  <w:vMerge w:val="continue"/>
                  <w:vAlign w:val="center"/>
                </w:tcPr>
                <w:p w14:paraId="33987F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szCs w:val="21"/>
                      <w:u w:val="none" w:color="auto"/>
                      <w14:textFill>
                        <w14:solidFill>
                          <w14:schemeClr w14:val="tx1"/>
                        </w14:solidFill>
                      </w14:textFill>
                    </w:rPr>
                  </w:pPr>
                </w:p>
              </w:tc>
              <w:tc>
                <w:tcPr>
                  <w:tcW w:w="2326" w:type="pct"/>
                </w:tcPr>
                <w:p w14:paraId="6903B3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textAlignment w:val="auto"/>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禁止类：三类项目；含电镀、表面处理及喷漆工序食品机械加工项目。</w:t>
                  </w:r>
                </w:p>
              </w:tc>
              <w:tc>
                <w:tcPr>
                  <w:tcW w:w="590" w:type="pct"/>
                  <w:vAlign w:val="center"/>
                </w:tcPr>
                <w:p w14:paraId="0FAD12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c>
                <w:tcPr>
                  <w:tcW w:w="888" w:type="pct"/>
                  <w:vAlign w:val="center"/>
                </w:tcPr>
                <w:p w14:paraId="62D55F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c>
                <w:tcPr>
                  <w:tcW w:w="472" w:type="pct"/>
                  <w:vAlign w:val="center"/>
                </w:tcPr>
                <w:p w14:paraId="5EA54D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aps w:val="0"/>
                      <w:color w:val="000000" w:themeColor="text1"/>
                      <w:kern w:val="0"/>
                      <w:szCs w:val="21"/>
                      <w:u w:val="none" w:color="auto"/>
                      <w14:textFill>
                        <w14:solidFill>
                          <w14:schemeClr w14:val="tx1"/>
                        </w14:solidFill>
                      </w14:textFill>
                    </w:rPr>
                  </w:pPr>
                  <w:r>
                    <w:rPr>
                      <w:rFonts w:hint="default" w:ascii="Times New Roman" w:hAnsi="Times New Roman"/>
                      <w:caps w:val="0"/>
                      <w:color w:val="000000" w:themeColor="text1"/>
                      <w:kern w:val="0"/>
                      <w:szCs w:val="21"/>
                      <w:u w:val="none" w:color="auto"/>
                      <w14:textFill>
                        <w14:solidFill>
                          <w14:schemeClr w14:val="tx1"/>
                        </w14:solidFill>
                      </w14:textFill>
                    </w:rPr>
                    <w:t>/</w:t>
                  </w:r>
                </w:p>
              </w:tc>
            </w:tr>
          </w:tbl>
          <w:p w14:paraId="5C5E19A2">
            <w:pPr>
              <w:pStyle w:val="11"/>
              <w:keepNext w:val="0"/>
              <w:keepLines w:val="0"/>
              <w:pageBreakBefore w:val="0"/>
              <w:widowControl/>
              <w:suppressLineNumbers w:val="0"/>
              <w:kinsoku/>
              <w:wordWrap/>
              <w:overflowPunct/>
              <w:topLinePunct w:val="0"/>
              <w:autoSpaceDE/>
              <w:autoSpaceDN/>
              <w:bidi w:val="0"/>
              <w:adjustRightInd/>
              <w:snapToGrid w:val="0"/>
              <w:spacing w:before="157" w:beforeLines="50" w:beforeAutospacing="0" w:after="0" w:afterAutospacing="0" w:line="360" w:lineRule="auto"/>
              <w:ind w:left="0" w:right="0" w:firstLine="480" w:firstLineChars="200"/>
              <w:textAlignment w:val="auto"/>
              <w:rPr>
                <w:rFonts w:hint="default"/>
              </w:rPr>
            </w:pPr>
            <w:r>
              <w:rPr>
                <w:rFonts w:hint="default"/>
                <w:sz w:val="24"/>
                <w:szCs w:val="24"/>
              </w:rPr>
              <w:t>综上，</w:t>
            </w:r>
            <w:r>
              <w:rPr>
                <w:rFonts w:hint="eastAsia"/>
                <w:sz w:val="24"/>
                <w:szCs w:val="24"/>
                <w:lang w:val="en-US" w:eastAsia="zh-CN"/>
              </w:rPr>
              <w:t>本</w:t>
            </w:r>
            <w:r>
              <w:rPr>
                <w:rFonts w:hint="default"/>
                <w:sz w:val="24"/>
                <w:szCs w:val="24"/>
              </w:rPr>
              <w:t>项目与</w:t>
            </w:r>
            <w:r>
              <w:rPr>
                <w:rFonts w:hint="eastAsia"/>
                <w:sz w:val="24"/>
                <w:szCs w:val="24"/>
                <w:lang w:eastAsia="zh-CN"/>
              </w:rPr>
              <w:t>《</w:t>
            </w:r>
            <w:r>
              <w:rPr>
                <w:rFonts w:hint="default"/>
                <w:sz w:val="24"/>
                <w:szCs w:val="24"/>
              </w:rPr>
              <w:t>岳阳市君山工业集中区荆江门片区环境影响评价报告书</w:t>
            </w:r>
            <w:r>
              <w:rPr>
                <w:rFonts w:hint="eastAsia"/>
                <w:sz w:val="24"/>
                <w:szCs w:val="24"/>
                <w:lang w:eastAsia="zh-CN"/>
              </w:rPr>
              <w:t>》</w:t>
            </w:r>
            <w:r>
              <w:rPr>
                <w:rFonts w:hint="default"/>
                <w:sz w:val="24"/>
                <w:szCs w:val="24"/>
              </w:rPr>
              <w:t>及审查意见的要求是相符的。</w:t>
            </w:r>
          </w:p>
          <w:p w14:paraId="7299396C">
            <w:pPr>
              <w:keepNext w:val="0"/>
              <w:keepLines w:val="0"/>
              <w:suppressLineNumbers w:val="0"/>
              <w:autoSpaceDE w:val="0"/>
              <w:autoSpaceDN w:val="0"/>
              <w:adjustRightInd w:val="0"/>
              <w:snapToGrid w:val="0"/>
              <w:spacing w:before="0" w:beforeAutospacing="0" w:after="120" w:afterLines="50" w:afterAutospacing="0" w:line="360" w:lineRule="auto"/>
              <w:ind w:left="0" w:right="0" w:firstLine="0" w:firstLineChars="0"/>
              <w:rPr>
                <w:rFonts w:hint="default"/>
                <w:b/>
                <w:bCs/>
                <w:sz w:val="24"/>
              </w:rPr>
            </w:pPr>
            <w:r>
              <w:rPr>
                <w:rFonts w:hint="eastAsia"/>
                <w:b/>
                <w:bCs/>
                <w:sz w:val="24"/>
                <w:lang w:val="en-US" w:eastAsia="zh-CN"/>
              </w:rPr>
              <w:t>二</w:t>
            </w:r>
            <w:r>
              <w:rPr>
                <w:rFonts w:hint="default"/>
                <w:b/>
                <w:bCs/>
                <w:sz w:val="24"/>
              </w:rPr>
              <w:t>、与</w:t>
            </w:r>
            <w:r>
              <w:rPr>
                <w:rFonts w:hint="eastAsia"/>
                <w:b/>
                <w:bCs/>
                <w:sz w:val="24"/>
                <w:lang w:val="en-US" w:eastAsia="zh-CN"/>
              </w:rPr>
              <w:t>《湖南省生态环境厅关于君山产业开发区环境影响跟踪评价工作意见的函》（湘环评函 [2022]4号）</w:t>
            </w:r>
            <w:r>
              <w:rPr>
                <w:rFonts w:hint="default"/>
                <w:b/>
                <w:bCs/>
                <w:sz w:val="24"/>
              </w:rPr>
              <w:t>符合性分析</w:t>
            </w:r>
          </w:p>
          <w:p w14:paraId="05CA5DE0">
            <w:pPr>
              <w:pStyle w:val="33"/>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center"/>
              <w:textAlignment w:val="auto"/>
              <w:rPr>
                <w:rFonts w:hint="default" w:eastAsia="宋体"/>
                <w:b/>
                <w:bCs/>
                <w:kern w:val="0"/>
                <w:sz w:val="24"/>
                <w:szCs w:val="24"/>
                <w:lang w:val="en-US" w:eastAsia="zh-CN"/>
              </w:rPr>
            </w:pPr>
            <w:r>
              <w:rPr>
                <w:rFonts w:hint="eastAsia"/>
                <w:b/>
                <w:bCs/>
                <w:kern w:val="0"/>
                <w:sz w:val="24"/>
                <w:szCs w:val="24"/>
                <w:lang w:val="en-US" w:eastAsia="zh-CN"/>
              </w:rPr>
              <w:t>与《湖南省生态环境厅关于君山产业开发区环境影响跟踪评价工作意见的函》符合性分析</w:t>
            </w:r>
          </w:p>
          <w:tbl>
            <w:tblPr>
              <w:tblStyle w:val="24"/>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446"/>
              <w:gridCol w:w="2318"/>
              <w:gridCol w:w="665"/>
            </w:tblGrid>
            <w:tr w14:paraId="7EB54C1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2992" w:type="pct"/>
                  <w:tcBorders>
                    <w:tl2br w:val="nil"/>
                    <w:tr2bl w:val="nil"/>
                  </w:tcBorders>
                  <w:shd w:val="clear" w:color="auto" w:fill="FFFFFF"/>
                  <w:noWrap w:val="0"/>
                  <w:vAlign w:val="center"/>
                </w:tcPr>
                <w:p w14:paraId="74061019">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firstLine="0" w:firstLineChars="0"/>
                    <w:textAlignment w:val="auto"/>
                    <w:rPr>
                      <w:rFonts w:hint="default" w:ascii="Times New Roman" w:hAnsi="Times New Roman" w:cs="Times New Roman"/>
                      <w:b/>
                      <w:bCs/>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
                      <w:bCs/>
                      <w:caps w:val="0"/>
                      <w:color w:val="000000" w:themeColor="text1"/>
                      <w:sz w:val="21"/>
                      <w:szCs w:val="21"/>
                      <w:highlight w:val="none"/>
                      <w:u w:val="none" w:color="auto"/>
                      <w:lang w:val="en-US" w:eastAsia="zh-CN"/>
                      <w14:textFill>
                        <w14:solidFill>
                          <w14:schemeClr w14:val="tx1"/>
                        </w14:solidFill>
                      </w14:textFill>
                    </w:rPr>
                    <w:t>跟踪评价批复要求</w:t>
                  </w:r>
                </w:p>
              </w:tc>
              <w:tc>
                <w:tcPr>
                  <w:tcW w:w="1560" w:type="pct"/>
                  <w:tcBorders>
                    <w:tl2br w:val="nil"/>
                    <w:tr2bl w:val="nil"/>
                  </w:tcBorders>
                  <w:shd w:val="clear" w:color="auto" w:fill="FFFFFF"/>
                  <w:noWrap w:val="0"/>
                  <w:vAlign w:val="center"/>
                </w:tcPr>
                <w:p w14:paraId="65904E2E">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firstLine="0" w:firstLineChars="0"/>
                    <w:textAlignment w:val="auto"/>
                    <w:rPr>
                      <w:rFonts w:hint="default" w:ascii="Times New Roman" w:hAnsi="Times New Roman" w:cs="Times New Roman"/>
                      <w:b/>
                      <w:bCs/>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
                      <w:bCs/>
                      <w:caps w:val="0"/>
                      <w:color w:val="000000" w:themeColor="text1"/>
                      <w:sz w:val="21"/>
                      <w:szCs w:val="21"/>
                      <w:highlight w:val="none"/>
                      <w:u w:val="none" w:color="auto"/>
                      <w:lang w:val="en-US" w:eastAsia="zh-CN"/>
                      <w14:textFill>
                        <w14:solidFill>
                          <w14:schemeClr w14:val="tx1"/>
                        </w14:solidFill>
                      </w14:textFill>
                    </w:rPr>
                    <w:t>本项目情况</w:t>
                  </w:r>
                </w:p>
              </w:tc>
              <w:tc>
                <w:tcPr>
                  <w:tcW w:w="447" w:type="pct"/>
                  <w:tcBorders>
                    <w:tl2br w:val="nil"/>
                    <w:tr2bl w:val="nil"/>
                  </w:tcBorders>
                  <w:shd w:val="clear" w:color="auto" w:fill="FFFFFF"/>
                  <w:noWrap w:val="0"/>
                  <w:vAlign w:val="center"/>
                </w:tcPr>
                <w:p w14:paraId="729DAC93">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b/>
                      <w:bCs/>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b/>
                      <w:bCs/>
                      <w:caps w:val="0"/>
                      <w:color w:val="000000" w:themeColor="text1"/>
                      <w:sz w:val="21"/>
                      <w:szCs w:val="21"/>
                      <w:highlight w:val="none"/>
                      <w:u w:val="none" w:color="auto"/>
                      <w:lang w:val="en-US" w:eastAsia="zh-CN"/>
                      <w14:textFill>
                        <w14:solidFill>
                          <w14:schemeClr w14:val="tx1"/>
                        </w14:solidFill>
                      </w14:textFill>
                    </w:rPr>
                    <w:t>结论</w:t>
                  </w:r>
                </w:p>
              </w:tc>
            </w:tr>
            <w:tr w14:paraId="23DB2CB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992" w:type="pct"/>
                  <w:tcBorders>
                    <w:tl2br w:val="nil"/>
                    <w:tr2bl w:val="nil"/>
                  </w:tcBorders>
                  <w:shd w:val="clear" w:color="auto" w:fill="FFFFFF"/>
                  <w:noWrap w:val="0"/>
                  <w:vAlign w:val="center"/>
                </w:tcPr>
                <w:p w14:paraId="192AEE5B">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一）按程序做好开发区规划调整。规划实施以来，君山开发区未严格按照规划功能分区进行布置，存在部分企业实际开发用地现状、产业定位与规划不符等情形；君山开发区范围内仍有少量居民集聚区，开发区范围内零星分布未搬迁的居民，主要涉及谭子口、岳华村知青组等。君山开发区须尽快按规定程序开展规划调整工作，完善功能布局和产业布局，并按规划修编相关要求完善国土、规划、环保等相关手续，做到规范、有序和可持续发展；按开发区管委会承诺，不再将生物医药作为开发区的主导产业，且后续不规划此产业企业入驻；对于位于临江1km范围内的工业用地98.26hm²调出开发区规划范围。邻近松湖社区等居住区的工业企业应强化污染防治设施的治理效果，并按《报告书》建议，优先考虑其搬迁，最大程度地避免对邻近居住区的不良环境影响。后续引进企业，应合理引导企业布局，确保各行业企业在其相应的规划产业片区内发展，严禁跨红线布局。</w:t>
                  </w:r>
                </w:p>
              </w:tc>
              <w:tc>
                <w:tcPr>
                  <w:tcW w:w="1560" w:type="pct"/>
                  <w:tcBorders>
                    <w:tl2br w:val="nil"/>
                    <w:tr2bl w:val="nil"/>
                  </w:tcBorders>
                  <w:shd w:val="clear" w:color="auto" w:fill="FFFFFF"/>
                  <w:noWrap w:val="0"/>
                  <w:vAlign w:val="center"/>
                </w:tcPr>
                <w:p w14:paraId="23FD5369">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本项目位于君山工业集中区荆江门片区，距离长江</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约2.3</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km。</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本项目</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属</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农副产品加工业</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且配套建设一台4t/h生物质蒸汽锅炉，</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故本项目选址符合岳阳市君山工业集中区荆江门片区规划的要求。</w:t>
                  </w:r>
                </w:p>
              </w:tc>
              <w:tc>
                <w:tcPr>
                  <w:tcW w:w="447" w:type="pct"/>
                  <w:tcBorders>
                    <w:tl2br w:val="nil"/>
                    <w:tr2bl w:val="nil"/>
                  </w:tcBorders>
                  <w:shd w:val="clear" w:color="auto" w:fill="FFFFFF"/>
                  <w:noWrap w:val="0"/>
                  <w:vAlign w:val="center"/>
                </w:tcPr>
                <w:p w14:paraId="17706AA1">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符合</w:t>
                  </w:r>
                </w:p>
              </w:tc>
            </w:tr>
            <w:tr w14:paraId="1FAA227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21" w:hRule="atLeast"/>
                <w:jc w:val="center"/>
              </w:trPr>
              <w:tc>
                <w:tcPr>
                  <w:tcW w:w="2992" w:type="pct"/>
                  <w:tcBorders>
                    <w:tl2br w:val="nil"/>
                    <w:tr2bl w:val="nil"/>
                  </w:tcBorders>
                  <w:shd w:val="clear" w:color="auto" w:fill="FFFFFF"/>
                  <w:noWrap w:val="0"/>
                  <w:vAlign w:val="center"/>
                </w:tcPr>
                <w:p w14:paraId="6E2708EE">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二）进一步严格产业环境准入。君山开发区后续发展与规划调整须符合君山开发区“三线一单”环境准入要求、长江经济带发展负面清单指南（试行）及《报告书》提出的环境准入条件和负面清单要求。结合岳阳市国土空间规划，林角佬片区现有所有企业，应按开发区管委会承诺及《片区"退二进三"实施方案》，逐步将企业搬迁、整改、升级改造。对不符合开发区用地规划、产业定位的现有企业，按《报告书》建议要求企业强化污染防治措施，且不得在原址新增污染物排放量，同时，做好项目周边用地的控规工作。开发区范围内新建、改建和扩建“两高”项目应按照《关于加强重点行业建设项目区域削减措施监督管理的通知》要求，依据区域环境质量改善目标，制定配套区域污染物削减方案，采取有效的污染物区域削减措施，腾出足够的环境容量。入园企业应优先考虑使用清洁能源、能耗低、技术工艺先进、清洁生产和环境管理水平高、污染防治技术成熟的企业，须严格执行环境保护"三同时"制度，确保外排污染物满足排污许可证管控要求。</w:t>
                  </w:r>
                </w:p>
              </w:tc>
              <w:tc>
                <w:tcPr>
                  <w:tcW w:w="1560" w:type="pct"/>
                  <w:tcBorders>
                    <w:tl2br w:val="nil"/>
                    <w:tr2bl w:val="nil"/>
                  </w:tcBorders>
                  <w:shd w:val="clear" w:color="auto" w:fill="FFFFFF"/>
                  <w:noWrap w:val="0"/>
                  <w:vAlign w:val="center"/>
                </w:tcPr>
                <w:p w14:paraId="26273461">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本项目建设用地性质为工业工地，位于君山工业集中区的荆江门片区，不在</w:t>
                  </w: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"退二进三"</w:t>
                  </w: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的实施方案内，且符合</w:t>
                  </w: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君山开发区“三线一单”环境准入要求</w:t>
                  </w:r>
                  <w:r>
                    <w:rPr>
                      <w:rFonts w:hint="default" w:ascii="Times New Roman" w:hAnsi="Times New Roman" w:cs="Times New Roman"/>
                      <w:caps w:val="0"/>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长江经济带发展负面清单指南（试行）及《报告书》提出的环境准入条件和负面清单要求</w:t>
                  </w:r>
                  <w:r>
                    <w:rPr>
                      <w:rFonts w:hint="default" w:ascii="Times New Roman" w:hAnsi="Times New Roman" w:cs="Times New Roman"/>
                      <w:caps w:val="0"/>
                      <w:color w:val="000000" w:themeColor="text1"/>
                      <w:sz w:val="21"/>
                      <w:szCs w:val="21"/>
                      <w:highlight w:val="none"/>
                      <w:u w:val="none" w:color="auto"/>
                      <w:lang w:eastAsia="zh-CN"/>
                      <w14:textFill>
                        <w14:solidFill>
                          <w14:schemeClr w14:val="tx1"/>
                        </w14:solidFill>
                      </w14:textFill>
                    </w:rPr>
                    <w:t>。</w:t>
                  </w: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本项目属农副产品加工业，</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不属于两高类项目，本项目使用的能源属于</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可替代天然气和电能等</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清洁能源</w:t>
                  </w:r>
                  <w:r>
                    <w:rPr>
                      <w:rFonts w:hint="eastAsia"/>
                      <w:lang w:val="en-US" w:eastAsia="zh-CN"/>
                    </w:rPr>
                    <w:t>的</w:t>
                  </w:r>
                  <w:r>
                    <w:rPr>
                      <w:rFonts w:hint="eastAsia"/>
                      <w:sz w:val="21"/>
                      <w:szCs w:val="21"/>
                      <w:lang w:val="en-US" w:eastAsia="zh-CN"/>
                    </w:rPr>
                    <w:t>生物质成型燃料</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，企业建设过程中严格执行</w:t>
                  </w: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环境保护"三同时"制度，确保外排污染物满足排污许可证管控要求。</w:t>
                  </w:r>
                </w:p>
              </w:tc>
              <w:tc>
                <w:tcPr>
                  <w:tcW w:w="447" w:type="pct"/>
                  <w:tcBorders>
                    <w:tl2br w:val="nil"/>
                    <w:tr2bl w:val="nil"/>
                  </w:tcBorders>
                  <w:shd w:val="clear" w:color="auto" w:fill="FFFFFF"/>
                  <w:noWrap w:val="0"/>
                  <w:vAlign w:val="center"/>
                </w:tcPr>
                <w:p w14:paraId="40597FFE">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符合</w:t>
                  </w:r>
                </w:p>
              </w:tc>
            </w:tr>
            <w:tr w14:paraId="55AE23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29" w:hRule="atLeast"/>
                <w:jc w:val="center"/>
              </w:trPr>
              <w:tc>
                <w:tcPr>
                  <w:tcW w:w="2992" w:type="pct"/>
                  <w:tcBorders>
                    <w:tl2br w:val="nil"/>
                    <w:tr2bl w:val="nil"/>
                  </w:tcBorders>
                  <w:shd w:val="clear" w:color="auto" w:fill="FFFFFF"/>
                  <w:noWrap w:val="0"/>
                  <w:vAlign w:val="center"/>
                </w:tcPr>
                <w:p w14:paraId="51D67BD8">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三）进一步落实开发区污染管控措施。君山开发区应按开发进度完善区域雨污分流和污污分流系统、污水收集管网及集中污水处理设施建设，确保开发区废水应收尽收，全部送至配套的污水处理厂深度处理，林角佬片区不得继续采用槽车收集、运输开发区高浓度废水的方式。加强污水处理设施日常运营维护，确保可长期稳定运行，枯水期总磷按《岳阳市特别防护期水环境管控行动方案》等相关规定执行。鉴于区域地表水现阶段存在总磷超标现象，地方应按要求加快落实《君山区洞庭湖域总磷削减工作实施方案》中的相关要求，配套污水管网在未完成对接区域，不得新增水污染排放的建设项目。优化能源结构，推广清洁能源。加强园区大气污染防治，抓紧制定片区VOC削减计划，加大对区内重点排污企业废气治理措施运行情况及废气无组织排放的监管，确保大气污染物达标排放，对治理设施不能有效运行的企业，采取停产措施。做好工业固体废物和生活垃圾的分类收集、转运、综合利用和无害化处理，建立完善的固废管理体系。对危险废物应严格按照国家有关规定综合利用或妥善处置，对危险废物产生企业和经营单位，应强化日常环境监管。开发区须严格落实排污许可制度和污染物排放总量控制，重点抓好企业环保手续的完善，全面落实开发区内现有企业污染物特别排放限值控制要求，采取有效措施减少污染物排放总量，确保实现区域环境质量改善目标，促进开发区发展与生态环境保护相协调。</w:t>
                  </w:r>
                </w:p>
              </w:tc>
              <w:tc>
                <w:tcPr>
                  <w:tcW w:w="1560" w:type="pct"/>
                  <w:tcBorders>
                    <w:tl2br w:val="nil"/>
                    <w:tr2bl w:val="nil"/>
                  </w:tcBorders>
                  <w:shd w:val="clear" w:color="auto" w:fill="FFFFFF"/>
                  <w:noWrap w:val="0"/>
                  <w:vAlign w:val="center"/>
                </w:tcPr>
                <w:p w14:paraId="6B1CF6AE">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caps w:val="0"/>
                      <w:color w:val="000000" w:themeColor="text1"/>
                      <w:sz w:val="21"/>
                      <w:szCs w:val="21"/>
                      <w:highlight w:val="none"/>
                      <w:u w:val="none" w:color="auto"/>
                      <w:lang w:val="en-US"/>
                      <w14:textFill>
                        <w14:solidFill>
                          <w14:schemeClr w14:val="tx1"/>
                        </w14:solidFill>
                      </w14:textFill>
                    </w:rPr>
                  </w:pP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本</w:t>
                  </w: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项目外排废水为生产废水及生活污水，生产废水经自建沉淀池处理后与经化粪池预处理后的生活污水一起排入园区污水管网进入君山区第二污水处理厂预处理中心处理，处理后废水满足君山区第二污水处理厂接纳标准后，排入君山区第二污水处理厂进行深度处理达到《城镇污水处理厂污染物排放标准》（GB18918-2002）一级A标准后，通过沿柳毅西路铺设的污水管网排入长江；本项目各个废气产生区域均设置有污染防治措施，能够保证废气的达标排放，生活垃圾交环卫部门处理，一般工业固体废物收集后外售</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，危险废物暂存危废暂存间，定期交由有资质单位清运</w:t>
                  </w:r>
                </w:p>
              </w:tc>
              <w:tc>
                <w:tcPr>
                  <w:tcW w:w="447" w:type="pct"/>
                  <w:tcBorders>
                    <w:tl2br w:val="nil"/>
                    <w:tr2bl w:val="nil"/>
                  </w:tcBorders>
                  <w:shd w:val="clear" w:color="auto" w:fill="FFFFFF"/>
                  <w:noWrap w:val="0"/>
                  <w:vAlign w:val="center"/>
                </w:tcPr>
                <w:p w14:paraId="6CB983B5">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符合</w:t>
                  </w:r>
                </w:p>
              </w:tc>
            </w:tr>
            <w:tr w14:paraId="205F34E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992" w:type="pct"/>
                  <w:tcBorders>
                    <w:tl2br w:val="nil"/>
                    <w:tr2bl w:val="nil"/>
                  </w:tcBorders>
                  <w:shd w:val="clear" w:color="auto" w:fill="FFFFFF"/>
                  <w:noWrap w:val="0"/>
                  <w:vAlign w:val="center"/>
                </w:tcPr>
                <w:p w14:paraId="2BFD8CAE">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四）完善开发区环境监测体系。君山开发区应严格落实跟踪评价提出的监测方案，鉴于其周边分布有长江监利段四大家鱼国家级水产种质资源保护区、东洞庭湖国家级自然保护区等生态环境敏感点，且荆江门片区、林角佬片区部分区域位于长江岸线1km以内，应结合君山开发区规划的功能分区、产业布局、重点企业分布、特征污染物的排放种类和状况等，建立健全区域环境空气、地表水、地下水、土壤等环境要素的监控体系，并按《报告书》提出的要求，对相应点位（断面）开展主要污染物及重金属跟踪监测。加强对君山开发区重点排放单位、环保投诉较多企业的监督性监测。</w:t>
                  </w:r>
                </w:p>
              </w:tc>
              <w:tc>
                <w:tcPr>
                  <w:tcW w:w="1560" w:type="pct"/>
                  <w:tcBorders>
                    <w:tl2br w:val="nil"/>
                    <w:tr2bl w:val="nil"/>
                  </w:tcBorders>
                  <w:shd w:val="clear" w:color="auto" w:fill="FFFFFF"/>
                  <w:noWrap w:val="0"/>
                  <w:vAlign w:val="center"/>
                </w:tcPr>
                <w:p w14:paraId="51A8B6FE">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caps w:val="0"/>
                      <w:color w:val="000000" w:themeColor="text1"/>
                      <w:sz w:val="21"/>
                      <w:szCs w:val="21"/>
                      <w:highlight w:val="none"/>
                      <w:u w:val="none" w:color="auto"/>
                      <w:lang w:val="en-US"/>
                      <w14:textFill>
                        <w14:solidFill>
                          <w14:schemeClr w14:val="tx1"/>
                        </w14:solidFill>
                      </w14:textFill>
                    </w:rPr>
                  </w:pP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本项目位于君山工业集中区荆江门片区，距离长江</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2.3</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km，不在长江岸线1km范围内。本项目外排废水为生产废水及生活污水，生产废水经自建沉淀池处理后与经化粪池预处理后的生活污水一起排入园区污水管网进入君山区第二污水处理厂预处理中心处理，</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再</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排入君山区第二污水处理厂进行深度处理达到《城镇污水处理厂污染物排放标准》（GB18918-2002）</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及其子修改单</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一级A标准后，通过沿柳毅西路铺设的污水管网排入长江。</w:t>
                  </w:r>
                </w:p>
              </w:tc>
              <w:tc>
                <w:tcPr>
                  <w:tcW w:w="447" w:type="pct"/>
                  <w:tcBorders>
                    <w:tl2br w:val="nil"/>
                    <w:tr2bl w:val="nil"/>
                  </w:tcBorders>
                  <w:shd w:val="clear" w:color="auto" w:fill="FFFFFF"/>
                  <w:noWrap w:val="0"/>
                  <w:vAlign w:val="center"/>
                </w:tcPr>
                <w:p w14:paraId="775B069B">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符合</w:t>
                  </w:r>
                </w:p>
              </w:tc>
            </w:tr>
            <w:tr w14:paraId="2056B14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509" w:hRule="atLeast"/>
                <w:jc w:val="center"/>
              </w:trPr>
              <w:tc>
                <w:tcPr>
                  <w:tcW w:w="2992" w:type="pct"/>
                  <w:tcBorders>
                    <w:tl2br w:val="nil"/>
                    <w:tr2bl w:val="nil"/>
                  </w:tcBorders>
                  <w:shd w:val="clear" w:color="auto" w:fill="FFFFFF"/>
                  <w:noWrap w:val="0"/>
                  <w:vAlign w:val="center"/>
                </w:tcPr>
                <w:p w14:paraId="6C0D49B3">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（五）健全园区环境风险防控体系。加强君山开发区重要环境风险源管控，加强园区危险化学品储运的环境风险管理，严格落实应急响应联动机制，确保区域环境安全。</w:t>
                  </w:r>
                </w:p>
              </w:tc>
              <w:tc>
                <w:tcPr>
                  <w:tcW w:w="1560" w:type="pct"/>
                  <w:tcBorders>
                    <w:tl2br w:val="nil"/>
                    <w:tr2bl w:val="nil"/>
                  </w:tcBorders>
                  <w:shd w:val="clear" w:color="auto" w:fill="FFFFFF"/>
                  <w:noWrap w:val="0"/>
                  <w:vAlign w:val="center"/>
                </w:tcPr>
                <w:p w14:paraId="726FC59B">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0" w:firstLineChars="0"/>
                    <w:jc w:val="center"/>
                    <w:textAlignment w:val="auto"/>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本</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项目建成后应按照要求</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落实相关风险防范措施</w:t>
                  </w:r>
                  <w:r>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t>，与园区突发环境事件应急预案衔接</w:t>
                  </w: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w:t>
                  </w:r>
                </w:p>
              </w:tc>
              <w:tc>
                <w:tcPr>
                  <w:tcW w:w="447" w:type="pct"/>
                  <w:tcBorders>
                    <w:tl2br w:val="nil"/>
                    <w:tr2bl w:val="nil"/>
                  </w:tcBorders>
                  <w:shd w:val="clear" w:color="auto" w:fill="FFFFFF"/>
                  <w:noWrap w:val="0"/>
                  <w:vAlign w:val="center"/>
                </w:tcPr>
                <w:p w14:paraId="3B378E79">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符合</w:t>
                  </w:r>
                </w:p>
              </w:tc>
            </w:tr>
            <w:tr w14:paraId="6F5994F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08" w:hRule="atLeast"/>
                <w:jc w:val="center"/>
              </w:trPr>
              <w:tc>
                <w:tcPr>
                  <w:tcW w:w="2992" w:type="pct"/>
                  <w:tcBorders>
                    <w:tl2br w:val="nil"/>
                    <w:tr2bl w:val="nil"/>
                  </w:tcBorders>
                  <w:shd w:val="clear" w:color="auto" w:fill="FFFFFF"/>
                  <w:noWrap w:val="0"/>
                  <w:vAlign w:val="center"/>
                </w:tcPr>
                <w:p w14:paraId="7B03A142">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rightChars="0" w:firstLine="0" w:firstLineChars="0"/>
                    <w:jc w:val="center"/>
                    <w:textAlignment w:val="auto"/>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六）加强对环境敏感点的保护。严格做好控规，杜绝在规划的工业用地上新增环境敏感目标、建设居民区。做好商业用地、居住用地周边的规划控制，在下一轮规划调整中应从提升指导性、可操作性的角度出发推动产业集中布局、降低环境影响，严格控制气型污染企业入驻，加强对现有企业的污染防治措施。按要求做好功能区及具体项目用地周边规划控制，君山开发区应根据开发规划统筹制定拆迁安置方案，落实移民生产生活安置措施，防止移民再次安置和次生环境问题。</w:t>
                  </w:r>
                </w:p>
              </w:tc>
              <w:tc>
                <w:tcPr>
                  <w:tcW w:w="1560" w:type="pct"/>
                  <w:tcBorders>
                    <w:tl2br w:val="nil"/>
                    <w:tr2bl w:val="nil"/>
                  </w:tcBorders>
                  <w:shd w:val="clear" w:color="auto" w:fill="FFFFFF"/>
                  <w:noWrap w:val="0"/>
                  <w:vAlign w:val="center"/>
                </w:tcPr>
                <w:p w14:paraId="16080A50">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firstLine="0" w:firstLineChars="0"/>
                    <w:textAlignment w:val="auto"/>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不涉及</w:t>
                  </w:r>
                </w:p>
              </w:tc>
              <w:tc>
                <w:tcPr>
                  <w:tcW w:w="447" w:type="pct"/>
                  <w:tcBorders>
                    <w:tl2br w:val="nil"/>
                    <w:tr2bl w:val="nil"/>
                  </w:tcBorders>
                  <w:shd w:val="clear" w:color="auto" w:fill="FFFFFF"/>
                  <w:noWrap w:val="0"/>
                  <w:vAlign w:val="center"/>
                </w:tcPr>
                <w:p w14:paraId="44B42F4C">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firstLine="0" w:firstLineChars="0"/>
                    <w:textAlignment w:val="auto"/>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符合</w:t>
                  </w:r>
                </w:p>
              </w:tc>
            </w:tr>
            <w:tr w14:paraId="4CD0FBE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57" w:hRule="atLeast"/>
                <w:jc w:val="center"/>
              </w:trPr>
              <w:tc>
                <w:tcPr>
                  <w:tcW w:w="2992" w:type="pct"/>
                  <w:tcBorders>
                    <w:tl2br w:val="nil"/>
                    <w:tr2bl w:val="nil"/>
                  </w:tcBorders>
                  <w:shd w:val="clear" w:color="auto" w:fill="FFFFFF"/>
                  <w:noWrap w:val="0"/>
                  <w:vAlign w:val="center"/>
                </w:tcPr>
                <w:p w14:paraId="6E0033CD">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jc w:val="center"/>
                    <w:textAlignment w:val="auto"/>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14:textFill>
                        <w14:solidFill>
                          <w14:schemeClr w14:val="tx1"/>
                        </w14:solidFill>
                      </w14:textFill>
                    </w:rPr>
                    <w:t>（七）做好开发区后续开发过程中生态环境保护和水土保持。尽可能保留自然水体，施工期对土石方开挖、堆存及回填要实施围挡、护坡等措施，裸露地及时恢复植被，防止后续开发建设中的扬尘污染和水土流失。</w:t>
                  </w:r>
                </w:p>
              </w:tc>
              <w:tc>
                <w:tcPr>
                  <w:tcW w:w="1560" w:type="pct"/>
                  <w:tcBorders>
                    <w:tl2br w:val="nil"/>
                    <w:tr2bl w:val="nil"/>
                  </w:tcBorders>
                  <w:shd w:val="clear" w:color="auto" w:fill="FFFFFF"/>
                  <w:noWrap w:val="0"/>
                  <w:vAlign w:val="center"/>
                </w:tcPr>
                <w:p w14:paraId="67785DA8">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firstLine="0" w:firstLineChars="0"/>
                    <w:textAlignment w:val="auto"/>
                    <w:rPr>
                      <w:rFonts w:hint="default" w:ascii="Times New Roman" w:hAnsi="Times New Roman" w:eastAsia="宋体" w:cs="Times New Roman"/>
                      <w:caps w:val="0"/>
                      <w:color w:val="000000" w:themeColor="text1"/>
                      <w:sz w:val="21"/>
                      <w:szCs w:val="21"/>
                      <w:highlight w:val="none"/>
                      <w:u w:val="non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本项目不涉及土方施工</w:t>
                  </w:r>
                </w:p>
              </w:tc>
              <w:tc>
                <w:tcPr>
                  <w:tcW w:w="447" w:type="pct"/>
                  <w:tcBorders>
                    <w:tl2br w:val="nil"/>
                    <w:tr2bl w:val="nil"/>
                  </w:tcBorders>
                  <w:shd w:val="clear" w:color="auto" w:fill="FFFFFF"/>
                  <w:noWrap w:val="0"/>
                  <w:vAlign w:val="center"/>
                </w:tcPr>
                <w:p w14:paraId="12E016FE">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cs="Times New Roman"/>
                      <w:caps w:val="0"/>
                      <w:color w:val="000000" w:themeColor="text1"/>
                      <w:sz w:val="21"/>
                      <w:szCs w:val="21"/>
                      <w:highlight w:val="none"/>
                      <w:u w:val="none" w:color="auto"/>
                      <w:lang w:val="en-US" w:eastAsia="zh-CN"/>
                      <w14:textFill>
                        <w14:solidFill>
                          <w14:schemeClr w14:val="tx1"/>
                        </w14:solidFill>
                      </w14:textFill>
                    </w:rPr>
                    <w:t>符合</w:t>
                  </w:r>
                </w:p>
              </w:tc>
            </w:tr>
          </w:tbl>
          <w:p w14:paraId="4BD209EB">
            <w:pPr>
              <w:keepNext w:val="0"/>
              <w:keepLines w:val="0"/>
              <w:suppressLineNumbers w:val="0"/>
              <w:spacing w:before="120" w:beforeLines="50" w:beforeAutospacing="0" w:after="0" w:afterAutospacing="0" w:line="360" w:lineRule="auto"/>
              <w:ind w:left="0" w:right="0" w:firstLine="480" w:firstLineChars="200"/>
              <w:jc w:val="left"/>
              <w:rPr>
                <w:rFonts w:hint="default"/>
                <w:sz w:val="24"/>
              </w:rPr>
            </w:pPr>
          </w:p>
        </w:tc>
      </w:tr>
      <w:tr w14:paraId="08A44A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645" w:type="pct"/>
            <w:vAlign w:val="center"/>
          </w:tcPr>
          <w:p w14:paraId="4176D317">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kern w:val="0"/>
                <w:sz w:val="24"/>
              </w:rPr>
              <w:t>其他符合性分析</w:t>
            </w:r>
          </w:p>
        </w:tc>
        <w:tc>
          <w:tcPr>
            <w:tcW w:w="4354" w:type="pct"/>
            <w:gridSpan w:val="3"/>
            <w:vAlign w:val="center"/>
          </w:tcPr>
          <w:p w14:paraId="0D2283B7">
            <w:pPr>
              <w:pStyle w:val="3"/>
              <w:keepNext w:val="0"/>
              <w:keepLines w:val="0"/>
              <w:suppressLineNumbers w:val="0"/>
              <w:spacing w:before="0" w:beforeAutospacing="0" w:after="0" w:afterAutospacing="0"/>
              <w:ind w:left="0" w:right="0" w:firstLine="482"/>
              <w:rPr>
                <w:rFonts w:hint="default"/>
                <w:b/>
                <w:bCs/>
                <w:sz w:val="24"/>
              </w:rPr>
            </w:pPr>
            <w:r>
              <w:rPr>
                <w:rFonts w:hint="default"/>
                <w:b/>
                <w:bCs/>
                <w:sz w:val="24"/>
              </w:rPr>
              <w:t>与产业政策的符合性分析</w:t>
            </w:r>
          </w:p>
          <w:p w14:paraId="4343CEAF">
            <w:pPr>
              <w:keepNext w:val="0"/>
              <w:keepLines w:val="0"/>
              <w:suppressLineNumbers w:val="0"/>
              <w:autoSpaceDE w:val="0"/>
              <w:autoSpaceDN w:val="0"/>
              <w:snapToGrid w:val="0"/>
              <w:spacing w:before="0" w:beforeAutospacing="0" w:after="0" w:afterAutospacing="0" w:line="360" w:lineRule="auto"/>
              <w:ind w:left="0" w:right="0" w:firstLine="480" w:firstLineChars="200"/>
              <w:rPr>
                <w:rFonts w:hint="eastAsia"/>
                <w:sz w:val="24"/>
                <w:lang w:val="en-US" w:eastAsia="zh-CN"/>
              </w:rPr>
            </w:pPr>
            <w:r>
              <w:rPr>
                <w:rFonts w:hint="default"/>
                <w:sz w:val="24"/>
              </w:rPr>
              <w:t>本项目</w:t>
            </w:r>
            <w:r>
              <w:rPr>
                <w:rFonts w:hint="eastAsia"/>
                <w:sz w:val="24"/>
                <w:lang w:val="en-US" w:eastAsia="zh-CN"/>
              </w:rPr>
              <w:t>为农副食品加工业，配套建设一台4t/h生物质蒸汽锅炉</w:t>
            </w:r>
            <w:r>
              <w:rPr>
                <w:rFonts w:hint="default"/>
                <w:sz w:val="24"/>
              </w:rPr>
              <w:t>。根据《产业结构调整指导目录（2024年本）》，本项目既不属于“鼓励类”也不属于“限制类”和“淘汰类”</w:t>
            </w:r>
            <w:r>
              <w:rPr>
                <w:rFonts w:hint="eastAsia"/>
                <w:sz w:val="24"/>
                <w:lang w:eastAsia="zh-CN"/>
              </w:rPr>
              <w:t>，</w:t>
            </w:r>
            <w:r>
              <w:rPr>
                <w:rFonts w:hint="eastAsia"/>
                <w:sz w:val="24"/>
                <w:lang w:val="en-US" w:eastAsia="zh-CN"/>
              </w:rPr>
              <w:t>为</w:t>
            </w:r>
            <w:r>
              <w:rPr>
                <w:rFonts w:hint="default" w:ascii="Times New Roman" w:hAnsi="Times New Roman" w:cs="Times New Roman"/>
                <w:sz w:val="24"/>
                <w:lang w:val="en-US" w:eastAsia="zh-CN"/>
              </w:rPr>
              <w:t>“允许类”</w:t>
            </w:r>
            <w:r>
              <w:rPr>
                <w:rFonts w:hint="eastAsia"/>
                <w:sz w:val="24"/>
                <w:lang w:val="en-US" w:eastAsia="zh-CN"/>
              </w:rPr>
              <w:t>，同时，对照工信部《高耗能落后机电设备（产品）淘汰目录》第一批、第二批、第三批，本项目所用机电设备不属于其中的淘汰落后设备，也不属于《产业结构调整指导目录（2024年本）》中淘汰类落后工艺设备。</w:t>
            </w:r>
          </w:p>
          <w:p w14:paraId="55EE7008">
            <w:pPr>
              <w:keepNext w:val="0"/>
              <w:keepLines w:val="0"/>
              <w:suppressLineNumbers w:val="0"/>
              <w:autoSpaceDE w:val="0"/>
              <w:autoSpaceDN w:val="0"/>
              <w:snapToGrid w:val="0"/>
              <w:spacing w:before="0" w:beforeAutospacing="0" w:after="0" w:afterAutospacing="0" w:line="360" w:lineRule="auto"/>
              <w:ind w:left="0" w:right="0" w:firstLine="480" w:firstLineChars="200"/>
              <w:rPr>
                <w:rFonts w:hint="default" w:eastAsia="宋体"/>
                <w:sz w:val="24"/>
                <w:lang w:val="en-US" w:eastAsia="zh-CN"/>
              </w:rPr>
            </w:pPr>
            <w:r>
              <w:rPr>
                <w:rFonts w:hint="eastAsia"/>
                <w:sz w:val="24"/>
                <w:lang w:val="en-US" w:eastAsia="zh-CN"/>
              </w:rPr>
              <w:t>综上，本项目符合国家产业政策。</w:t>
            </w:r>
          </w:p>
          <w:p w14:paraId="1627E0F8">
            <w:pPr>
              <w:keepNext w:val="0"/>
              <w:keepLines w:val="0"/>
              <w:suppressLineNumbers w:val="0"/>
              <w:spacing w:before="0" w:beforeLines="0" w:beforeAutospacing="0" w:after="0" w:afterAutospacing="0" w:line="360" w:lineRule="auto"/>
              <w:ind w:left="0" w:right="0" w:firstLine="482" w:firstLineChars="200"/>
              <w:rPr>
                <w:rFonts w:hint="default" w:eastAsia="宋体"/>
                <w:b/>
                <w:bCs/>
                <w:sz w:val="24"/>
                <w:lang w:val="en-US" w:eastAsia="zh-CN"/>
              </w:rPr>
            </w:pPr>
            <w:r>
              <w:rPr>
                <w:rFonts w:hint="eastAsia"/>
                <w:b/>
                <w:bCs/>
                <w:sz w:val="24"/>
                <w:lang w:val="en-US" w:eastAsia="zh-CN"/>
              </w:rPr>
              <w:t>与生态环境准入清单的相符性分析</w:t>
            </w:r>
          </w:p>
          <w:p w14:paraId="68C2DE80">
            <w:pPr>
              <w:keepNext w:val="0"/>
              <w:keepLines w:val="0"/>
              <w:suppressLineNumbers w:val="0"/>
              <w:spacing w:before="20" w:beforeAutospacing="0" w:after="0" w:afterAutospacing="0" w:line="360" w:lineRule="auto"/>
              <w:ind w:left="0" w:right="0" w:firstLine="480" w:firstLineChars="200"/>
              <w:rPr>
                <w:rFonts w:hint="default"/>
                <w:sz w:val="24"/>
              </w:rPr>
            </w:pPr>
            <w:r>
              <w:rPr>
                <w:rFonts w:hint="default"/>
                <w:sz w:val="24"/>
              </w:rPr>
              <w:t>根据《湖南省生态环境</w:t>
            </w:r>
            <w:r>
              <w:rPr>
                <w:rFonts w:hint="eastAsia"/>
                <w:sz w:val="24"/>
                <w:lang w:val="en-US" w:eastAsia="zh-CN"/>
              </w:rPr>
              <w:t>分区</w:t>
            </w:r>
            <w:r>
              <w:rPr>
                <w:rFonts w:hint="default"/>
                <w:sz w:val="24"/>
              </w:rPr>
              <w:t>管控</w:t>
            </w:r>
            <w:r>
              <w:rPr>
                <w:rFonts w:hint="eastAsia"/>
                <w:sz w:val="24"/>
                <w:lang w:val="en-US" w:eastAsia="zh-CN"/>
              </w:rPr>
              <w:t>总体管控</w:t>
            </w:r>
            <w:r>
              <w:rPr>
                <w:rFonts w:hint="default"/>
                <w:sz w:val="24"/>
              </w:rPr>
              <w:t>要求暨省级以上产业园区生态环境准入清单</w:t>
            </w:r>
            <w:r>
              <w:rPr>
                <w:rFonts w:hint="eastAsia"/>
                <w:sz w:val="24"/>
                <w:lang w:eastAsia="zh-CN"/>
              </w:rPr>
              <w:t>（</w:t>
            </w:r>
            <w:r>
              <w:rPr>
                <w:rFonts w:hint="eastAsia"/>
                <w:sz w:val="24"/>
                <w:lang w:val="en-US" w:eastAsia="zh-CN"/>
              </w:rPr>
              <w:t>2023年版</w:t>
            </w:r>
            <w:r>
              <w:rPr>
                <w:rFonts w:hint="eastAsia"/>
                <w:sz w:val="24"/>
                <w:lang w:eastAsia="zh-CN"/>
              </w:rPr>
              <w:t>）</w:t>
            </w:r>
            <w:r>
              <w:rPr>
                <w:rFonts w:hint="default"/>
                <w:sz w:val="24"/>
              </w:rPr>
              <w:t>》，本项目</w:t>
            </w:r>
            <w:r>
              <w:rPr>
                <w:rFonts w:hint="eastAsia"/>
                <w:sz w:val="24"/>
                <w:lang w:val="en-US" w:eastAsia="zh-CN"/>
              </w:rPr>
              <w:t>与相关要求的</w:t>
            </w:r>
            <w:r>
              <w:rPr>
                <w:rFonts w:hint="default"/>
                <w:sz w:val="24"/>
              </w:rPr>
              <w:t>符合性分析见下表。</w:t>
            </w:r>
          </w:p>
          <w:p w14:paraId="60AD91F8">
            <w:pPr>
              <w:pStyle w:val="33"/>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ind w:right="0" w:firstLine="482" w:firstLineChars="200"/>
              <w:jc w:val="center"/>
              <w:textAlignment w:val="auto"/>
              <w:rPr>
                <w:rFonts w:hint="default" w:eastAsia="宋体"/>
                <w:b/>
                <w:bCs/>
                <w:sz w:val="21"/>
                <w:szCs w:val="21"/>
                <w:lang w:val="en-US" w:eastAsia="zh-CN"/>
              </w:rPr>
            </w:pPr>
            <w:r>
              <w:rPr>
                <w:rFonts w:hint="default" w:eastAsia="宋体"/>
                <w:b/>
                <w:bCs/>
                <w:sz w:val="24"/>
                <w:szCs w:val="24"/>
                <w:lang w:val="en-US" w:eastAsia="zh-CN"/>
              </w:rPr>
              <w:t>《湖南省生态环境分区管控总体管控要求暨省级以上产业园区生态环境准入清单》</w:t>
            </w:r>
            <w:r>
              <w:rPr>
                <w:rFonts w:hint="eastAsia"/>
                <w:b/>
                <w:bCs/>
                <w:sz w:val="24"/>
                <w:szCs w:val="24"/>
                <w:lang w:val="en-US" w:eastAsia="zh-CN"/>
              </w:rPr>
              <w:t>相符性分析</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655"/>
              <w:gridCol w:w="4432"/>
              <w:gridCol w:w="1739"/>
              <w:gridCol w:w="600"/>
            </w:tblGrid>
            <w:tr w14:paraId="529BE7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41" w:type="pct"/>
                  <w:vAlign w:val="center"/>
                </w:tcPr>
                <w:p w14:paraId="763F63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b/>
                      <w:bCs/>
                      <w:caps w:val="0"/>
                      <w:color w:val="000000" w:themeColor="text1"/>
                      <w:u w:val="none" w:color="auto"/>
                      <w14:textFill>
                        <w14:solidFill>
                          <w14:schemeClr w14:val="tx1"/>
                        </w14:solidFill>
                      </w14:textFill>
                    </w:rPr>
                  </w:pPr>
                  <w:r>
                    <w:rPr>
                      <w:rFonts w:hint="default" w:ascii="Times New Roman" w:hAnsi="Times New Roman"/>
                      <w:b/>
                      <w:bCs/>
                      <w:caps w:val="0"/>
                      <w:color w:val="000000" w:themeColor="text1"/>
                      <w:u w:val="none" w:color="auto"/>
                      <w14:textFill>
                        <w14:solidFill>
                          <w14:schemeClr w14:val="tx1"/>
                        </w14:solidFill>
                      </w14:textFill>
                    </w:rPr>
                    <w:t>管控维度</w:t>
                  </w:r>
                </w:p>
              </w:tc>
              <w:tc>
                <w:tcPr>
                  <w:tcW w:w="2984" w:type="pct"/>
                  <w:vAlign w:val="center"/>
                </w:tcPr>
                <w:p w14:paraId="01D097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b/>
                      <w:bCs/>
                      <w:caps w:val="0"/>
                      <w:color w:val="000000" w:themeColor="text1"/>
                      <w:u w:val="none" w:color="auto"/>
                      <w14:textFill>
                        <w14:solidFill>
                          <w14:schemeClr w14:val="tx1"/>
                        </w14:solidFill>
                      </w14:textFill>
                    </w:rPr>
                  </w:pPr>
                  <w:r>
                    <w:rPr>
                      <w:rFonts w:hint="default" w:ascii="Times New Roman" w:hAnsi="Times New Roman"/>
                      <w:b/>
                      <w:bCs/>
                      <w:caps w:val="0"/>
                      <w:color w:val="000000" w:themeColor="text1"/>
                      <w:u w:val="none" w:color="auto"/>
                      <w14:textFill>
                        <w14:solidFill>
                          <w14:schemeClr w14:val="tx1"/>
                        </w14:solidFill>
                      </w14:textFill>
                    </w:rPr>
                    <w:t>管控要求</w:t>
                  </w:r>
                </w:p>
              </w:tc>
              <w:tc>
                <w:tcPr>
                  <w:tcW w:w="1171" w:type="pct"/>
                  <w:vAlign w:val="center"/>
                </w:tcPr>
                <w:p w14:paraId="7B5E29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b/>
                      <w:bCs/>
                      <w:caps w:val="0"/>
                      <w:color w:val="000000" w:themeColor="text1"/>
                      <w:u w:val="none" w:color="auto"/>
                      <w14:textFill>
                        <w14:solidFill>
                          <w14:schemeClr w14:val="tx1"/>
                        </w14:solidFill>
                      </w14:textFill>
                    </w:rPr>
                  </w:pPr>
                  <w:r>
                    <w:rPr>
                      <w:rFonts w:hint="default" w:ascii="Times New Roman" w:hAnsi="Times New Roman"/>
                      <w:b/>
                      <w:bCs/>
                      <w:caps w:val="0"/>
                      <w:color w:val="000000" w:themeColor="text1"/>
                      <w:u w:val="none" w:color="auto"/>
                      <w14:textFill>
                        <w14:solidFill>
                          <w14:schemeClr w14:val="tx1"/>
                        </w14:solidFill>
                      </w14:textFill>
                    </w:rPr>
                    <w:t>项目实际</w:t>
                  </w:r>
                </w:p>
                <w:p w14:paraId="79F839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b/>
                      <w:bCs/>
                      <w:caps w:val="0"/>
                      <w:color w:val="000000" w:themeColor="text1"/>
                      <w:u w:val="none" w:color="auto"/>
                      <w14:textFill>
                        <w14:solidFill>
                          <w14:schemeClr w14:val="tx1"/>
                        </w14:solidFill>
                      </w14:textFill>
                    </w:rPr>
                  </w:pPr>
                  <w:r>
                    <w:rPr>
                      <w:rFonts w:hint="default" w:ascii="Times New Roman" w:hAnsi="Times New Roman"/>
                      <w:b/>
                      <w:bCs/>
                      <w:caps w:val="0"/>
                      <w:color w:val="000000" w:themeColor="text1"/>
                      <w:u w:val="none" w:color="auto"/>
                      <w14:textFill>
                        <w14:solidFill>
                          <w14:schemeClr w14:val="tx1"/>
                        </w14:solidFill>
                      </w14:textFill>
                    </w:rPr>
                    <w:t>情况</w:t>
                  </w:r>
                </w:p>
              </w:tc>
              <w:tc>
                <w:tcPr>
                  <w:tcW w:w="403" w:type="pct"/>
                  <w:vAlign w:val="center"/>
                </w:tcPr>
                <w:p w14:paraId="00F946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b/>
                      <w:bCs/>
                      <w:caps w:val="0"/>
                      <w:color w:val="000000" w:themeColor="text1"/>
                      <w:u w:val="none" w:color="auto"/>
                      <w14:textFill>
                        <w14:solidFill>
                          <w14:schemeClr w14:val="tx1"/>
                        </w14:solidFill>
                      </w14:textFill>
                    </w:rPr>
                  </w:pPr>
                  <w:r>
                    <w:rPr>
                      <w:rFonts w:hint="default" w:ascii="Times New Roman" w:hAnsi="Times New Roman"/>
                      <w:b/>
                      <w:bCs/>
                      <w:caps w:val="0"/>
                      <w:color w:val="000000" w:themeColor="text1"/>
                      <w:u w:val="none" w:color="auto"/>
                      <w14:textFill>
                        <w14:solidFill>
                          <w14:schemeClr w14:val="tx1"/>
                        </w14:solidFill>
                      </w14:textFill>
                    </w:rPr>
                    <w:t>符合性</w:t>
                  </w:r>
                </w:p>
              </w:tc>
            </w:tr>
            <w:tr w14:paraId="0C87C9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41" w:type="pct"/>
                  <w:vAlign w:val="center"/>
                </w:tcPr>
                <w:p w14:paraId="5BF679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区域主体功能定位</w:t>
                  </w:r>
                </w:p>
              </w:tc>
              <w:tc>
                <w:tcPr>
                  <w:tcW w:w="2984" w:type="pct"/>
                  <w:vAlign w:val="center"/>
                </w:tcPr>
                <w:p w14:paraId="30A0BE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aps w:val="0"/>
                      <w:color w:val="000000" w:themeColor="text1"/>
                      <w:u w:val="none" w:color="auto"/>
                      <w:lang w:val="en-US" w:eastAsia="zh-CN"/>
                      <w14:textFill>
                        <w14:solidFill>
                          <w14:schemeClr w14:val="tx1"/>
                        </w14:solidFill>
                      </w14:textFill>
                    </w:rPr>
                  </w:pPr>
                  <w:r>
                    <w:rPr>
                      <w:rFonts w:hint="eastAsia"/>
                      <w:caps w:val="0"/>
                      <w:color w:val="000000" w:themeColor="text1"/>
                      <w:u w:val="none" w:color="auto"/>
                      <w:lang w:val="en-US" w:eastAsia="zh-CN"/>
                      <w14:textFill>
                        <w14:solidFill>
                          <w14:schemeClr w14:val="tx1"/>
                        </w14:solidFill>
                      </w14:textFill>
                    </w:rPr>
                    <w:t>柳林洲街道：城市化地区</w:t>
                  </w:r>
                </w:p>
              </w:tc>
              <w:tc>
                <w:tcPr>
                  <w:tcW w:w="1171" w:type="pct"/>
                  <w:vMerge w:val="restart"/>
                  <w:vAlign w:val="center"/>
                </w:tcPr>
                <w:p w14:paraId="539590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aps w:val="0"/>
                      <w:color w:val="000000" w:themeColor="text1"/>
                      <w:u w:val="none" w:color="auto"/>
                      <w:lang w:val="en-US" w:eastAsia="zh-CN"/>
                      <w14:textFill>
                        <w14:solidFill>
                          <w14:schemeClr w14:val="tx1"/>
                        </w14:solidFill>
                      </w14:textFill>
                    </w:rPr>
                  </w:pPr>
                  <w:r>
                    <w:rPr>
                      <w:rFonts w:hint="eastAsia"/>
                      <w:caps w:val="0"/>
                      <w:color w:val="000000" w:themeColor="text1"/>
                      <w:u w:val="none" w:color="auto"/>
                      <w:lang w:val="en-US" w:eastAsia="zh-CN"/>
                      <w14:textFill>
                        <w14:solidFill>
                          <w14:schemeClr w14:val="tx1"/>
                        </w14:solidFill>
                      </w14:textFill>
                    </w:rPr>
                    <w:t>本项目位于荆江门片区，属于</w:t>
                  </w:r>
                  <w:r>
                    <w:rPr>
                      <w:rFonts w:hint="eastAsia"/>
                      <w:lang w:val="en-US" w:eastAsia="zh-CN"/>
                    </w:rPr>
                    <w:t>农</w:t>
                  </w:r>
                  <w:r>
                    <w:rPr>
                      <w:rFonts w:hint="eastAsia"/>
                      <w:caps w:val="0"/>
                      <w:color w:val="000000" w:themeColor="text1"/>
                      <w:u w:val="none" w:color="auto"/>
                      <w:lang w:val="en-US" w:eastAsia="zh-CN"/>
                      <w14:textFill>
                        <w14:solidFill>
                          <w14:schemeClr w14:val="tx1"/>
                        </w14:solidFill>
                      </w14:textFill>
                    </w:rPr>
                    <w:t>副产品加工业，配套建设一台4t/h生物质蒸汽锅炉，符合园区产业定位</w:t>
                  </w:r>
                </w:p>
              </w:tc>
              <w:tc>
                <w:tcPr>
                  <w:tcW w:w="403" w:type="pct"/>
                  <w:vAlign w:val="center"/>
                </w:tcPr>
                <w:p w14:paraId="09FC4F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aps w:val="0"/>
                      <w:color w:val="000000" w:themeColor="text1"/>
                      <w:u w:val="none" w:color="auto"/>
                      <w:lang w:val="en-US" w:eastAsia="zh-CN"/>
                      <w14:textFill>
                        <w14:solidFill>
                          <w14:schemeClr w14:val="tx1"/>
                        </w14:solidFill>
                      </w14:textFill>
                    </w:rPr>
                  </w:pPr>
                  <w:r>
                    <w:rPr>
                      <w:rFonts w:hint="eastAsia"/>
                      <w:caps w:val="0"/>
                      <w:color w:val="000000" w:themeColor="text1"/>
                      <w:u w:val="none" w:color="auto"/>
                      <w:lang w:val="en-US" w:eastAsia="zh-CN"/>
                      <w14:textFill>
                        <w14:solidFill>
                          <w14:schemeClr w14:val="tx1"/>
                        </w14:solidFill>
                      </w14:textFill>
                    </w:rPr>
                    <w:t>符合</w:t>
                  </w:r>
                </w:p>
              </w:tc>
            </w:tr>
            <w:tr w14:paraId="448D52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41" w:type="pct"/>
                  <w:vAlign w:val="center"/>
                </w:tcPr>
                <w:p w14:paraId="59BF07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aps w:val="0"/>
                      <w:color w:val="000000" w:themeColor="text1"/>
                      <w:u w:val="none" w:color="auto"/>
                      <w:lang w:val="en-US" w:eastAsia="zh-CN"/>
                      <w14:textFill>
                        <w14:solidFill>
                          <w14:schemeClr w14:val="tx1"/>
                        </w14:solidFill>
                      </w14:textFill>
                    </w:rPr>
                  </w:pPr>
                  <w:r>
                    <w:rPr>
                      <w:rFonts w:hint="eastAsia"/>
                      <w:caps w:val="0"/>
                      <w:color w:val="000000" w:themeColor="text1"/>
                      <w:u w:val="none" w:color="auto"/>
                      <w:lang w:val="en-US" w:eastAsia="zh-CN"/>
                      <w14:textFill>
                        <w14:solidFill>
                          <w14:schemeClr w14:val="tx1"/>
                        </w14:solidFill>
                      </w14:textFill>
                    </w:rPr>
                    <w:t>主导产业</w:t>
                  </w:r>
                </w:p>
              </w:tc>
              <w:tc>
                <w:tcPr>
                  <w:tcW w:w="2984" w:type="pct"/>
                  <w:vAlign w:val="center"/>
                </w:tcPr>
                <w:p w14:paraId="693B2F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caps w:val="0"/>
                      <w:color w:val="000000" w:themeColor="text1"/>
                      <w:u w:val="none" w:color="auto"/>
                      <w:lang w:val="en-US" w:eastAsia="zh-CN"/>
                      <w14:textFill>
                        <w14:solidFill>
                          <w14:schemeClr w14:val="tx1"/>
                        </w14:solidFill>
                      </w14:textFill>
                    </w:rPr>
                  </w:pPr>
                  <w:r>
                    <w:rPr>
                      <w:rFonts w:hint="eastAsia"/>
                      <w:b/>
                      <w:bCs/>
                      <w:caps w:val="0"/>
                      <w:color w:val="000000" w:themeColor="text1"/>
                      <w:u w:val="none" w:color="auto"/>
                      <w:lang w:val="en-US" w:eastAsia="zh-CN"/>
                      <w14:textFill>
                        <w14:solidFill>
                          <w14:schemeClr w14:val="tx1"/>
                        </w14:solidFill>
                      </w14:textFill>
                    </w:rPr>
                    <w:t>六部委公告2018年第4号</w:t>
                  </w:r>
                  <w:r>
                    <w:rPr>
                      <w:rFonts w:hint="eastAsia"/>
                      <w:caps w:val="0"/>
                      <w:color w:val="000000" w:themeColor="text1"/>
                      <w:u w:val="none" w:color="auto"/>
                      <w:lang w:val="en-US" w:eastAsia="zh-CN"/>
                      <w14:textFill>
                        <w14:solidFill>
                          <w14:schemeClr w14:val="tx1"/>
                        </w14:solidFill>
                      </w14:textFill>
                    </w:rPr>
                    <w:t>：食品、农副产品加工；</w:t>
                  </w:r>
                </w:p>
                <w:p w14:paraId="674EE2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caps w:val="0"/>
                      <w:color w:val="000000" w:themeColor="text1"/>
                      <w:u w:val="none" w:color="auto"/>
                      <w:lang w:val="en-US" w:eastAsia="zh-CN"/>
                      <w14:textFill>
                        <w14:solidFill>
                          <w14:schemeClr w14:val="tx1"/>
                        </w14:solidFill>
                      </w14:textFill>
                    </w:rPr>
                  </w:pPr>
                  <w:r>
                    <w:rPr>
                      <w:rFonts w:hint="eastAsia"/>
                      <w:b/>
                      <w:bCs/>
                      <w:caps w:val="0"/>
                      <w:color w:val="000000" w:themeColor="text1"/>
                      <w:u w:val="none" w:color="auto"/>
                      <w:lang w:val="en-US" w:eastAsia="zh-CN"/>
                      <w14:textFill>
                        <w14:solidFill>
                          <w14:schemeClr w14:val="tx1"/>
                        </w14:solidFill>
                      </w14:textFill>
                    </w:rPr>
                    <w:t>湘发改地区〔2021〕394号</w:t>
                  </w:r>
                  <w:r>
                    <w:rPr>
                      <w:rFonts w:hint="eastAsia"/>
                      <w:caps w:val="0"/>
                      <w:color w:val="000000" w:themeColor="text1"/>
                      <w:u w:val="none" w:color="auto"/>
                      <w:lang w:val="en-US" w:eastAsia="zh-CN"/>
                      <w14:textFill>
                        <w14:solidFill>
                          <w14:schemeClr w14:val="tx1"/>
                        </w14:solidFill>
                      </w14:textFill>
                    </w:rPr>
                    <w:t>：主导产业：食品；特色产业：电子、医药；</w:t>
                  </w:r>
                </w:p>
                <w:p w14:paraId="782C3C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eastAsia"/>
                      <w:caps w:val="0"/>
                      <w:color w:val="000000" w:themeColor="text1"/>
                      <w:u w:val="none" w:color="auto"/>
                      <w:lang w:val="en-US" w:eastAsia="zh-CN"/>
                      <w14:textFill>
                        <w14:solidFill>
                          <w14:schemeClr w14:val="tx1"/>
                        </w14:solidFill>
                      </w14:textFill>
                    </w:rPr>
                  </w:pPr>
                  <w:r>
                    <w:rPr>
                      <w:rFonts w:hint="eastAsia"/>
                      <w:b/>
                      <w:bCs/>
                      <w:caps w:val="0"/>
                      <w:color w:val="000000" w:themeColor="text1"/>
                      <w:u w:val="none" w:color="auto"/>
                      <w:lang w:val="en-US" w:eastAsia="zh-CN"/>
                      <w14:textFill>
                        <w14:solidFill>
                          <w14:schemeClr w14:val="tx1"/>
                        </w14:solidFill>
                      </w14:textFill>
                    </w:rPr>
                    <w:t>湘环评函〔2014〕54号</w:t>
                  </w:r>
                  <w:r>
                    <w:rPr>
                      <w:rFonts w:hint="eastAsia"/>
                      <w:caps w:val="0"/>
                      <w:color w:val="000000" w:themeColor="text1"/>
                      <w:u w:val="none" w:color="auto"/>
                      <w:lang w:val="en-US" w:eastAsia="zh-CN"/>
                      <w14:textFill>
                        <w14:solidFill>
                          <w14:schemeClr w14:val="tx1"/>
                        </w14:solidFill>
                      </w14:textFill>
                    </w:rPr>
                    <w:t>：荆江门片区产业定位以食品制造业、农副产品加工业(精制茶生产等)为重点，配套发展食品相关行业，总体布局根据规划北部为仓储物流区，中部和南部以工业用地为主；</w:t>
                  </w:r>
                </w:p>
                <w:p w14:paraId="26FF36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both"/>
                    <w:textAlignment w:val="auto"/>
                    <w:rPr>
                      <w:rFonts w:hint="default"/>
                      <w:caps w:val="0"/>
                      <w:color w:val="000000" w:themeColor="text1"/>
                      <w:u w:val="none" w:color="auto"/>
                      <w:lang w:val="en-US" w:eastAsia="zh-CN"/>
                      <w14:textFill>
                        <w14:solidFill>
                          <w14:schemeClr w14:val="tx1"/>
                        </w14:solidFill>
                      </w14:textFill>
                    </w:rPr>
                  </w:pPr>
                  <w:r>
                    <w:rPr>
                      <w:rFonts w:hint="eastAsia"/>
                      <w:b/>
                      <w:bCs/>
                      <w:caps w:val="0"/>
                      <w:color w:val="000000" w:themeColor="text1"/>
                      <w:u w:val="none" w:color="auto"/>
                      <w:lang w:val="en-US" w:eastAsia="zh-CN"/>
                      <w14:textFill>
                        <w14:solidFill>
                          <w14:schemeClr w14:val="tx1"/>
                        </w14:solidFill>
                      </w14:textFill>
                    </w:rPr>
                    <w:t>湘环评函〔2010〕44号</w:t>
                  </w:r>
                  <w:r>
                    <w:rPr>
                      <w:rFonts w:hint="eastAsia"/>
                      <w:caps w:val="0"/>
                      <w:color w:val="000000" w:themeColor="text1"/>
                      <w:u w:val="none" w:color="auto"/>
                      <w:lang w:val="en-US" w:eastAsia="zh-CN"/>
                      <w14:textFill>
                        <w14:solidFill>
                          <w14:schemeClr w14:val="tx1"/>
                        </w14:solidFill>
                      </w14:textFill>
                    </w:rPr>
                    <w:t>：林角佬片区产业定位为生物医药产业(重点发展医药抗生素和医药大输液产品、中药产品等生物制药产业，完善医药产品流通市场)、农副产品加工业、绿色物流业、配套包装工业。</w:t>
                  </w:r>
                </w:p>
              </w:tc>
              <w:tc>
                <w:tcPr>
                  <w:tcW w:w="1171" w:type="pct"/>
                  <w:vMerge w:val="continue"/>
                  <w:vAlign w:val="center"/>
                </w:tcPr>
                <w:p w14:paraId="21C372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caps w:val="0"/>
                      <w:color w:val="000000" w:themeColor="text1"/>
                      <w:u w:val="none" w:color="auto"/>
                      <w14:textFill>
                        <w14:solidFill>
                          <w14:schemeClr w14:val="tx1"/>
                        </w14:solidFill>
                      </w14:textFill>
                    </w:rPr>
                  </w:pPr>
                </w:p>
              </w:tc>
              <w:tc>
                <w:tcPr>
                  <w:tcW w:w="403" w:type="pct"/>
                  <w:vAlign w:val="center"/>
                </w:tcPr>
                <w:p w14:paraId="1A5D84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aps w:val="0"/>
                      <w:color w:val="000000" w:themeColor="text1"/>
                      <w:u w:val="none" w:color="auto"/>
                      <w:lang w:val="en-US" w:eastAsia="zh-CN"/>
                      <w14:textFill>
                        <w14:solidFill>
                          <w14:schemeClr w14:val="tx1"/>
                        </w14:solidFill>
                      </w14:textFill>
                    </w:rPr>
                  </w:pPr>
                  <w:r>
                    <w:rPr>
                      <w:rFonts w:hint="eastAsia"/>
                      <w:caps w:val="0"/>
                      <w:color w:val="000000" w:themeColor="text1"/>
                      <w:u w:val="none" w:color="auto"/>
                      <w:lang w:val="en-US" w:eastAsia="zh-CN"/>
                      <w14:textFill>
                        <w14:solidFill>
                          <w14:schemeClr w14:val="tx1"/>
                        </w14:solidFill>
                      </w14:textFill>
                    </w:rPr>
                    <w:t>符合</w:t>
                  </w:r>
                </w:p>
              </w:tc>
            </w:tr>
            <w:tr w14:paraId="3A057F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41" w:type="pct"/>
                  <w:vAlign w:val="center"/>
                </w:tcPr>
                <w:p w14:paraId="571876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空间布局约束</w:t>
                  </w:r>
                </w:p>
              </w:tc>
              <w:tc>
                <w:tcPr>
                  <w:tcW w:w="2984" w:type="pct"/>
                  <w:vAlign w:val="center"/>
                </w:tcPr>
                <w:p w14:paraId="48996D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1.1</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开发区严格按照《湖南省湘江保护条例》及相关政策要求，做好沿江1km范围内的产业布局管控。</w:t>
                  </w:r>
                </w:p>
                <w:p w14:paraId="31F428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1.2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区块一、区块二(荆江门片区)严格按产业定位引进企业，以一类工业用地为主，严格限制二类工业用地。禁止引进气型污染严重的企业，禁止引进涉重金属、持久性有机物及高噪声设备的企业，严格限制油脂加工类企业进入。</w:t>
                  </w:r>
                </w:p>
              </w:tc>
              <w:tc>
                <w:tcPr>
                  <w:tcW w:w="1171" w:type="pct"/>
                  <w:vAlign w:val="center"/>
                </w:tcPr>
                <w:p w14:paraId="29B75C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本项目不属于禁止引入的企业。</w:t>
                  </w:r>
                </w:p>
              </w:tc>
              <w:tc>
                <w:tcPr>
                  <w:tcW w:w="403" w:type="pct"/>
                  <w:vAlign w:val="center"/>
                </w:tcPr>
                <w:p w14:paraId="243077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符合</w:t>
                  </w:r>
                </w:p>
              </w:tc>
            </w:tr>
            <w:tr w14:paraId="02419B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41" w:type="pct"/>
                  <w:vAlign w:val="center"/>
                </w:tcPr>
                <w:p w14:paraId="2DD938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污染物排放管控</w:t>
                  </w:r>
                </w:p>
              </w:tc>
              <w:tc>
                <w:tcPr>
                  <w:tcW w:w="2984" w:type="pct"/>
                  <w:vAlign w:val="center"/>
                </w:tcPr>
                <w:p w14:paraId="2E0CE1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2.1</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废水</w:t>
                  </w:r>
                </w:p>
                <w:p w14:paraId="556F71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2.1.1</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区块一、区块二(荆江门片区)排水实施“雨污分流”排水体制，片区废水经收集后，进入预处理中心进行预处理，再排入君山区第二污水处理厂处理，达标后通过专管排入长江；片区雨水往南经雨水管网排至周边沟渠，往北经雨水管网排入明渠流入西干渠。</w:t>
                  </w:r>
                </w:p>
                <w:p w14:paraId="1D30B2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2.1.3</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推进重点行业氮磷排放总量控制，强化监管，推动重点行业企业安装在线监控装置并稳定运行。</w:t>
                  </w:r>
                </w:p>
                <w:p w14:paraId="042334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废气</w:t>
                  </w:r>
                </w:p>
                <w:p w14:paraId="3967F1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2.2.1</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做好大气污染控制措施。对各企业有工艺废气产出的生产节点，应配置废气收集与处理净化装置，做到达标排放；加强生产工艺研究与技术改进，采取有效措施，减少开发区内工艺废气的无组织排放。</w:t>
                  </w:r>
                </w:p>
                <w:p w14:paraId="29BAE7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2.2.2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加快推进含VOCs原辅材料源头替代，实施全过程污染物治理。以工业涂装、包装印刷等行业为重点，推动使用低挥发性有机物含量的涂料、油墨、胶粘剂、清洗剂。</w:t>
                  </w:r>
                </w:p>
                <w:p w14:paraId="156A38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2.3</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开发区内相关行业污染物排放满足《湖南省生态环中境厅关于执行污染物特别排放限值</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第一批</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的公告》中的要求。</w:t>
                  </w:r>
                </w:p>
                <w:p w14:paraId="0C5160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2.4</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固体废弃物</w:t>
                  </w:r>
                </w:p>
                <w:p w14:paraId="3F257C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2.4.1</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做好工业固体废物和生活垃圾的分类收集、转运、综合利用和无害化处理。推行清洁生产，减少固体废物产生量；加强固体废物的资源化进程，提高综合利用率；规范固体废物处理措施，严防二次污染。</w:t>
                  </w:r>
                </w:p>
                <w:p w14:paraId="480851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2.4.2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推进强化危险废物监管和利用处置能力改革，逐步建立“源头严防、过程严管、后果严惩”危险废物监管体系。</w:t>
                  </w:r>
                </w:p>
              </w:tc>
              <w:tc>
                <w:tcPr>
                  <w:tcW w:w="1171" w:type="pct"/>
                  <w:vAlign w:val="center"/>
                </w:tcPr>
                <w:p w14:paraId="183DC2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eastAsia="宋体"/>
                      <w:caps w:val="0"/>
                      <w:color w:val="000000" w:themeColor="text1"/>
                      <w:u w:val="none" w:color="auto"/>
                      <w:lang w:val="en-US" w:eastAsia="zh-CN"/>
                      <w14:textFill>
                        <w14:solidFill>
                          <w14:schemeClr w14:val="tx1"/>
                        </w14:solidFill>
                      </w14:textFill>
                    </w:rPr>
                  </w:pPr>
                  <w:r>
                    <w:rPr>
                      <w:rFonts w:hint="eastAsia" w:ascii="Times New Roman" w:hAnsi="Times New Roman"/>
                      <w:caps w:val="0"/>
                      <w:color w:val="000000" w:themeColor="text1"/>
                      <w:u w:val="none" w:color="auto"/>
                      <w14:textFill>
                        <w14:solidFill>
                          <w14:schemeClr w14:val="tx1"/>
                        </w14:solidFill>
                      </w14:textFill>
                    </w:rPr>
                    <w:t>①</w:t>
                  </w:r>
                  <w:r>
                    <w:rPr>
                      <w:rFonts w:hint="default" w:ascii="Times New Roman" w:hAnsi="Times New Roman"/>
                      <w:caps w:val="0"/>
                      <w:color w:val="000000" w:themeColor="text1"/>
                      <w:u w:val="none" w:color="auto"/>
                      <w14:textFill>
                        <w14:solidFill>
                          <w14:schemeClr w14:val="tx1"/>
                        </w14:solidFill>
                      </w14:textFill>
                    </w:rPr>
                    <w:t>本项目实行雨污分流的排水体制，污水排入君山区第二污水处理厂</w:t>
                  </w:r>
                  <w:r>
                    <w:rPr>
                      <w:rFonts w:hint="eastAsia"/>
                      <w:caps w:val="0"/>
                      <w:color w:val="000000" w:themeColor="text1"/>
                      <w:u w:val="none" w:color="auto"/>
                      <w:lang w:val="en-US" w:eastAsia="zh-CN"/>
                      <w14:textFill>
                        <w14:solidFill>
                          <w14:schemeClr w14:val="tx1"/>
                        </w14:solidFill>
                      </w14:textFill>
                    </w:rPr>
                    <w:t>处理</w:t>
                  </w:r>
                  <w:r>
                    <w:rPr>
                      <w:rFonts w:hint="default" w:ascii="Times New Roman" w:hAnsi="Times New Roman"/>
                      <w:caps w:val="0"/>
                      <w:color w:val="000000" w:themeColor="text1"/>
                      <w:u w:val="none" w:color="auto"/>
                      <w14:textFill>
                        <w14:solidFill>
                          <w14:schemeClr w14:val="tx1"/>
                        </w14:solidFill>
                      </w14:textFill>
                    </w:rPr>
                    <w:t>；</w:t>
                  </w:r>
                  <w:r>
                    <w:rPr>
                      <w:rFonts w:hint="eastAsia"/>
                      <w:caps w:val="0"/>
                      <w:color w:val="000000" w:themeColor="text1"/>
                      <w:u w:val="none" w:color="auto"/>
                      <w:lang w:val="en-US" w:eastAsia="zh-CN"/>
                      <w14:textFill>
                        <w14:solidFill>
                          <w14:schemeClr w14:val="tx1"/>
                        </w14:solidFill>
                      </w14:textFill>
                    </w:rPr>
                    <w:t>后期雨水进入市政雨水管网；</w:t>
                  </w:r>
                </w:p>
                <w:p w14:paraId="1D207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caps w:val="0"/>
                      <w:color w:val="000000" w:themeColor="text1"/>
                      <w:u w:val="none" w:color="auto"/>
                      <w14:textFill>
                        <w14:solidFill>
                          <w14:schemeClr w14:val="tx1"/>
                        </w14:solidFill>
                      </w14:textFill>
                    </w:rPr>
                  </w:pPr>
                  <w:r>
                    <w:rPr>
                      <w:rFonts w:hint="eastAsia" w:ascii="Times New Roman" w:hAnsi="Times New Roman"/>
                      <w:caps w:val="0"/>
                      <w:color w:val="000000" w:themeColor="text1"/>
                      <w:u w:val="none" w:color="auto"/>
                      <w14:textFill>
                        <w14:solidFill>
                          <w14:schemeClr w14:val="tx1"/>
                        </w14:solidFill>
                      </w14:textFill>
                    </w:rPr>
                    <w:t>②本项目各个废气产生区域均设置有污染防治措施，能够保证废气的达标排放；</w:t>
                  </w:r>
                </w:p>
                <w:p w14:paraId="50C72F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caps w:val="0"/>
                      <w:color w:val="000000" w:themeColor="text1"/>
                      <w:u w:val="none" w:color="auto"/>
                      <w14:textFill>
                        <w14:solidFill>
                          <w14:schemeClr w14:val="tx1"/>
                        </w14:solidFill>
                      </w14:textFill>
                    </w:rPr>
                  </w:pPr>
                  <w:r>
                    <w:rPr>
                      <w:rFonts w:hint="eastAsia" w:ascii="Times New Roman" w:hAnsi="Times New Roman"/>
                      <w:caps w:val="0"/>
                      <w:color w:val="000000" w:themeColor="text1"/>
                      <w:u w:val="none" w:color="auto"/>
                      <w:lang w:val="en-US" w:eastAsia="zh-CN"/>
                      <w14:textFill>
                        <w14:solidFill>
                          <w14:schemeClr w14:val="tx1"/>
                        </w14:solidFill>
                      </w14:textFill>
                    </w:rPr>
                    <w:t>③</w:t>
                  </w:r>
                  <w:r>
                    <w:rPr>
                      <w:rFonts w:hint="eastAsia" w:ascii="Times New Roman" w:hAnsi="Times New Roman"/>
                      <w:caps w:val="0"/>
                      <w:color w:val="000000" w:themeColor="text1"/>
                      <w:u w:val="none" w:color="auto"/>
                      <w14:textFill>
                        <w14:solidFill>
                          <w14:schemeClr w14:val="tx1"/>
                        </w14:solidFill>
                      </w14:textFill>
                    </w:rPr>
                    <w:t>本项目各类固体废物均能够综合利用</w:t>
                  </w:r>
                  <w:r>
                    <w:rPr>
                      <w:rFonts w:hint="eastAsia"/>
                      <w:caps w:val="0"/>
                      <w:color w:val="000000" w:themeColor="text1"/>
                      <w:u w:val="none" w:color="auto"/>
                      <w:lang w:val="en-US" w:eastAsia="zh-CN"/>
                      <w14:textFill>
                        <w14:solidFill>
                          <w14:schemeClr w14:val="tx1"/>
                        </w14:solidFill>
                      </w14:textFill>
                    </w:rPr>
                    <w:t>或</w:t>
                  </w:r>
                  <w:r>
                    <w:rPr>
                      <w:rFonts w:hint="eastAsia" w:ascii="Times New Roman" w:hAnsi="Times New Roman"/>
                      <w:caps w:val="0"/>
                      <w:color w:val="000000" w:themeColor="text1"/>
                      <w:u w:val="none" w:color="auto"/>
                      <w14:textFill>
                        <w14:solidFill>
                          <w14:schemeClr w14:val="tx1"/>
                        </w14:solidFill>
                      </w14:textFill>
                    </w:rPr>
                    <w:t>无害化处理。</w:t>
                  </w:r>
                </w:p>
              </w:tc>
              <w:tc>
                <w:tcPr>
                  <w:tcW w:w="403" w:type="pct"/>
                  <w:vAlign w:val="center"/>
                </w:tcPr>
                <w:p w14:paraId="23E88F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符合</w:t>
                  </w:r>
                </w:p>
              </w:tc>
            </w:tr>
            <w:tr w14:paraId="2FFBCBE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41" w:type="pct"/>
                  <w:vAlign w:val="center"/>
                </w:tcPr>
                <w:p w14:paraId="5DCCF8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环境风险防控</w:t>
                  </w:r>
                </w:p>
              </w:tc>
              <w:tc>
                <w:tcPr>
                  <w:tcW w:w="2984" w:type="pct"/>
                  <w:vAlign w:val="center"/>
                </w:tcPr>
                <w:p w14:paraId="5A8C95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3.1</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开发区各区块应建立健全环境风险防控体系，严格落实岳阳市君山产业开发区突发环境事件应急预案及市区预案中相关要求，严防突发环境事件发生，提高应急处置能力。食品加工企业高浓度废水应根据园区及企业应急预案相关要求采取源头控制，并配备拦截设施等。</w:t>
                  </w:r>
                </w:p>
                <w:p w14:paraId="0E2020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3.2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开发区可能发生突发环境事件的污染物排放企业，生产、储存、运输、使用危险化学品的企业，产生、收集、贮存、运输、利用危险废物的企业等应当编制和实施环境应急预案；鼓励其他企业制定单独的环境应急预案，或在突发事件应急预案中制定环境应急预案专章，并备案。</w:t>
                  </w:r>
                </w:p>
                <w:p w14:paraId="1F5CEA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3.3</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建设用地土壤风险防控：配合开展重点行业企业用地调查和典型行业周边土壤环境调查。严格建设用地准入管理，加强关停企业原址用地土壤环境监管。</w:t>
                  </w:r>
                </w:p>
                <w:p w14:paraId="6F3DD9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3.4</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农用地风险防控：配合开展受污染耕地土壤重金属成因排查。加强对周边优先保护类农用地实行优先保护和严格管理，确保其面积不减少、土壤环境质量不下降。</w:t>
                  </w:r>
                </w:p>
              </w:tc>
              <w:tc>
                <w:tcPr>
                  <w:tcW w:w="1171" w:type="pct"/>
                  <w:vAlign w:val="center"/>
                </w:tcPr>
                <w:p w14:paraId="0BB2BB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caps w:val="0"/>
                      <w:color w:val="000000" w:themeColor="text1"/>
                      <w:u w:val="none" w:color="auto"/>
                      <w14:textFill>
                        <w14:solidFill>
                          <w14:schemeClr w14:val="tx1"/>
                        </w14:solidFill>
                      </w14:textFill>
                    </w:rPr>
                  </w:pPr>
                  <w:r>
                    <w:rPr>
                      <w:rFonts w:hint="eastAsia"/>
                      <w:caps w:val="0"/>
                      <w:color w:val="000000" w:themeColor="text1"/>
                      <w:highlight w:val="none"/>
                      <w:u w:val="none" w:color="auto"/>
                      <w:lang w:val="en-US" w:eastAsia="zh-CN"/>
                      <w14:textFill>
                        <w14:solidFill>
                          <w14:schemeClr w14:val="tx1"/>
                        </w14:solidFill>
                      </w14:textFill>
                    </w:rPr>
                    <w:t>本</w:t>
                  </w:r>
                  <w:r>
                    <w:rPr>
                      <w:rFonts w:hint="eastAsia" w:ascii="Times New Roman" w:hAnsi="Times New Roman"/>
                      <w:caps w:val="0"/>
                      <w:color w:val="000000" w:themeColor="text1"/>
                      <w:highlight w:val="none"/>
                      <w:u w:val="none" w:color="auto"/>
                      <w:lang w:val="en-US" w:eastAsia="zh-CN"/>
                      <w14:textFill>
                        <w14:solidFill>
                          <w14:schemeClr w14:val="tx1"/>
                        </w14:solidFill>
                      </w14:textFill>
                    </w:rPr>
                    <w:t>项目建成后应按照</w:t>
                  </w:r>
                  <w:r>
                    <w:rPr>
                      <w:rFonts w:hint="eastAsia"/>
                      <w:caps w:val="0"/>
                      <w:color w:val="000000" w:themeColor="text1"/>
                      <w:highlight w:val="none"/>
                      <w:u w:val="none" w:color="auto"/>
                      <w:lang w:val="en-US" w:eastAsia="zh-CN"/>
                      <w14:textFill>
                        <w14:solidFill>
                          <w14:schemeClr w14:val="tx1"/>
                        </w14:solidFill>
                      </w14:textFill>
                    </w:rPr>
                    <w:t>落实相关风险防范措施</w:t>
                  </w:r>
                  <w:r>
                    <w:rPr>
                      <w:rFonts w:hint="eastAsia" w:ascii="Times New Roman" w:hAnsi="Times New Roman"/>
                      <w:caps w:val="0"/>
                      <w:color w:val="000000" w:themeColor="text1"/>
                      <w:highlight w:val="none"/>
                      <w:u w:val="none" w:color="auto"/>
                      <w:lang w:val="en-US" w:eastAsia="zh-CN"/>
                      <w14:textFill>
                        <w14:solidFill>
                          <w14:schemeClr w14:val="tx1"/>
                        </w14:solidFill>
                      </w14:textFill>
                    </w:rPr>
                    <w:t>，</w:t>
                  </w:r>
                  <w:r>
                    <w:rPr>
                      <w:rFonts w:hint="eastAsia"/>
                      <w:caps w:val="0"/>
                      <w:color w:val="000000" w:themeColor="text1"/>
                      <w:highlight w:val="none"/>
                      <w:u w:val="none" w:color="auto"/>
                      <w:lang w:val="en-US" w:eastAsia="zh-CN"/>
                      <w14:textFill>
                        <w14:solidFill>
                          <w14:schemeClr w14:val="tx1"/>
                        </w14:solidFill>
                      </w14:textFill>
                    </w:rPr>
                    <w:t>并</w:t>
                  </w:r>
                  <w:r>
                    <w:rPr>
                      <w:rFonts w:hint="eastAsia" w:ascii="Times New Roman" w:hAnsi="Times New Roman"/>
                      <w:caps w:val="0"/>
                      <w:color w:val="000000" w:themeColor="text1"/>
                      <w:highlight w:val="none"/>
                      <w:u w:val="none" w:color="auto"/>
                      <w:lang w:val="en-US" w:eastAsia="zh-CN"/>
                      <w14:textFill>
                        <w14:solidFill>
                          <w14:schemeClr w14:val="tx1"/>
                        </w14:solidFill>
                      </w14:textFill>
                    </w:rPr>
                    <w:t>与园区突发环境事件应急预案衔接</w:t>
                  </w:r>
                  <w:r>
                    <w:rPr>
                      <w:rFonts w:hint="eastAsia"/>
                      <w:caps w:val="0"/>
                      <w:color w:val="000000" w:themeColor="text1"/>
                      <w:highlight w:val="none"/>
                      <w:u w:val="none" w:color="auto"/>
                      <w:lang w:val="en-US" w:eastAsia="zh-CN"/>
                      <w14:textFill>
                        <w14:solidFill>
                          <w14:schemeClr w14:val="tx1"/>
                        </w14:solidFill>
                      </w14:textFill>
                    </w:rPr>
                    <w:t>。</w:t>
                  </w:r>
                </w:p>
              </w:tc>
              <w:tc>
                <w:tcPr>
                  <w:tcW w:w="403" w:type="pct"/>
                  <w:vAlign w:val="center"/>
                </w:tcPr>
                <w:p w14:paraId="13A4BA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符合</w:t>
                  </w:r>
                </w:p>
              </w:tc>
            </w:tr>
            <w:tr w14:paraId="0A054E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97" w:hRule="atLeast"/>
              </w:trPr>
              <w:tc>
                <w:tcPr>
                  <w:tcW w:w="441" w:type="pct"/>
                  <w:vAlign w:val="center"/>
                </w:tcPr>
                <w:p w14:paraId="177ABF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资源开发效率要求</w:t>
                  </w:r>
                </w:p>
              </w:tc>
              <w:tc>
                <w:tcPr>
                  <w:tcW w:w="2984" w:type="pct"/>
                  <w:vAlign w:val="center"/>
                </w:tcPr>
                <w:p w14:paraId="1B4B69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caps w:val="0"/>
                      <w:color w:val="000000" w:themeColor="text1"/>
                      <w:u w:val="none" w:color="auto"/>
                      <w:lang w:val="en-US" w:eastAsia="zh-CN"/>
                      <w14:textFill>
                        <w14:solidFill>
                          <w14:schemeClr w14:val="tx1"/>
                        </w14:solidFill>
                      </w14:textFill>
                    </w:rPr>
                  </w:pPr>
                  <w:r>
                    <w:rPr>
                      <w:rFonts w:hint="eastAsia"/>
                      <w:caps w:val="0"/>
                      <w:color w:val="000000" w:themeColor="text1"/>
                      <w:u w:val="none" w:color="auto"/>
                      <w:lang w:val="en-US" w:eastAsia="zh-CN"/>
                      <w14:textFill>
                        <w14:solidFill>
                          <w14:schemeClr w14:val="tx1"/>
                        </w14:solidFill>
                      </w14:textFill>
                    </w:rPr>
                    <w:t>（4.1）能源：</w:t>
                  </w:r>
                </w:p>
                <w:p w14:paraId="708337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eastAsia="宋体"/>
                      <w:caps w:val="0"/>
                      <w:color w:val="000000" w:themeColor="text1"/>
                      <w:u w:val="none" w:color="auto"/>
                      <w:lang w:val="en-US" w:eastAsia="zh-CN"/>
                      <w14:textFill>
                        <w14:solidFill>
                          <w14:schemeClr w14:val="tx1"/>
                        </w14:solidFill>
                      </w14:textFill>
                    </w:rPr>
                  </w:pPr>
                  <w:r>
                    <w:rPr>
                      <w:rFonts w:hint="eastAsia"/>
                      <w:caps w:val="0"/>
                      <w:color w:val="000000" w:themeColor="text1"/>
                      <w:u w:val="none" w:color="auto"/>
                      <w:lang w:val="en-US" w:eastAsia="zh-CN"/>
                      <w14:textFill>
                        <w14:solidFill>
                          <w14:schemeClr w14:val="tx1"/>
                        </w14:solidFill>
                      </w14:textFill>
                    </w:rPr>
                    <w:t>（4.1.1）区块一、区块二（荆江门片区）：可使用生物质成型燃料代替天然气、电等清洁能源，不能使用燃煤等污染型能源；)</w:t>
                  </w:r>
                </w:p>
                <w:p w14:paraId="145789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4.1.2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区块一、区块二(荆江门片区)内能源消费主要为电力、天然气、生物质颗粒，无煤炭消费。能源消耗预测情况为：2025年片区年综合能耗消费量预测当量值为40617.13吨标煤，等价值为70296.97吨标煤，片区单位GDP能耗预测值为0.234吨标煤/万元，片区“十四五”时期能源消耗增量控制在33220吨标煤。</w:t>
                  </w:r>
                </w:p>
                <w:p w14:paraId="57442D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4.1.3</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到2025年，开发区指标应符合相应行政区域的管控要求，君山区单位GDP能耗降低基本目标为13%,单位GDP能耗降低激励目标为13.5%。“十四五”时期，规模以上工业单位增加值能耗下降16.5%。</w:t>
                  </w:r>
                </w:p>
                <w:p w14:paraId="32C8B2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4.1.4</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禁燃区范围内不得新建、改建、扩建燃煤锅炉及高污染燃料燃用设施。</w:t>
                  </w:r>
                </w:p>
                <w:p w14:paraId="689278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水资源</w:t>
                  </w:r>
                </w:p>
                <w:p w14:paraId="5F08FD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4.2.1</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强化生产用水管理，大力推广高效冷却、循环用水等节水工艺和技术，支持企业开展节水技术改造。</w:t>
                  </w:r>
                </w:p>
                <w:p w14:paraId="378358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4.2.2</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积极推行水循环梯级利用，推动现有企业和开发区开展绿色高质量升级和循环化改造，促进企业间串联用水、分质用水，</w:t>
                  </w:r>
                </w:p>
                <w:p w14:paraId="248E5E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ascii="Times New Roman" w:hAnsi="Times New Roman"/>
                      <w:caps w:val="0"/>
                      <w:color w:val="000000" w:themeColor="text1"/>
                      <w:u w:val="none" w:color="auto"/>
                      <w14:textFill>
                        <w14:solidFill>
                          <w14:schemeClr w14:val="tx1"/>
                        </w14:solidFill>
                      </w14:textFill>
                    </w:rPr>
                    <w:t>一水多用和循环利用。</w:t>
                  </w:r>
                </w:p>
                <w:p w14:paraId="3B486A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4.2.3</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2025年，开发区指标应符合相应行政区域的管控要求，君山区用水总量1.215亿立方米，万元地区生产总值用水量比</w:t>
                  </w:r>
                </w:p>
                <w:p w14:paraId="393F61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ascii="Times New Roman" w:hAnsi="Times New Roman"/>
                      <w:caps w:val="0"/>
                      <w:color w:val="000000" w:themeColor="text1"/>
                      <w:u w:val="none" w:color="auto"/>
                      <w14:textFill>
                        <w14:solidFill>
                          <w14:schemeClr w14:val="tx1"/>
                        </w14:solidFill>
                      </w14:textFill>
                    </w:rPr>
                    <w:t>2020年下降27.68%,万元工业增加值用水量比2020年下降13.68%。</w:t>
                  </w:r>
                </w:p>
                <w:p w14:paraId="1AEA9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default" w:ascii="Times New Roman" w:hAnsi="Times New Roman"/>
                      <w:caps w:val="0"/>
                      <w:color w:val="000000" w:themeColor="text1"/>
                      <w:u w:val="none" w:color="auto"/>
                      <w14:textFill>
                        <w14:solidFill>
                          <w14:schemeClr w14:val="tx1"/>
                        </w14:solidFill>
                      </w14:textFill>
                    </w:rPr>
                  </w:pP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4.3</w:t>
                  </w:r>
                  <w:r>
                    <w:rPr>
                      <w:rFonts w:hint="eastAsia"/>
                      <w:caps w:val="0"/>
                      <w:color w:val="000000" w:themeColor="text1"/>
                      <w:u w:val="none" w:color="auto"/>
                      <w:lang w:eastAsia="zh-CN"/>
                      <w14:textFill>
                        <w14:solidFill>
                          <w14:schemeClr w14:val="tx1"/>
                        </w14:solidFill>
                      </w14:textFill>
                    </w:rPr>
                    <w:t>）</w:t>
                  </w:r>
                  <w:r>
                    <w:rPr>
                      <w:rFonts w:hint="eastAsia" w:ascii="Times New Roman" w:hAnsi="Times New Roman"/>
                      <w:caps w:val="0"/>
                      <w:color w:val="000000" w:themeColor="text1"/>
                      <w:u w:val="none" w:color="auto"/>
                      <w14:textFill>
                        <w14:solidFill>
                          <w14:schemeClr w14:val="tx1"/>
                        </w14:solidFill>
                      </w14:textFill>
                    </w:rPr>
                    <w:t>土地资源：在详细规划编制、用地预审与选址、用地报批、土地出让、规划许可、竣工验收等环节，全面推行工业项目建设用地引导指标和工业项目供地负面清单管理。省级园区工业用地固定资产投入强度达到260万元/亩、工业用地地均税收达到13万元/亩。</w:t>
                  </w:r>
                </w:p>
              </w:tc>
              <w:tc>
                <w:tcPr>
                  <w:tcW w:w="1171" w:type="pct"/>
                  <w:vAlign w:val="center"/>
                </w:tcPr>
                <w:p w14:paraId="1F1081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caps w:val="0"/>
                      <w:color w:val="000000" w:themeColor="text1"/>
                      <w:u w:val="none" w:color="auto"/>
                      <w14:textFill>
                        <w14:solidFill>
                          <w14:schemeClr w14:val="tx1"/>
                        </w14:solidFill>
                      </w14:textFill>
                    </w:rPr>
                  </w:pPr>
                  <w:r>
                    <w:rPr>
                      <w:rFonts w:hint="eastAsia" w:ascii="Times New Roman" w:hAnsi="Times New Roman"/>
                      <w:caps w:val="0"/>
                      <w:color w:val="000000" w:themeColor="text1"/>
                      <w:u w:val="none" w:color="auto"/>
                      <w14:textFill>
                        <w14:solidFill>
                          <w14:schemeClr w14:val="tx1"/>
                        </w14:solidFill>
                      </w14:textFill>
                    </w:rPr>
                    <w:t>①</w:t>
                  </w:r>
                  <w:r>
                    <w:rPr>
                      <w:rFonts w:hint="eastAsia" w:ascii="Times New Roman" w:hAnsi="Times New Roman"/>
                      <w:caps w:val="0"/>
                      <w:color w:val="000000" w:themeColor="text1"/>
                      <w:highlight w:val="none"/>
                      <w:u w:val="none" w:color="auto"/>
                      <w14:textFill>
                        <w14:solidFill>
                          <w14:schemeClr w14:val="tx1"/>
                        </w14:solidFill>
                      </w14:textFill>
                    </w:rPr>
                    <w:t>本项目使用能源为</w:t>
                  </w:r>
                  <w:r>
                    <w:rPr>
                      <w:rFonts w:hint="eastAsia"/>
                      <w:caps w:val="0"/>
                      <w:color w:val="000000" w:themeColor="text1"/>
                      <w:highlight w:val="none"/>
                      <w:u w:val="none" w:color="auto"/>
                      <w:lang w:val="en-US" w:eastAsia="zh-CN"/>
                      <w14:textFill>
                        <w14:solidFill>
                          <w14:schemeClr w14:val="tx1"/>
                        </w14:solidFill>
                      </w14:textFill>
                    </w:rPr>
                    <w:t>可替代天然气、电等</w:t>
                  </w:r>
                  <w:r>
                    <w:rPr>
                      <w:rFonts w:hint="eastAsia" w:ascii="Times New Roman" w:hAnsi="Times New Roman"/>
                      <w:caps w:val="0"/>
                      <w:color w:val="000000" w:themeColor="text1"/>
                      <w:highlight w:val="none"/>
                      <w:u w:val="none" w:color="auto"/>
                      <w14:textFill>
                        <w14:solidFill>
                          <w14:schemeClr w14:val="tx1"/>
                        </w14:solidFill>
                      </w14:textFill>
                    </w:rPr>
                    <w:t>清洁能源</w:t>
                  </w:r>
                  <w:r>
                    <w:rPr>
                      <w:rFonts w:hint="eastAsia"/>
                      <w:caps w:val="0"/>
                      <w:color w:val="000000" w:themeColor="text1"/>
                      <w:highlight w:val="none"/>
                      <w:u w:val="none" w:color="auto"/>
                      <w:lang w:val="en-US" w:eastAsia="zh-CN"/>
                      <w14:textFill>
                        <w14:solidFill>
                          <w14:schemeClr w14:val="tx1"/>
                        </w14:solidFill>
                      </w14:textFill>
                    </w:rPr>
                    <w:t>的生物质成型燃料</w:t>
                  </w:r>
                  <w:r>
                    <w:rPr>
                      <w:rFonts w:hint="eastAsia" w:ascii="Times New Roman" w:hAnsi="Times New Roman"/>
                      <w:caps w:val="0"/>
                      <w:color w:val="000000" w:themeColor="text1"/>
                      <w:u w:val="none" w:color="auto"/>
                      <w14:textFill>
                        <w14:solidFill>
                          <w14:schemeClr w14:val="tx1"/>
                        </w14:solidFill>
                      </w14:textFill>
                    </w:rPr>
                    <w:t>；</w:t>
                  </w:r>
                </w:p>
                <w:p w14:paraId="51F3CF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eastAsia" w:ascii="Times New Roman" w:hAnsi="Times New Roman"/>
                      <w:caps w:val="0"/>
                      <w:color w:val="000000" w:themeColor="text1"/>
                      <w:u w:val="none" w:color="auto"/>
                      <w14:textFill>
                        <w14:solidFill>
                          <w14:schemeClr w14:val="tx1"/>
                        </w14:solidFill>
                      </w14:textFill>
                    </w:rPr>
                  </w:pPr>
                  <w:r>
                    <w:rPr>
                      <w:rFonts w:hint="eastAsia" w:ascii="Times New Roman" w:hAnsi="Times New Roman"/>
                      <w:caps w:val="0"/>
                      <w:color w:val="000000" w:themeColor="text1"/>
                      <w:u w:val="none" w:color="auto"/>
                      <w14:textFill>
                        <w14:solidFill>
                          <w14:schemeClr w14:val="tx1"/>
                        </w14:solidFill>
                      </w14:textFill>
                    </w:rPr>
                    <w:t>②本项目能源消耗和水资源的消耗均能够满足要求。</w:t>
                  </w:r>
                </w:p>
                <w:p w14:paraId="3136C4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Times New Roman" w:hAnsi="Times New Roman"/>
                      <w:caps w:val="0"/>
                      <w:color w:val="000000" w:themeColor="text1"/>
                      <w:u w:val="none" w:color="auto"/>
                      <w14:textFill>
                        <w14:solidFill>
                          <w14:schemeClr w14:val="tx1"/>
                        </w14:solidFill>
                      </w14:textFill>
                    </w:rPr>
                  </w:pPr>
                  <w:r>
                    <w:rPr>
                      <w:rFonts w:hint="eastAsia" w:ascii="Times New Roman" w:hAnsi="Times New Roman"/>
                      <w:caps w:val="0"/>
                      <w:color w:val="000000" w:themeColor="text1"/>
                      <w:u w:val="none" w:color="auto"/>
                      <w14:textFill>
                        <w14:solidFill>
                          <w14:schemeClr w14:val="tx1"/>
                        </w14:solidFill>
                      </w14:textFill>
                    </w:rPr>
                    <w:t>③</w:t>
                  </w:r>
                  <w:r>
                    <w:rPr>
                      <w:rFonts w:hint="eastAsia" w:ascii="Times New Roman" w:hAnsi="Times New Roman"/>
                      <w:caps w:val="0"/>
                      <w:color w:val="000000" w:themeColor="text1"/>
                      <w:u w:val="none" w:color="auto"/>
                      <w:lang w:val="en-US" w:eastAsia="zh-CN"/>
                      <w14:textFill>
                        <w14:solidFill>
                          <w14:schemeClr w14:val="tx1"/>
                        </w14:solidFill>
                      </w14:textFill>
                    </w:rPr>
                    <w:t>项目用地为工业用地，不占用基本农田。</w:t>
                  </w:r>
                </w:p>
              </w:tc>
              <w:tc>
                <w:tcPr>
                  <w:tcW w:w="403" w:type="pct"/>
                  <w:vAlign w:val="center"/>
                </w:tcPr>
                <w:p w14:paraId="7916F5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aps w:val="0"/>
                      <w:color w:val="000000" w:themeColor="text1"/>
                      <w:u w:val="none" w:color="auto"/>
                      <w14:textFill>
                        <w14:solidFill>
                          <w14:schemeClr w14:val="tx1"/>
                        </w14:solidFill>
                      </w14:textFill>
                    </w:rPr>
                  </w:pPr>
                  <w:r>
                    <w:rPr>
                      <w:rFonts w:hint="default" w:ascii="Times New Roman" w:hAnsi="Times New Roman"/>
                      <w:caps w:val="0"/>
                      <w:color w:val="000000" w:themeColor="text1"/>
                      <w:u w:val="none" w:color="auto"/>
                      <w14:textFill>
                        <w14:solidFill>
                          <w14:schemeClr w14:val="tx1"/>
                        </w14:solidFill>
                      </w14:textFill>
                    </w:rPr>
                    <w:t>符合</w:t>
                  </w:r>
                </w:p>
              </w:tc>
            </w:tr>
          </w:tbl>
          <w:p w14:paraId="5B0F6CD5">
            <w:pPr>
              <w:pStyle w:val="11"/>
              <w:keepNext w:val="0"/>
              <w:keepLines w:val="0"/>
              <w:suppressLineNumbers w:val="0"/>
              <w:bidi w:val="0"/>
              <w:spacing w:before="157" w:beforeLines="50" w:beforeAutospacing="0" w:after="0" w:afterAutospacing="0"/>
              <w:ind w:left="0"/>
              <w:rPr>
                <w:rFonts w:hint="default"/>
              </w:rPr>
            </w:pPr>
            <w:r>
              <w:rPr>
                <w:rFonts w:hint="default"/>
              </w:rPr>
              <w:t>根据上表可知，本项目建设能满足《湖南省生态环境</w:t>
            </w:r>
            <w:r>
              <w:rPr>
                <w:rFonts w:hint="eastAsia"/>
                <w:lang w:val="en-US" w:eastAsia="zh-CN"/>
              </w:rPr>
              <w:t>分区</w:t>
            </w:r>
            <w:r>
              <w:rPr>
                <w:rFonts w:hint="default"/>
              </w:rPr>
              <w:t>管控</w:t>
            </w:r>
            <w:r>
              <w:rPr>
                <w:rFonts w:hint="eastAsia"/>
                <w:lang w:val="en-US" w:eastAsia="zh-CN"/>
              </w:rPr>
              <w:t>总体管控</w:t>
            </w:r>
            <w:r>
              <w:rPr>
                <w:rFonts w:hint="default"/>
              </w:rPr>
              <w:t>要求暨省级以上产业园区生态环境准入清单》</w:t>
            </w:r>
            <w:r>
              <w:rPr>
                <w:rFonts w:hint="eastAsia"/>
                <w:lang w:eastAsia="zh-CN"/>
              </w:rPr>
              <w:t>（</w:t>
            </w:r>
            <w:r>
              <w:rPr>
                <w:rFonts w:hint="eastAsia"/>
                <w:lang w:val="en-US" w:eastAsia="zh-CN"/>
              </w:rPr>
              <w:t>2024年4月</w:t>
            </w:r>
            <w:r>
              <w:rPr>
                <w:rFonts w:hint="eastAsia"/>
                <w:lang w:eastAsia="zh-CN"/>
              </w:rPr>
              <w:t>）</w:t>
            </w:r>
            <w:r>
              <w:rPr>
                <w:rFonts w:hint="eastAsia"/>
                <w:lang w:val="en-US" w:eastAsia="zh-CN"/>
              </w:rPr>
              <w:t>的</w:t>
            </w:r>
            <w:r>
              <w:rPr>
                <w:rFonts w:hint="default"/>
              </w:rPr>
              <w:t>相关要求。</w:t>
            </w:r>
          </w:p>
          <w:p w14:paraId="638B23A2">
            <w:pPr>
              <w:keepNext w:val="0"/>
              <w:keepLines w:val="0"/>
              <w:numPr>
                <w:ilvl w:val="-1"/>
                <w:numId w:val="0"/>
              </w:numPr>
              <w:suppressLineNumbers w:val="0"/>
              <w:spacing w:before="0" w:beforeAutospacing="0" w:after="0" w:afterAutospacing="0" w:line="360" w:lineRule="auto"/>
              <w:ind w:left="0" w:right="0" w:firstLine="482" w:firstLineChars="200"/>
              <w:jc w:val="both"/>
              <w:rPr>
                <w:rFonts w:hint="eastAsia"/>
                <w:b/>
                <w:bCs/>
                <w:sz w:val="24"/>
                <w:u w:val="single" w:color="auto"/>
                <w:lang w:val="en-US" w:eastAsia="zh-CN"/>
              </w:rPr>
            </w:pPr>
            <w:r>
              <w:rPr>
                <w:rFonts w:hint="eastAsia" w:ascii="Times New Roman" w:eastAsia="宋体"/>
                <w:b/>
                <w:bCs/>
                <w:sz w:val="24"/>
                <w:u w:val="single" w:color="auto"/>
                <w:lang w:val="en-US" w:eastAsia="zh-CN"/>
              </w:rPr>
              <w:t>与《君山区工业“十四五”发展规划》符合性分析</w:t>
            </w:r>
          </w:p>
          <w:p w14:paraId="5CED12DC">
            <w:pPr>
              <w:keepNext w:val="0"/>
              <w:keepLines w:val="0"/>
              <w:numPr>
                <w:ilvl w:val="-1"/>
                <w:numId w:val="0"/>
              </w:numPr>
              <w:suppressLineNumbers w:val="0"/>
              <w:spacing w:before="0" w:beforeAutospacing="0" w:after="0" w:afterAutospacing="0" w:line="360" w:lineRule="auto"/>
              <w:ind w:left="0" w:right="0" w:firstLine="480" w:firstLineChars="200"/>
              <w:jc w:val="both"/>
              <w:rPr>
                <w:rFonts w:hint="default"/>
                <w:b w:val="0"/>
                <w:bCs w:val="0"/>
                <w:sz w:val="24"/>
                <w:u w:val="single" w:color="auto"/>
                <w:lang w:val="en-US" w:eastAsia="zh-CN"/>
              </w:rPr>
            </w:pPr>
            <w:r>
              <w:rPr>
                <w:rFonts w:hint="eastAsia" w:ascii="Times New Roman" w:eastAsia="宋体"/>
                <w:b w:val="0"/>
                <w:bCs w:val="0"/>
                <w:sz w:val="24"/>
                <w:u w:val="single" w:color="auto"/>
                <w:lang w:val="en-US" w:eastAsia="zh-CN"/>
              </w:rPr>
              <w:t>2022年10月25日，君山区科技和工业信息化局发布《君山区工业“十四五”发展规划》，本项目与《君山区工业“十四五”发展规划》相符性分析如下：</w:t>
            </w:r>
          </w:p>
          <w:p w14:paraId="0EB43EB2">
            <w:pPr>
              <w:pStyle w:val="33"/>
              <w:keepNext w:val="0"/>
              <w:keepLines w:val="0"/>
              <w:numPr>
                <w:ilvl w:val="0"/>
                <w:numId w:val="2"/>
              </w:numPr>
              <w:suppressLineNumbers w:val="0"/>
              <w:spacing w:before="0" w:beforeAutospacing="0" w:after="0" w:afterAutospacing="0"/>
              <w:ind w:right="0" w:firstLineChars="0"/>
              <w:jc w:val="center"/>
              <w:rPr>
                <w:rFonts w:hint="default"/>
                <w:b/>
                <w:bCs/>
                <w:sz w:val="24"/>
                <w:u w:val="single" w:color="auto"/>
                <w:lang w:val="en-US" w:eastAsia="zh-CN"/>
              </w:rPr>
            </w:pPr>
            <w:r>
              <w:rPr>
                <w:rFonts w:hint="default"/>
                <w:b/>
                <w:bCs/>
                <w:sz w:val="24"/>
                <w:u w:val="single" w:color="auto"/>
                <w:lang w:val="en-US" w:eastAsia="zh-CN"/>
              </w:rPr>
              <w:t>与《君山工业“十四五”规划》符合性分析</w:t>
            </w:r>
          </w:p>
          <w:tbl>
            <w:tblPr>
              <w:tblStyle w:val="24"/>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4446"/>
              <w:gridCol w:w="2318"/>
              <w:gridCol w:w="665"/>
            </w:tblGrid>
            <w:tr w14:paraId="6449660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60" w:hRule="atLeast"/>
                <w:jc w:val="center"/>
              </w:trPr>
              <w:tc>
                <w:tcPr>
                  <w:tcW w:w="2992" w:type="pct"/>
                  <w:tcBorders>
                    <w:tl2br w:val="nil"/>
                    <w:tr2bl w:val="nil"/>
                  </w:tcBorders>
                  <w:shd w:val="clear" w:color="auto" w:fill="FFFFFF"/>
                  <w:noWrap w:val="0"/>
                  <w:vAlign w:val="center"/>
                </w:tcPr>
                <w:p w14:paraId="47BFCD7C">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firstLine="0" w:firstLineChars="0"/>
                    <w:textAlignment w:val="auto"/>
                    <w:rPr>
                      <w:rFonts w:hint="default" w:ascii="Times New Roman" w:hAnsi="Times New Roman" w:cs="Times New Roman"/>
                      <w:b/>
                      <w:bCs/>
                      <w:caps w:val="0"/>
                      <w:color w:val="000000" w:themeColor="text1"/>
                      <w:sz w:val="21"/>
                      <w:szCs w:val="21"/>
                      <w:highlight w:val="none"/>
                      <w:u w:val="single" w:color="auto"/>
                      <w14:textFill>
                        <w14:solidFill>
                          <w14:schemeClr w14:val="tx1"/>
                        </w14:solidFill>
                      </w14:textFill>
                    </w:rPr>
                  </w:pPr>
                  <w:r>
                    <w:rPr>
                      <w:rFonts w:hint="eastAsia"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t>规划要求</w:t>
                  </w:r>
                </w:p>
              </w:tc>
              <w:tc>
                <w:tcPr>
                  <w:tcW w:w="1560" w:type="pct"/>
                  <w:tcBorders>
                    <w:tl2br w:val="nil"/>
                    <w:tr2bl w:val="nil"/>
                  </w:tcBorders>
                  <w:shd w:val="clear" w:color="auto" w:fill="FFFFFF"/>
                  <w:noWrap w:val="0"/>
                  <w:vAlign w:val="center"/>
                </w:tcPr>
                <w:p w14:paraId="0A26D477">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firstLine="0" w:firstLineChars="0"/>
                    <w:textAlignment w:val="auto"/>
                    <w:rPr>
                      <w:rFonts w:hint="default" w:ascii="Times New Roman" w:hAnsi="Times New Roman" w:cs="Times New Roman"/>
                      <w:b/>
                      <w:bCs/>
                      <w:caps w:val="0"/>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t>本项目情况</w:t>
                  </w:r>
                </w:p>
              </w:tc>
              <w:tc>
                <w:tcPr>
                  <w:tcW w:w="447" w:type="pct"/>
                  <w:tcBorders>
                    <w:tl2br w:val="nil"/>
                    <w:tr2bl w:val="nil"/>
                  </w:tcBorders>
                  <w:shd w:val="clear" w:color="auto" w:fill="FFFFFF"/>
                  <w:noWrap w:val="0"/>
                  <w:vAlign w:val="center"/>
                </w:tcPr>
                <w:p w14:paraId="1DF98F71">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b/>
                      <w:bCs/>
                      <w:caps w:val="0"/>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t>结论</w:t>
                  </w:r>
                </w:p>
              </w:tc>
            </w:tr>
            <w:tr w14:paraId="45DB51C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2992" w:type="pct"/>
                  <w:tcBorders>
                    <w:tl2br w:val="nil"/>
                    <w:tr2bl w:val="nil"/>
                  </w:tcBorders>
                  <w:shd w:val="clear" w:color="auto" w:fill="FFFFFF"/>
                  <w:noWrap w:val="0"/>
                  <w:vAlign w:val="center"/>
                </w:tcPr>
                <w:p w14:paraId="6508BFE7">
                  <w:pPr>
                    <w:pStyle w:val="40"/>
                    <w:keepNext w:val="0"/>
                    <w:keepLines w:val="0"/>
                    <w:pageBreakBefore w:val="0"/>
                    <w:widowControl/>
                    <w:numPr>
                      <w:ilvl w:val="0"/>
                      <w:numId w:val="3"/>
                    </w:numPr>
                    <w:suppressLineNumbers w:val="0"/>
                    <w:kinsoku/>
                    <w:wordWrap/>
                    <w:overflowPunct/>
                    <w:topLinePunct w:val="0"/>
                    <w:autoSpaceDE/>
                    <w:autoSpaceDN/>
                    <w:bidi w:val="0"/>
                    <w:adjustRightInd w:val="0"/>
                    <w:snapToGrid/>
                    <w:spacing w:before="0" w:beforeAutospacing="0" w:afterAutospacing="0" w:line="240" w:lineRule="auto"/>
                    <w:ind w:left="0" w:right="0"/>
                    <w:jc w:val="center"/>
                    <w:textAlignment w:val="auto"/>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t>“十四五”工业发展规划的思路与战略</w:t>
                  </w:r>
                </w:p>
                <w:p w14:paraId="21A0628D">
                  <w:pPr>
                    <w:pStyle w:val="40"/>
                    <w:keepNext w:val="0"/>
                    <w:keepLines w:val="0"/>
                    <w:pageBreakBefore w:val="0"/>
                    <w:widowControl/>
                    <w:numPr>
                      <w:ilvl w:val="0"/>
                      <w:numId w:val="4"/>
                    </w:numPr>
                    <w:suppressLineNumbers w:val="0"/>
                    <w:kinsoku/>
                    <w:wordWrap/>
                    <w:overflowPunct/>
                    <w:topLinePunct w:val="0"/>
                    <w:autoSpaceDE/>
                    <w:autoSpaceDN/>
                    <w:bidi w:val="0"/>
                    <w:adjustRightInd w:val="0"/>
                    <w:snapToGrid/>
                    <w:spacing w:before="0" w:beforeAutospacing="0" w:afterAutospacing="0" w:line="240" w:lineRule="auto"/>
                    <w:ind w:left="0" w:right="0"/>
                    <w:jc w:val="both"/>
                    <w:textAlignment w:val="auto"/>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发展定位</w:t>
                  </w:r>
                </w:p>
                <w:p w14:paraId="16B5B276">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立足我区位优势，坚持项目带动和科技创新两轮驱动，推动产业转型升级，把绿色发展放在突出位置，强化园区载体支撑，加快构建工业三大主导产业（绿色食品产业、生物医药产业、电子信息产业）。推进产城融合，推进产业集聚、绿色发展以及信息化联动，全力打造洞庭湖区产业绿色化转型升级示范区。</w:t>
                  </w:r>
                </w:p>
                <w:p w14:paraId="11236783">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发展以茶叶、蔬菜、小龙虾、鱼制品、豆制品等本土特色食品为重点的绿色食品，打造绿色食品产业集群。</w:t>
                  </w:r>
                </w:p>
                <w:p w14:paraId="028D1578">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发展以中药饮片、药用胶囊为重点的生物医药产业，促进生物医药产业加速发展。</w:t>
                  </w:r>
                </w:p>
                <w:p w14:paraId="6F27F254">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发展以消费电子、电阻原器件为主的电子信息基础产业，支持电子信息产业做大做强。</w:t>
                  </w:r>
                </w:p>
                <w:p w14:paraId="161DA119">
                  <w:pPr>
                    <w:pStyle w:val="40"/>
                    <w:keepNext w:val="0"/>
                    <w:keepLines w:val="0"/>
                    <w:pageBreakBefore w:val="0"/>
                    <w:widowControl/>
                    <w:numPr>
                      <w:ilvl w:val="0"/>
                      <w:numId w:val="4"/>
                    </w:numPr>
                    <w:suppressLineNumbers w:val="0"/>
                    <w:kinsoku/>
                    <w:wordWrap/>
                    <w:overflowPunct/>
                    <w:topLinePunct w:val="0"/>
                    <w:autoSpaceDE/>
                    <w:autoSpaceDN/>
                    <w:bidi w:val="0"/>
                    <w:adjustRightInd w:val="0"/>
                    <w:snapToGrid/>
                    <w:spacing w:before="0" w:beforeAutospacing="0" w:afterAutospacing="0" w:line="240" w:lineRule="auto"/>
                    <w:ind w:left="0" w:right="0"/>
                    <w:jc w:val="both"/>
                    <w:textAlignment w:val="auto"/>
                    <w:rPr>
                      <w:rFonts w:hint="default"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发展战略</w:t>
                  </w:r>
                </w:p>
                <w:p w14:paraId="7DD41C6A">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构建工业经济对我区经济社会高质量发展的强力支撑。以提升产业层次、调整产业空间布局、优化产业结构为重点，拉伸产业链条，发展壮大产业集群，加快推动以绿色食品产业、生物医药产业、电子信息产业为主体的现代产业体系建设，推动工业经济高质量发展，使工业成为“十四五”带动全区高质量发展的根</w:t>
                  </w: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本。</w:t>
                  </w:r>
                </w:p>
              </w:tc>
              <w:tc>
                <w:tcPr>
                  <w:tcW w:w="1560" w:type="pct"/>
                  <w:tcBorders>
                    <w:tl2br w:val="nil"/>
                    <w:tr2bl w:val="nil"/>
                  </w:tcBorders>
                  <w:shd w:val="clear" w:color="auto" w:fill="FFFFFF"/>
                  <w:noWrap w:val="0"/>
                  <w:vAlign w:val="center"/>
                </w:tcPr>
                <w:p w14:paraId="43A99F10">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t>本</w:t>
                  </w: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项目</w:t>
                  </w:r>
                  <w:r>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t>属</w:t>
                  </w: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农副产品加工业</w:t>
                  </w:r>
                  <w:r>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t>，</w:t>
                  </w: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配套建设一台4t/h生物质蒸汽锅炉，</w:t>
                  </w:r>
                  <w:r>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t>符合岳阳市君山工业集中区荆江门片区</w:t>
                  </w: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发展定位及发展战略要求。</w:t>
                  </w:r>
                </w:p>
              </w:tc>
              <w:tc>
                <w:tcPr>
                  <w:tcW w:w="447" w:type="pct"/>
                  <w:tcBorders>
                    <w:tl2br w:val="nil"/>
                    <w:tr2bl w:val="nil"/>
                  </w:tcBorders>
                  <w:shd w:val="clear" w:color="auto" w:fill="FFFFFF"/>
                  <w:noWrap w:val="0"/>
                  <w:vAlign w:val="center"/>
                </w:tcPr>
                <w:p w14:paraId="1AD513F0">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t>符合</w:t>
                  </w:r>
                </w:p>
              </w:tc>
            </w:tr>
            <w:tr w14:paraId="3847388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21" w:hRule="atLeast"/>
                <w:jc w:val="center"/>
              </w:trPr>
              <w:tc>
                <w:tcPr>
                  <w:tcW w:w="2992" w:type="pct"/>
                  <w:tcBorders>
                    <w:tl2br w:val="nil"/>
                    <w:tr2bl w:val="nil"/>
                  </w:tcBorders>
                  <w:shd w:val="clear" w:color="auto" w:fill="FFFFFF"/>
                  <w:noWrap w:val="0"/>
                  <w:vAlign w:val="center"/>
                </w:tcPr>
                <w:p w14:paraId="7741D179">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0" w:firstLineChars="0"/>
                    <w:jc w:val="both"/>
                    <w:textAlignment w:val="auto"/>
                    <w:rPr>
                      <w:rFonts w:hint="eastAsia"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t>五“十四五”期间我区工业重点发展</w:t>
                  </w:r>
                </w:p>
                <w:p w14:paraId="67F62DB5">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根据</w:t>
                  </w: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我区发展的现实基础、特色优势及未来5年建设任务，坚持实施大项目、大企业、大基地带动战略，以工业园区为依托，以科技创新为动力，以技术装备升级为主线，以主要产业链招商引资，重点发展绿色食品产业、生物医药产业、电子信息产业等主导产业，大力发展机械电磁、印刷科技、纺织等产业。</w:t>
                  </w:r>
                </w:p>
                <w:p w14:paraId="239D8307">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w:t>
                  </w: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一</w:t>
                  </w:r>
                  <w:r>
                    <w:rPr>
                      <w:rFonts w:hint="eastAsia"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w:t>
                  </w: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优化产业布局</w:t>
                  </w:r>
                </w:p>
                <w:p w14:paraId="7C208220">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充分发挥园区作为产业发展主战场的功能，以“产业链条调整产业布局，优化产业区域空间组织和地理布局，推动全产业链条深度协作，培育具有本地特色的产业集群，提升我区产业整体竞争力。以产城融合为导向，进一步优化园区内部产业功能分区，在园区布局生产性服务业(如现代物流产业)，推进各类研发、检验检测平台等公共服务体系建设，优化园区道路、信息、环保等基础设施，提升园区承载能力。打造工业核心增长极。核心发展荆江门片区，重点发展食品加工、生物医药和电子信息产业，建设成为培育发展新动能和发展区域经济新的增长极。林角佬片区主要加快“退二进三”步伐，发展桥头堡总部经济，建设成为君山新旧动能转换示范区。</w:t>
                  </w:r>
                </w:p>
                <w:p w14:paraId="4667A5B7">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w:t>
                  </w: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二</w:t>
                  </w:r>
                  <w:r>
                    <w:rPr>
                      <w:rFonts w:hint="eastAsia"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w:t>
                  </w: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加强产业链条建设，构建现代产业体系</w:t>
                  </w:r>
                </w:p>
                <w:p w14:paraId="6312A540">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1、绿色食品产业链</w:t>
                  </w:r>
                </w:p>
                <w:p w14:paraId="49798364">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依托行业领军龙头企业，提升食品工业装备整体水平，建立国家技术中心和省级技术中心，推动企业上市，加速休闲食品工业化、信息化、绿色化进程，打造区域地标品牌，引导企业升级、产业转型升级，推动食品产业与旅游产业的融合步伐。做大做强以国泰食品、李记食品等为龙头的蔬菜加工业，以三利和食品、口水娃食品等为龙头的休闲食品加工业，以君山银针、君山印象等为龙头的黄茶加工业，以正源食品、新宏食品等为龙头的小龙虾食品加工业。突出提高食品精深加工技术水平，加快食品企业装备和工艺的创新，提升企业智能化生产水平和产品产能。强化以商招商、产业招商，鼓励企业围绕项目上下游、合作供销关系招引项目，做大做强食品产业链条。到2025年，全区绿色食品产业总产值达到100亿元。</w:t>
                  </w:r>
                </w:p>
              </w:tc>
              <w:tc>
                <w:tcPr>
                  <w:tcW w:w="1560" w:type="pct"/>
                  <w:tcBorders>
                    <w:tl2br w:val="nil"/>
                    <w:tr2bl w:val="nil"/>
                  </w:tcBorders>
                  <w:shd w:val="clear" w:color="auto" w:fill="FFFFFF"/>
                  <w:noWrap w:val="0"/>
                  <w:vAlign w:val="center"/>
                </w:tcPr>
                <w:p w14:paraId="7A337301">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本项目位于君山工业集中区的荆江门片区，项目属农副产品加工业，</w:t>
                  </w: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为荆江门片区重点发展产业，本项目建设单位为绿色食品产业链中提到的“三利和食品”，本项目建设符合园区产业布局。</w:t>
                  </w:r>
                </w:p>
              </w:tc>
              <w:tc>
                <w:tcPr>
                  <w:tcW w:w="447" w:type="pct"/>
                  <w:tcBorders>
                    <w:tl2br w:val="nil"/>
                    <w:tr2bl w:val="nil"/>
                  </w:tcBorders>
                  <w:shd w:val="clear" w:color="auto" w:fill="FFFFFF"/>
                  <w:noWrap w:val="0"/>
                  <w:vAlign w:val="center"/>
                </w:tcPr>
                <w:p w14:paraId="385CA9F8">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caps w:val="0"/>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符合</w:t>
                  </w:r>
                </w:p>
              </w:tc>
            </w:tr>
            <w:tr w14:paraId="5E9CB31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329" w:hRule="atLeast"/>
                <w:jc w:val="center"/>
              </w:trPr>
              <w:tc>
                <w:tcPr>
                  <w:tcW w:w="2992" w:type="pct"/>
                  <w:tcBorders>
                    <w:tl2br w:val="nil"/>
                    <w:tr2bl w:val="nil"/>
                  </w:tcBorders>
                  <w:shd w:val="clear" w:color="auto" w:fill="FFFFFF"/>
                  <w:noWrap w:val="0"/>
                  <w:vAlign w:val="center"/>
                </w:tcPr>
                <w:p w14:paraId="663F9A64">
                  <w:pPr>
                    <w:pStyle w:val="40"/>
                    <w:keepNext w:val="0"/>
                    <w:keepLines w:val="0"/>
                    <w:pageBreakBefore w:val="0"/>
                    <w:widowControl/>
                    <w:numPr>
                      <w:ilvl w:val="0"/>
                      <w:numId w:val="0"/>
                    </w:numPr>
                    <w:suppressLineNumbers w:val="0"/>
                    <w:kinsoku/>
                    <w:wordWrap/>
                    <w:overflowPunct/>
                    <w:topLinePunct w:val="0"/>
                    <w:autoSpaceDE/>
                    <w:autoSpaceDN/>
                    <w:bidi w:val="0"/>
                    <w:adjustRightInd w:val="0"/>
                    <w:snapToGrid/>
                    <w:spacing w:before="0" w:beforeAutospacing="0" w:afterAutospacing="0" w:line="240" w:lineRule="auto"/>
                    <w:ind w:left="0" w:leftChars="0" w:right="0" w:rightChars="0"/>
                    <w:jc w:val="both"/>
                    <w:textAlignment w:val="auto"/>
                    <w:rPr>
                      <w:rFonts w:hint="eastAsia"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b/>
                      <w:bCs/>
                      <w:caps w:val="0"/>
                      <w:color w:val="000000" w:themeColor="text1"/>
                      <w:sz w:val="21"/>
                      <w:szCs w:val="21"/>
                      <w:highlight w:val="none"/>
                      <w:u w:val="single" w:color="auto"/>
                      <w:lang w:val="en-US" w:eastAsia="zh-CN"/>
                      <w14:textFill>
                        <w14:solidFill>
                          <w14:schemeClr w14:val="tx1"/>
                        </w14:solidFill>
                      </w14:textFill>
                    </w:rPr>
                    <w:t>六、“十四五”工业发展规划中的生态环境保护</w:t>
                  </w:r>
                </w:p>
                <w:p w14:paraId="684B1716">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根据《中华人民共和国环境保护法》等法律法规的精神，按“生态优先、融城发展”战略，结合我区环境保护相关要求照在我区工业的谋篇布局过程中要突出生态环境保护措施。</w:t>
                  </w:r>
                </w:p>
                <w:p w14:paraId="5D6A68C9">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(一)工业布局与生态环境保护规划协调性分析</w:t>
                  </w:r>
                </w:p>
                <w:p w14:paraId="71F57780">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1、工业布局思路与环境保护规划相一致</w:t>
                  </w:r>
                </w:p>
                <w:p w14:paraId="7783CE08">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把“生态优先”当做主要发展战略之一，以创建生态区为基本框架，大力推进环境保护历史性的转变，为建设绿色君山、生态君山、活力君山、魅力君山、旅游君山，全面建设小康社会奠定良好的环境基础。布局规划通过对主导产业重点发展的安排与定位，对工业园区的科学布局，合理规划，形成以工业主导产业为主要空间范围，与环境保护目标具有高度的一致性。</w:t>
                  </w:r>
                </w:p>
                <w:p w14:paraId="54987905">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2、向工业园集聚发展</w:t>
                  </w:r>
                </w:p>
                <w:p w14:paraId="62EEE2EC">
                  <w:pPr>
                    <w:pStyle w:val="40"/>
                    <w:keepNext w:val="0"/>
                    <w:keepLines w:val="0"/>
                    <w:pageBreakBefore w:val="0"/>
                    <w:widowControl/>
                    <w:numPr>
                      <w:ilvl w:val="-1"/>
                      <w:numId w:val="0"/>
                    </w:numPr>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pP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将工业园区作为产业发展的重点集聚区</w:t>
                  </w:r>
                  <w:r>
                    <w:rPr>
                      <w:rFonts w:hint="eastAsia"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w:t>
                  </w:r>
                  <w:r>
                    <w:rPr>
                      <w:rFonts w:hint="default"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工业向园区集中是发达国家及国内发达地区工业经济发展过程中的成熟做法，工业向园区集中有利于土地资源节约、产业关联集群发展、基础设施共享、废弃物集中处理等，是“两型”社会建设的内在要求和具体举措，是君山区生态环境保护规划具体指标实现的重要途径之一规划构建起以园区为重点的现代工业园区体系，压缩乡镇工业企业规模和范围，向园区集中，有利于工业废弃物的综合利用和集</w:t>
                  </w:r>
                  <w:r>
                    <w:rPr>
                      <w:rFonts w:hint="eastAsia" w:ascii="Times New Roman" w:hAnsi="Times New Roman" w:cs="Times New Roman"/>
                      <w:b w:val="0"/>
                      <w:bCs w:val="0"/>
                      <w:caps w:val="0"/>
                      <w:color w:val="000000" w:themeColor="text1"/>
                      <w:sz w:val="21"/>
                      <w:szCs w:val="21"/>
                      <w:highlight w:val="none"/>
                      <w:u w:val="single" w:color="auto"/>
                      <w:lang w:val="en-US" w:eastAsia="zh-CN"/>
                      <w14:textFill>
                        <w14:solidFill>
                          <w14:schemeClr w14:val="tx1"/>
                        </w14:solidFill>
                      </w14:textFill>
                    </w:rPr>
                    <w:t>中处理。</w:t>
                  </w:r>
                </w:p>
              </w:tc>
              <w:tc>
                <w:tcPr>
                  <w:tcW w:w="1560" w:type="pct"/>
                  <w:tcBorders>
                    <w:tl2br w:val="nil"/>
                    <w:tr2bl w:val="nil"/>
                  </w:tcBorders>
                  <w:shd w:val="clear" w:color="auto" w:fill="FFFFFF"/>
                  <w:noWrap w:val="0"/>
                  <w:vAlign w:val="center"/>
                </w:tcPr>
                <w:p w14:paraId="522CF4D6">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right="0" w:firstLine="420" w:firstLineChars="200"/>
                    <w:jc w:val="both"/>
                    <w:textAlignment w:val="auto"/>
                    <w:rPr>
                      <w:rFonts w:hint="default" w:ascii="Times New Roman" w:hAnsi="Times New Roman" w:eastAsia="宋体" w:cs="Times New Roman"/>
                      <w:caps w:val="0"/>
                      <w:color w:val="000000" w:themeColor="text1"/>
                      <w:sz w:val="21"/>
                      <w:szCs w:val="21"/>
                      <w:highlight w:val="none"/>
                      <w:u w:val="single" w:color="auto"/>
                      <w:lang w:val="en-US" w:eastAsia="zh-CN"/>
                      <w14:textFill>
                        <w14:solidFill>
                          <w14:schemeClr w14:val="tx1"/>
                        </w14:solidFill>
                      </w14:textFill>
                    </w:rPr>
                  </w:pPr>
                  <w:r>
                    <w:rPr>
                      <w:rFonts w:hint="eastAsia"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本项目位于君山工业集中区荆江门片区，为合规园区，项目建设地址为湖南童记三利和食品有限公司现有厂房内，不新增占地，项目属于农副食品加工业，配套建设一台4t/h生物质蒸汽锅炉，本项目符合园区工业布局及生态环境保护规划</w:t>
                  </w:r>
                </w:p>
              </w:tc>
              <w:tc>
                <w:tcPr>
                  <w:tcW w:w="447" w:type="pct"/>
                  <w:tcBorders>
                    <w:tl2br w:val="nil"/>
                    <w:tr2bl w:val="nil"/>
                  </w:tcBorders>
                  <w:shd w:val="clear" w:color="auto" w:fill="FFFFFF"/>
                  <w:noWrap w:val="0"/>
                  <w:vAlign w:val="center"/>
                </w:tcPr>
                <w:p w14:paraId="5087A884">
                  <w:pPr>
                    <w:pStyle w:val="40"/>
                    <w:keepNext w:val="0"/>
                    <w:keepLines w:val="0"/>
                    <w:pageBreakBefore w:val="0"/>
                    <w:widowControl/>
                    <w:suppressLineNumbers w:val="0"/>
                    <w:kinsoku/>
                    <w:wordWrap/>
                    <w:overflowPunct/>
                    <w:topLinePunct w:val="0"/>
                    <w:autoSpaceDE/>
                    <w:autoSpaceDN/>
                    <w:bidi w:val="0"/>
                    <w:adjustRightInd w:val="0"/>
                    <w:snapToGrid/>
                    <w:spacing w:before="0" w:beforeAutospacing="0" w:afterAutospacing="0" w:line="240" w:lineRule="auto"/>
                    <w:ind w:left="0" w:leftChars="0" w:right="0" w:firstLine="0" w:firstLineChars="0"/>
                    <w:jc w:val="center"/>
                    <w:textAlignment w:val="auto"/>
                    <w:rPr>
                      <w:rFonts w:hint="default" w:ascii="Times New Roman" w:hAnsi="Times New Roman" w:cs="Times New Roman"/>
                      <w:caps w:val="0"/>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aps w:val="0"/>
                      <w:color w:val="000000" w:themeColor="text1"/>
                      <w:sz w:val="21"/>
                      <w:szCs w:val="21"/>
                      <w:highlight w:val="none"/>
                      <w:u w:val="single" w:color="auto"/>
                      <w:lang w:val="en-US" w:eastAsia="zh-CN"/>
                      <w14:textFill>
                        <w14:solidFill>
                          <w14:schemeClr w14:val="tx1"/>
                        </w14:solidFill>
                      </w14:textFill>
                    </w:rPr>
                    <w:t>符合</w:t>
                  </w:r>
                </w:p>
              </w:tc>
            </w:tr>
          </w:tbl>
          <w:p w14:paraId="39239A1B">
            <w:pPr>
              <w:pStyle w:val="11"/>
              <w:keepNext w:val="0"/>
              <w:keepLines w:val="0"/>
              <w:suppressLineNumbers w:val="0"/>
              <w:bidi w:val="0"/>
              <w:spacing w:before="157" w:beforeLines="50" w:beforeAutospacing="0" w:after="0" w:afterAutospacing="0"/>
              <w:ind w:left="0"/>
              <w:rPr>
                <w:rFonts w:hint="default"/>
              </w:rPr>
            </w:pPr>
            <w:r>
              <w:rPr>
                <w:rFonts w:hint="eastAsia" w:ascii="Times New Roman" w:eastAsia="宋体"/>
                <w:b w:val="0"/>
                <w:bCs w:val="0"/>
                <w:sz w:val="24"/>
                <w:u w:val="single" w:color="auto"/>
                <w:lang w:val="en-US" w:eastAsia="zh-CN"/>
              </w:rPr>
              <w:t>综上，本项目建设符合《君山工业“十四五”规划》。</w:t>
            </w:r>
          </w:p>
          <w:p w14:paraId="20AAEBEE">
            <w:pPr>
              <w:pStyle w:val="11"/>
              <w:keepNext w:val="0"/>
              <w:keepLines w:val="0"/>
              <w:suppressLineNumbers w:val="0"/>
              <w:bidi w:val="0"/>
              <w:spacing w:before="0" w:beforeAutospacing="0" w:after="0" w:afterAutospacing="0"/>
              <w:ind w:left="0"/>
              <w:rPr>
                <w:rFonts w:hint="default"/>
              </w:rPr>
            </w:pPr>
            <w:r>
              <w:rPr>
                <w:rFonts w:hint="default"/>
                <w:b/>
                <w:bCs/>
              </w:rPr>
              <w:t>与《长江经济带发展负面清单指南（试行 2022年版）》的符合性</w:t>
            </w:r>
          </w:p>
          <w:p w14:paraId="6BDE4622">
            <w:pPr>
              <w:pStyle w:val="20"/>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rPr>
            </w:pPr>
            <w:r>
              <w:rPr>
                <w:rFonts w:hint="default" w:ascii="Times New Roman" w:hAnsi="Times New Roman"/>
              </w:rPr>
              <w:t>根据《长江经济带发展负面清单指南（试行 2022年版）》，禁止在长江干支流、重要湖泊岸线一公里范围内新建、扩建化工园区和化工项目；禁止在合规园区外新建、扩建钢铁、石化、化工、焦化、建材、有色、制浆造纸等高污染项目；禁止新建、扩建法律法规和相关政策明令禁止的落后产能项目，禁止新建、扩建不符合国家产能置换要求的严重过剩产能行业的项目，禁止新建、扩建不符合要求的高耗能高排放项目等。</w:t>
            </w:r>
          </w:p>
          <w:p w14:paraId="3B3807A7">
            <w:pPr>
              <w:pStyle w:val="20"/>
              <w:keepNext w:val="0"/>
              <w:keepLines w:val="0"/>
              <w:suppressLineNumbers w:val="0"/>
              <w:adjustRightInd w:val="0"/>
              <w:snapToGrid w:val="0"/>
              <w:spacing w:before="0" w:beforeAutospacing="0" w:after="0" w:afterAutospacing="0" w:line="360" w:lineRule="auto"/>
              <w:ind w:left="0" w:right="0" w:firstLine="480" w:firstLineChars="200"/>
              <w:rPr>
                <w:rFonts w:hint="eastAsia" w:ascii="Times New Roman" w:hAnsi="Times New Roman"/>
                <w:lang w:eastAsia="zh-CN"/>
              </w:rPr>
            </w:pPr>
            <w:r>
              <w:rPr>
                <w:rFonts w:hint="default" w:ascii="Times New Roman" w:hAnsi="Times New Roman"/>
              </w:rPr>
              <w:t>本项目</w:t>
            </w:r>
            <w:r>
              <w:rPr>
                <w:rFonts w:hint="eastAsia" w:ascii="Times New Roman" w:hAnsi="Times New Roman"/>
                <w:lang w:val="en-US" w:eastAsia="zh-CN"/>
              </w:rPr>
              <w:t>位于</w:t>
            </w:r>
            <w:r>
              <w:rPr>
                <w:rFonts w:hint="default" w:ascii="Times New Roman" w:hAnsi="Times New Roman"/>
                <w:highlight w:val="none"/>
              </w:rPr>
              <w:t>湖南岳阳</w:t>
            </w:r>
            <w:r>
              <w:rPr>
                <w:rFonts w:hint="eastAsia" w:ascii="Times New Roman" w:hAnsi="Times New Roman"/>
                <w:highlight w:val="none"/>
                <w:lang w:val="en-US" w:eastAsia="zh-CN"/>
              </w:rPr>
              <w:t>君山产业开发区荆江门片区</w:t>
            </w:r>
            <w:r>
              <w:rPr>
                <w:rFonts w:hint="default" w:ascii="Times New Roman" w:hAnsi="Times New Roman"/>
              </w:rPr>
              <w:t>，</w:t>
            </w:r>
            <w:r>
              <w:rPr>
                <w:rFonts w:hint="eastAsia" w:ascii="Times New Roman" w:hAnsi="Times New Roman"/>
                <w:lang w:val="en-US" w:eastAsia="zh-CN"/>
              </w:rPr>
              <w:t>属于农副食品加工业，配套建设一台燃生物质蒸汽锅炉替代原有燃生物质导热油炉，</w:t>
            </w:r>
            <w:r>
              <w:rPr>
                <w:rFonts w:hint="eastAsia" w:ascii="Times New Roman" w:hAnsi="Times New Roman"/>
                <w:highlight w:val="none"/>
                <w:lang w:val="en-US" w:eastAsia="zh-CN"/>
              </w:rPr>
              <w:t>岳阳君山产业开发区荆江门片区可使用生物质成型燃料替代天然气、电等清洁能源，且本项目燃生物质蒸汽锅炉已配套高效除尘设施。</w:t>
            </w:r>
            <w:r>
              <w:rPr>
                <w:rFonts w:hint="eastAsia" w:ascii="Times New Roman" w:hAnsi="Times New Roman"/>
                <w:lang w:val="en-US" w:eastAsia="zh-CN"/>
              </w:rPr>
              <w:t>因此本项目</w:t>
            </w:r>
            <w:r>
              <w:rPr>
                <w:rFonts w:hint="default" w:ascii="Times New Roman" w:hAnsi="Times New Roman"/>
              </w:rPr>
              <w:t>不属于高污染、高耗能、高排放项目</w:t>
            </w:r>
            <w:r>
              <w:rPr>
                <w:rFonts w:hint="eastAsia" w:ascii="Times New Roman" w:hAnsi="Times New Roman"/>
                <w:lang w:eastAsia="zh-CN"/>
              </w:rPr>
              <w:t>。</w:t>
            </w:r>
          </w:p>
          <w:p w14:paraId="2A8C0FBD">
            <w:pPr>
              <w:pStyle w:val="20"/>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rPr>
            </w:pPr>
            <w:r>
              <w:rPr>
                <w:rFonts w:hint="default" w:ascii="Times New Roman" w:hAnsi="Times New Roman"/>
              </w:rPr>
              <w:t>本</w:t>
            </w:r>
            <w:r>
              <w:rPr>
                <w:rFonts w:hint="default" w:ascii="Times New Roman" w:hAnsi="Times New Roman"/>
                <w:szCs w:val="32"/>
              </w:rPr>
              <w:t>项目建设符合《长江经济带发展负面清单指南（试行，2022年版）》的要求</w:t>
            </w:r>
            <w:r>
              <w:rPr>
                <w:rFonts w:hint="default" w:ascii="Times New Roman" w:hAnsi="Times New Roman"/>
              </w:rPr>
              <w:t>。</w:t>
            </w:r>
          </w:p>
          <w:p w14:paraId="6F6B72C6">
            <w:pPr>
              <w:pStyle w:val="3"/>
              <w:keepNext w:val="0"/>
              <w:keepLines w:val="0"/>
              <w:suppressLineNumbers w:val="0"/>
              <w:spacing w:before="0" w:beforeAutospacing="0" w:after="0" w:afterAutospacing="0"/>
              <w:ind w:left="0" w:right="0" w:firstLine="482"/>
              <w:rPr>
                <w:rFonts w:hint="default"/>
                <w:b/>
                <w:bCs/>
                <w:sz w:val="24"/>
              </w:rPr>
            </w:pPr>
            <w:r>
              <w:rPr>
                <w:rFonts w:hint="default"/>
                <w:b/>
                <w:bCs/>
                <w:sz w:val="24"/>
              </w:rPr>
              <w:t>与《湖南省长江经济带发展负面清单实施细则（试行，2022年版）》符合性分析</w:t>
            </w:r>
          </w:p>
          <w:p w14:paraId="7AB94E91">
            <w:pPr>
              <w:pStyle w:val="3"/>
              <w:keepNext w:val="0"/>
              <w:keepLines w:val="0"/>
              <w:suppressLineNumbers w:val="0"/>
              <w:spacing w:before="0" w:beforeAutospacing="0" w:after="0" w:afterAutospacing="0"/>
              <w:ind w:left="0" w:right="0" w:firstLine="480"/>
              <w:rPr>
                <w:rFonts w:hint="default"/>
                <w:kern w:val="0"/>
                <w:sz w:val="24"/>
                <w:szCs w:val="20"/>
              </w:rPr>
            </w:pPr>
            <w:r>
              <w:rPr>
                <w:rFonts w:hint="default"/>
                <w:kern w:val="0"/>
                <w:sz w:val="24"/>
                <w:szCs w:val="20"/>
              </w:rPr>
              <w:t>本项目与《湖南省长江经济带发展负面清单实施细则（试行，2022年版）》的符合性分析如下：</w:t>
            </w:r>
          </w:p>
          <w:p w14:paraId="49BF5D6C">
            <w:pPr>
              <w:pStyle w:val="33"/>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ind w:right="0" w:firstLine="482" w:firstLineChars="200"/>
              <w:jc w:val="center"/>
              <w:textAlignment w:val="auto"/>
              <w:rPr>
                <w:rFonts w:hint="default"/>
                <w:b/>
              </w:rPr>
            </w:pPr>
            <w:r>
              <w:rPr>
                <w:rFonts w:hint="default"/>
                <w:b/>
                <w:sz w:val="24"/>
                <w:szCs w:val="24"/>
              </w:rPr>
              <w:t>《湖南省长江经济带发展负面清单实施细则（试行2022年版）》</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15"/>
              <w:gridCol w:w="4105"/>
              <w:gridCol w:w="2019"/>
              <w:gridCol w:w="686"/>
            </w:tblGrid>
            <w:tr w14:paraId="4FDEA5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414" w:type="pct"/>
                  <w:vAlign w:val="center"/>
                </w:tcPr>
                <w:p w14:paraId="18EAB616">
                  <w:pPr>
                    <w:pStyle w:val="43"/>
                    <w:keepNext w:val="0"/>
                    <w:keepLines w:val="0"/>
                    <w:suppressLineNumbers w:val="0"/>
                    <w:spacing w:before="0" w:beforeAutospacing="0" w:after="0" w:afterAutospacing="0"/>
                    <w:ind w:left="0" w:leftChars="0" w:right="0" w:rightChars="0" w:firstLine="0" w:firstLineChars="0"/>
                    <w:jc w:val="center"/>
                    <w:rPr>
                      <w:rFonts w:hint="default"/>
                      <w:b/>
                      <w:bCs/>
                      <w:sz w:val="21"/>
                      <w:szCs w:val="21"/>
                    </w:rPr>
                  </w:pPr>
                  <w:r>
                    <w:rPr>
                      <w:rFonts w:hint="default"/>
                      <w:b/>
                      <w:bCs/>
                      <w:sz w:val="21"/>
                      <w:szCs w:val="21"/>
                    </w:rPr>
                    <w:t>序号</w:t>
                  </w:r>
                </w:p>
              </w:tc>
              <w:tc>
                <w:tcPr>
                  <w:tcW w:w="2763" w:type="pct"/>
                  <w:vAlign w:val="center"/>
                </w:tcPr>
                <w:p w14:paraId="3B59B7B1">
                  <w:pPr>
                    <w:pStyle w:val="43"/>
                    <w:keepNext w:val="0"/>
                    <w:keepLines w:val="0"/>
                    <w:suppressLineNumbers w:val="0"/>
                    <w:spacing w:before="0" w:beforeAutospacing="0" w:after="0" w:afterAutospacing="0"/>
                    <w:ind w:left="0" w:leftChars="0" w:right="0" w:rightChars="0" w:firstLine="0" w:firstLineChars="0"/>
                    <w:jc w:val="center"/>
                    <w:rPr>
                      <w:rFonts w:hint="default"/>
                      <w:b/>
                      <w:bCs/>
                      <w:sz w:val="21"/>
                      <w:szCs w:val="21"/>
                    </w:rPr>
                  </w:pPr>
                  <w:r>
                    <w:rPr>
                      <w:rFonts w:hint="default"/>
                      <w:b/>
                      <w:bCs/>
                      <w:sz w:val="21"/>
                      <w:szCs w:val="21"/>
                    </w:rPr>
                    <w:t>政策要求</w:t>
                  </w:r>
                </w:p>
              </w:tc>
              <w:tc>
                <w:tcPr>
                  <w:tcW w:w="1359" w:type="pct"/>
                  <w:vAlign w:val="center"/>
                </w:tcPr>
                <w:p w14:paraId="326A24F7">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rPr>
                  </w:pPr>
                  <w:r>
                    <w:rPr>
                      <w:rFonts w:hint="default"/>
                      <w:b/>
                      <w:bCs/>
                      <w:sz w:val="21"/>
                      <w:szCs w:val="21"/>
                    </w:rPr>
                    <w:t>本项目实际内容</w:t>
                  </w:r>
                </w:p>
              </w:tc>
              <w:tc>
                <w:tcPr>
                  <w:tcW w:w="462" w:type="pct"/>
                  <w:vAlign w:val="center"/>
                </w:tcPr>
                <w:p w14:paraId="2D2D825B">
                  <w:pPr>
                    <w:pStyle w:val="43"/>
                    <w:keepNext w:val="0"/>
                    <w:keepLines w:val="0"/>
                    <w:suppressLineNumbers w:val="0"/>
                    <w:spacing w:before="0" w:beforeAutospacing="0" w:after="0" w:afterAutospacing="0"/>
                    <w:ind w:left="0" w:leftChars="0" w:right="0" w:rightChars="0" w:firstLine="0" w:firstLineChars="0"/>
                    <w:jc w:val="center"/>
                    <w:rPr>
                      <w:rFonts w:hint="default"/>
                      <w:b/>
                      <w:bCs/>
                      <w:sz w:val="21"/>
                      <w:szCs w:val="21"/>
                    </w:rPr>
                  </w:pPr>
                  <w:r>
                    <w:rPr>
                      <w:rFonts w:hint="default"/>
                      <w:b/>
                      <w:bCs/>
                      <w:sz w:val="21"/>
                      <w:szCs w:val="21"/>
                    </w:rPr>
                    <w:t>是否</w:t>
                  </w:r>
                </w:p>
                <w:p w14:paraId="7BBBDCBA">
                  <w:pPr>
                    <w:pStyle w:val="43"/>
                    <w:keepNext w:val="0"/>
                    <w:keepLines w:val="0"/>
                    <w:suppressLineNumbers w:val="0"/>
                    <w:spacing w:before="0" w:beforeAutospacing="0" w:after="0" w:afterAutospacing="0"/>
                    <w:ind w:left="0" w:leftChars="0" w:right="0" w:rightChars="0" w:firstLine="0" w:firstLineChars="0"/>
                    <w:jc w:val="center"/>
                    <w:rPr>
                      <w:rFonts w:hint="default"/>
                      <w:b/>
                      <w:bCs/>
                      <w:sz w:val="21"/>
                      <w:szCs w:val="21"/>
                    </w:rPr>
                  </w:pPr>
                  <w:r>
                    <w:rPr>
                      <w:rFonts w:hint="default"/>
                      <w:b/>
                      <w:bCs/>
                      <w:sz w:val="21"/>
                      <w:szCs w:val="21"/>
                    </w:rPr>
                    <w:t>符合</w:t>
                  </w:r>
                </w:p>
              </w:tc>
            </w:tr>
            <w:tr w14:paraId="5E80F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59927298">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w:t>
                  </w:r>
                </w:p>
              </w:tc>
              <w:tc>
                <w:tcPr>
                  <w:tcW w:w="2763" w:type="pct"/>
                  <w:vAlign w:val="center"/>
                </w:tcPr>
                <w:p w14:paraId="504B6D78">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第三条：禁止建设不符合全国和省级港口布局规划以及港口总体规划的码头项目。对不符合港口总体规划的新建改建和扩建的码头工程 （含装码头工程）及其同时建设的配套设施、防波堤、锚地、护岸等工程投资主管部门不得审批或核准。码头工程建设项目需要使用港口岸线的，项目单位应当按照国省港口岸线使用的管理规定办理港口岸线使用手续。未取得岸线使用批准文件或者岸线使用意见的，不得开工建设。禁止建设不符合《长江干线过江通道布局规划》的过长江通道项目</w:t>
                  </w:r>
                </w:p>
              </w:tc>
              <w:tc>
                <w:tcPr>
                  <w:tcW w:w="1359" w:type="pct"/>
                  <w:vAlign w:val="center"/>
                </w:tcPr>
                <w:p w14:paraId="057B022C">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default"/>
                      <w:sz w:val="21"/>
                      <w:szCs w:val="21"/>
                    </w:rPr>
                    <w:t>本项目</w:t>
                  </w:r>
                  <w:r>
                    <w:rPr>
                      <w:rFonts w:hint="eastAsia"/>
                      <w:sz w:val="21"/>
                      <w:szCs w:val="21"/>
                      <w:lang w:val="en-US" w:eastAsia="zh-CN"/>
                    </w:rPr>
                    <w:t>属于农副产品加工业，同时配套建设一台4t/h燃生物质蒸汽锅炉</w:t>
                  </w:r>
                  <w:r>
                    <w:rPr>
                      <w:rFonts w:hint="eastAsia"/>
                      <w:sz w:val="21"/>
                      <w:szCs w:val="21"/>
                    </w:rPr>
                    <w:t>，不属于码头、过江通道类型项目</w:t>
                  </w:r>
                </w:p>
              </w:tc>
              <w:tc>
                <w:tcPr>
                  <w:tcW w:w="462" w:type="pct"/>
                  <w:vAlign w:val="center"/>
                </w:tcPr>
                <w:p w14:paraId="049F718F">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7E05D7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14C4C29C">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2</w:t>
                  </w:r>
                </w:p>
              </w:tc>
              <w:tc>
                <w:tcPr>
                  <w:tcW w:w="2763" w:type="pct"/>
                  <w:vAlign w:val="center"/>
                </w:tcPr>
                <w:p w14:paraId="50F0EC1E">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第四条：禁止在自然保护区核心区、缓冲区的岸线和河段范围内投资建设以下项目</w:t>
                  </w:r>
                  <w:r>
                    <w:rPr>
                      <w:rFonts w:hint="eastAsia"/>
                      <w:sz w:val="21"/>
                      <w:szCs w:val="21"/>
                    </w:rPr>
                    <w:t>：</w:t>
                  </w:r>
                </w:p>
                <w:p w14:paraId="548DCDCB">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eastAsia"/>
                      <w:sz w:val="21"/>
                      <w:szCs w:val="21"/>
                    </w:rPr>
                    <w:t>（</w:t>
                  </w:r>
                  <w:r>
                    <w:rPr>
                      <w:rFonts w:hint="default"/>
                      <w:sz w:val="21"/>
                      <w:szCs w:val="21"/>
                    </w:rPr>
                    <w:t>一</w:t>
                  </w:r>
                  <w:r>
                    <w:rPr>
                      <w:rFonts w:hint="eastAsia"/>
                      <w:sz w:val="21"/>
                      <w:szCs w:val="21"/>
                    </w:rPr>
                    <w:t>）</w:t>
                  </w:r>
                  <w:r>
                    <w:rPr>
                      <w:rFonts w:hint="default"/>
                      <w:sz w:val="21"/>
                      <w:szCs w:val="21"/>
                    </w:rPr>
                    <w:t>高尔夫球场开发、房地产开发、索道建设、会所建设等项目；</w:t>
                  </w:r>
                  <w:r>
                    <w:rPr>
                      <w:rFonts w:hint="eastAsia"/>
                      <w:sz w:val="21"/>
                      <w:szCs w:val="21"/>
                    </w:rPr>
                    <w:t>（</w:t>
                  </w:r>
                  <w:r>
                    <w:rPr>
                      <w:rFonts w:hint="default"/>
                      <w:sz w:val="21"/>
                      <w:szCs w:val="21"/>
                    </w:rPr>
                    <w:t>二</w:t>
                  </w:r>
                  <w:r>
                    <w:rPr>
                      <w:rFonts w:hint="eastAsia"/>
                      <w:sz w:val="21"/>
                      <w:szCs w:val="21"/>
                    </w:rPr>
                    <w:t>）</w:t>
                  </w:r>
                  <w:r>
                    <w:rPr>
                      <w:rFonts w:hint="default"/>
                      <w:sz w:val="21"/>
                      <w:szCs w:val="21"/>
                    </w:rPr>
                    <w:t>光伏发电、风力发电、火力发电建设项目；</w:t>
                  </w:r>
                  <w:r>
                    <w:rPr>
                      <w:rFonts w:hint="eastAsia"/>
                      <w:sz w:val="21"/>
                      <w:szCs w:val="21"/>
                    </w:rPr>
                    <w:t>（</w:t>
                  </w:r>
                  <w:r>
                    <w:rPr>
                      <w:rFonts w:hint="default"/>
                      <w:sz w:val="21"/>
                      <w:szCs w:val="21"/>
                    </w:rPr>
                    <w:t>三</w:t>
                  </w:r>
                  <w:r>
                    <w:rPr>
                      <w:rFonts w:hint="eastAsia"/>
                      <w:sz w:val="21"/>
                      <w:szCs w:val="21"/>
                    </w:rPr>
                    <w:t>）</w:t>
                  </w:r>
                  <w:r>
                    <w:rPr>
                      <w:rFonts w:hint="default"/>
                      <w:sz w:val="21"/>
                      <w:szCs w:val="21"/>
                    </w:rPr>
                    <w:t>社会资金进行商业性探矿勘查，以及不属于国家紧缺矿种资源的基础地质调查和矿产远景调查等公益性工作的设施建设；</w:t>
                  </w:r>
                  <w:r>
                    <w:rPr>
                      <w:rFonts w:hint="eastAsia"/>
                      <w:sz w:val="21"/>
                      <w:szCs w:val="21"/>
                    </w:rPr>
                    <w:t>（</w:t>
                  </w:r>
                  <w:r>
                    <w:rPr>
                      <w:rFonts w:hint="default"/>
                      <w:sz w:val="21"/>
                      <w:szCs w:val="21"/>
                    </w:rPr>
                    <w:t>四</w:t>
                  </w:r>
                  <w:r>
                    <w:rPr>
                      <w:rFonts w:hint="eastAsia"/>
                      <w:sz w:val="21"/>
                      <w:szCs w:val="21"/>
                    </w:rPr>
                    <w:t>）</w:t>
                  </w:r>
                  <w:r>
                    <w:rPr>
                      <w:rFonts w:hint="default"/>
                      <w:sz w:val="21"/>
                      <w:szCs w:val="21"/>
                    </w:rPr>
                    <w:t>野生动物驯养繁殖、展览基地建设项目；</w:t>
                  </w:r>
                  <w:r>
                    <w:rPr>
                      <w:rFonts w:hint="eastAsia"/>
                      <w:sz w:val="21"/>
                      <w:szCs w:val="21"/>
                    </w:rPr>
                    <w:t>（</w:t>
                  </w:r>
                  <w:r>
                    <w:rPr>
                      <w:rFonts w:hint="default"/>
                      <w:sz w:val="21"/>
                      <w:szCs w:val="21"/>
                    </w:rPr>
                    <w:t>五</w:t>
                  </w:r>
                  <w:r>
                    <w:rPr>
                      <w:rFonts w:hint="eastAsia"/>
                      <w:sz w:val="21"/>
                      <w:szCs w:val="21"/>
                    </w:rPr>
                    <w:t>）</w:t>
                  </w:r>
                  <w:r>
                    <w:rPr>
                      <w:rFonts w:hint="default"/>
                      <w:sz w:val="21"/>
                      <w:szCs w:val="21"/>
                    </w:rPr>
                    <w:t>污染环境、破坏自然资源或自然景观的建设设施；</w:t>
                  </w:r>
                  <w:r>
                    <w:rPr>
                      <w:rFonts w:hint="eastAsia"/>
                      <w:sz w:val="21"/>
                      <w:szCs w:val="21"/>
                    </w:rPr>
                    <w:t>（</w:t>
                  </w:r>
                  <w:r>
                    <w:rPr>
                      <w:rFonts w:hint="default"/>
                      <w:sz w:val="21"/>
                      <w:szCs w:val="21"/>
                    </w:rPr>
                    <w:t>六</w:t>
                  </w:r>
                  <w:r>
                    <w:rPr>
                      <w:rFonts w:hint="eastAsia"/>
                      <w:sz w:val="21"/>
                      <w:szCs w:val="21"/>
                    </w:rPr>
                    <w:t>）</w:t>
                  </w:r>
                  <w:r>
                    <w:rPr>
                      <w:rFonts w:hint="default"/>
                      <w:sz w:val="21"/>
                      <w:szCs w:val="21"/>
                    </w:rPr>
                    <w:t>对自然保护区主要保护对象产生重大影响、改变自然生态系统完整性、原真性、破坏自然景观的设施；</w:t>
                  </w:r>
                  <w:r>
                    <w:rPr>
                      <w:rFonts w:hint="eastAsia"/>
                      <w:sz w:val="21"/>
                      <w:szCs w:val="21"/>
                    </w:rPr>
                    <w:t>（</w:t>
                  </w:r>
                  <w:r>
                    <w:rPr>
                      <w:rFonts w:hint="default"/>
                      <w:sz w:val="21"/>
                      <w:szCs w:val="21"/>
                    </w:rPr>
                    <w:t>七</w:t>
                  </w:r>
                  <w:r>
                    <w:rPr>
                      <w:rFonts w:hint="eastAsia"/>
                      <w:sz w:val="21"/>
                      <w:szCs w:val="21"/>
                    </w:rPr>
                    <w:t>）</w:t>
                  </w:r>
                  <w:r>
                    <w:rPr>
                      <w:rFonts w:hint="default"/>
                      <w:sz w:val="21"/>
                      <w:szCs w:val="21"/>
                    </w:rPr>
                    <w:t>其他不符合自然保护区主体功能定位和国家禁止的设施。</w:t>
                  </w:r>
                </w:p>
              </w:tc>
              <w:tc>
                <w:tcPr>
                  <w:tcW w:w="1359" w:type="pct"/>
                  <w:vAlign w:val="center"/>
                </w:tcPr>
                <w:p w14:paraId="2AE62D3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w:t>
                  </w:r>
                  <w:r>
                    <w:rPr>
                      <w:rFonts w:hint="eastAsia"/>
                      <w:sz w:val="21"/>
                      <w:szCs w:val="21"/>
                    </w:rPr>
                    <w:t>项目建设</w:t>
                  </w:r>
                  <w:r>
                    <w:rPr>
                      <w:rFonts w:hint="default"/>
                      <w:sz w:val="21"/>
                      <w:szCs w:val="21"/>
                    </w:rPr>
                    <w:t>符合</w:t>
                  </w:r>
                  <w:r>
                    <w:rPr>
                      <w:rFonts w:hint="eastAsia"/>
                      <w:sz w:val="21"/>
                      <w:szCs w:val="21"/>
                    </w:rPr>
                    <w:t>所在片区生态</w:t>
                  </w:r>
                  <w:r>
                    <w:rPr>
                      <w:rFonts w:hint="default"/>
                      <w:sz w:val="21"/>
                      <w:szCs w:val="21"/>
                    </w:rPr>
                    <w:t>环境准入要求及</w:t>
                  </w:r>
                  <w:r>
                    <w:rPr>
                      <w:rFonts w:hint="eastAsia"/>
                      <w:sz w:val="21"/>
                      <w:szCs w:val="21"/>
                    </w:rPr>
                    <w:t>区域城镇发展规划要求</w:t>
                  </w:r>
                  <w:r>
                    <w:rPr>
                      <w:rFonts w:hint="default"/>
                      <w:sz w:val="21"/>
                      <w:szCs w:val="21"/>
                    </w:rPr>
                    <w:t>；本项目</w:t>
                  </w:r>
                  <w:r>
                    <w:rPr>
                      <w:rFonts w:hint="eastAsia"/>
                      <w:sz w:val="21"/>
                      <w:szCs w:val="21"/>
                    </w:rPr>
                    <w:t>选址地不涉及</w:t>
                  </w:r>
                  <w:r>
                    <w:rPr>
                      <w:rFonts w:hint="default"/>
                      <w:sz w:val="21"/>
                      <w:szCs w:val="21"/>
                    </w:rPr>
                    <w:t>自然保护区</w:t>
                  </w:r>
                  <w:r>
                    <w:rPr>
                      <w:rFonts w:hint="eastAsia"/>
                      <w:sz w:val="21"/>
                      <w:szCs w:val="21"/>
                    </w:rPr>
                    <w:t>、</w:t>
                  </w:r>
                  <w:r>
                    <w:rPr>
                      <w:rFonts w:hint="default"/>
                      <w:sz w:val="21"/>
                      <w:szCs w:val="21"/>
                    </w:rPr>
                    <w:t>风景名胜区</w:t>
                  </w:r>
                </w:p>
              </w:tc>
              <w:tc>
                <w:tcPr>
                  <w:tcW w:w="462" w:type="pct"/>
                  <w:vAlign w:val="center"/>
                </w:tcPr>
                <w:p w14:paraId="33A3EE06">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0799E3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5E6A6691">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3</w:t>
                  </w:r>
                </w:p>
              </w:tc>
              <w:tc>
                <w:tcPr>
                  <w:tcW w:w="2763" w:type="pct"/>
                  <w:vAlign w:val="center"/>
                </w:tcPr>
                <w:p w14:paraId="0CCFB593">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五条：机场、铁路、公路、水利、航运、围堰等公益性基础设施的选址选线应多方案优化比选，尽量避让相关自然保护区域、野生动物迁徙洄游通道；无法避让的，应当采取修建野生动物通道、过鱼设施等措施，消除或者减少对野生动物的不利影响。</w:t>
                  </w:r>
                </w:p>
              </w:tc>
              <w:tc>
                <w:tcPr>
                  <w:tcW w:w="1359" w:type="pct"/>
                  <w:vAlign w:val="center"/>
                </w:tcPr>
                <w:p w14:paraId="07B17FC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w:t>
                  </w:r>
                  <w:r>
                    <w:rPr>
                      <w:rFonts w:hint="eastAsia"/>
                      <w:sz w:val="21"/>
                      <w:szCs w:val="21"/>
                    </w:rPr>
                    <w:t>项目选址地不涉及自然保护区、野生动物迁徙洄游通道</w:t>
                  </w:r>
                </w:p>
              </w:tc>
              <w:tc>
                <w:tcPr>
                  <w:tcW w:w="462" w:type="pct"/>
                  <w:vAlign w:val="center"/>
                </w:tcPr>
                <w:p w14:paraId="72746DC5">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7E44FA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7312FDB8">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4</w:t>
                  </w:r>
                </w:p>
              </w:tc>
              <w:tc>
                <w:tcPr>
                  <w:tcW w:w="2763" w:type="pct"/>
                  <w:vAlign w:val="center"/>
                </w:tcPr>
                <w:p w14:paraId="05D5911D">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六条：禁止违反风景名胜区规划，在风景名胜区内设立各类开发区和在核心景区内建设宾馆、招待所、培训中心、疗养院以及与风景名胜资源保护无关的其他建筑物；已经建设的，应当按照风景名胜区规划，逐步迁出。</w:t>
                  </w:r>
                </w:p>
              </w:tc>
              <w:tc>
                <w:tcPr>
                  <w:tcW w:w="1359" w:type="pct"/>
                  <w:vAlign w:val="center"/>
                </w:tcPr>
                <w:p w14:paraId="2E78434E">
                  <w:pPr>
                    <w:pStyle w:val="1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w:t>
                  </w:r>
                  <w:r>
                    <w:rPr>
                      <w:rFonts w:hint="eastAsia"/>
                      <w:sz w:val="21"/>
                      <w:szCs w:val="21"/>
                    </w:rPr>
                    <w:t>项目选址地不涉及风景名胜区</w:t>
                  </w:r>
                </w:p>
              </w:tc>
              <w:tc>
                <w:tcPr>
                  <w:tcW w:w="462" w:type="pct"/>
                  <w:vAlign w:val="center"/>
                </w:tcPr>
                <w:p w14:paraId="7E438709">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404696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67B6D717">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5</w:t>
                  </w:r>
                </w:p>
              </w:tc>
              <w:tc>
                <w:tcPr>
                  <w:tcW w:w="2763" w:type="pct"/>
                  <w:vAlign w:val="center"/>
                </w:tcPr>
                <w:p w14:paraId="6DAFB73F">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七条：饮用水水源一级保护区内禁止新建、改建、扩建与供水设施和保护水源无关的建设项目，以及网箱养殖、畜禽养殖、旅游等可能污染饮用水水体的投资建设项目；禁止向水域排放污水，已设置的排污口必须拆除；不得设置与供水需要无关的码头，禁止停靠船舶；禁止堆置和存放工业废渣、城市垃圾、粪便和其他废弃物；禁止设置油库；禁止使用含磷洗涤用品。</w:t>
                  </w:r>
                </w:p>
              </w:tc>
              <w:tc>
                <w:tcPr>
                  <w:tcW w:w="1359" w:type="pct"/>
                  <w:vAlign w:val="center"/>
                </w:tcPr>
                <w:p w14:paraId="75D9C3B8">
                  <w:pPr>
                    <w:keepNext w:val="0"/>
                    <w:keepLines w:val="0"/>
                    <w:pageBreakBefore w:val="0"/>
                    <w:widowControl/>
                    <w:suppressLineNumbers w:val="0"/>
                    <w:kinsoku/>
                    <w:wordWrap/>
                    <w:overflowPunct/>
                    <w:topLinePunct w:val="0"/>
                    <w:bidi w:val="0"/>
                    <w:spacing w:before="0" w:beforeAutospacing="0" w:after="0" w:afterAutospacing="0"/>
                    <w:ind w:left="0" w:leftChars="0" w:right="0" w:rightChars="0" w:firstLine="420" w:firstLineChars="200"/>
                    <w:jc w:val="both"/>
                    <w:textAlignment w:val="auto"/>
                    <w:rPr>
                      <w:rFonts w:hint="default"/>
                      <w:szCs w:val="21"/>
                    </w:rPr>
                  </w:pPr>
                  <w:r>
                    <w:rPr>
                      <w:rFonts w:hint="eastAsia"/>
                      <w:szCs w:val="21"/>
                      <w:lang w:val="en-US" w:eastAsia="zh-CN"/>
                    </w:rPr>
                    <w:t>本</w:t>
                  </w:r>
                  <w:r>
                    <w:rPr>
                      <w:rFonts w:hint="default"/>
                      <w:szCs w:val="21"/>
                    </w:rPr>
                    <w:t>项目</w:t>
                  </w:r>
                  <w:r>
                    <w:rPr>
                      <w:rFonts w:hint="eastAsia"/>
                      <w:szCs w:val="21"/>
                    </w:rPr>
                    <w:t>选址地范围内不涉及</w:t>
                  </w:r>
                  <w:r>
                    <w:rPr>
                      <w:rFonts w:hint="default"/>
                      <w:szCs w:val="21"/>
                    </w:rPr>
                    <w:t>饮用水水源保护区</w:t>
                  </w:r>
                </w:p>
              </w:tc>
              <w:tc>
                <w:tcPr>
                  <w:tcW w:w="462" w:type="pct"/>
                  <w:vAlign w:val="center"/>
                </w:tcPr>
                <w:p w14:paraId="5B927EE7">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0E0635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77AE9A05">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6</w:t>
                  </w:r>
                </w:p>
              </w:tc>
              <w:tc>
                <w:tcPr>
                  <w:tcW w:w="2763" w:type="pct"/>
                  <w:vAlign w:val="center"/>
                </w:tcPr>
                <w:p w14:paraId="64925657">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第八条：饮用水水源二级保护区内禁止新建、改建、扩建向水体排放污染物的投资建设项目。原有排污口依法拆除或关闭。禁止设立装卸垃圾、粪便、油类和有毒物品的码头。</w:t>
                  </w:r>
                </w:p>
              </w:tc>
              <w:tc>
                <w:tcPr>
                  <w:tcW w:w="1359" w:type="pct"/>
                  <w:vAlign w:val="center"/>
                </w:tcPr>
                <w:p w14:paraId="36BE06D1">
                  <w:pPr>
                    <w:keepNext w:val="0"/>
                    <w:keepLines w:val="0"/>
                    <w:pageBreakBefore w:val="0"/>
                    <w:widowControl/>
                    <w:suppressLineNumbers w:val="0"/>
                    <w:kinsoku/>
                    <w:wordWrap/>
                    <w:overflowPunct/>
                    <w:topLinePunct w:val="0"/>
                    <w:bidi w:val="0"/>
                    <w:spacing w:before="0" w:beforeAutospacing="0" w:after="0" w:afterAutospacing="0"/>
                    <w:ind w:left="0" w:leftChars="0" w:right="0" w:rightChars="0" w:firstLine="420" w:firstLineChars="200"/>
                    <w:jc w:val="both"/>
                    <w:textAlignment w:val="auto"/>
                    <w:rPr>
                      <w:rFonts w:hint="default"/>
                      <w:szCs w:val="21"/>
                    </w:rPr>
                  </w:pPr>
                  <w:r>
                    <w:rPr>
                      <w:rFonts w:hint="eastAsia"/>
                      <w:szCs w:val="21"/>
                      <w:lang w:eastAsia="zh-CN"/>
                    </w:rPr>
                    <w:t>本</w:t>
                  </w:r>
                  <w:r>
                    <w:rPr>
                      <w:rFonts w:hint="default"/>
                      <w:szCs w:val="21"/>
                    </w:rPr>
                    <w:t>项目</w:t>
                  </w:r>
                  <w:r>
                    <w:rPr>
                      <w:rFonts w:hint="eastAsia"/>
                      <w:szCs w:val="21"/>
                    </w:rPr>
                    <w:t>选址地范围内不涉及</w:t>
                  </w:r>
                  <w:r>
                    <w:rPr>
                      <w:rFonts w:hint="default"/>
                      <w:szCs w:val="21"/>
                    </w:rPr>
                    <w:t>饮用水水源保护区</w:t>
                  </w:r>
                </w:p>
              </w:tc>
              <w:tc>
                <w:tcPr>
                  <w:tcW w:w="462" w:type="pct"/>
                  <w:vAlign w:val="center"/>
                </w:tcPr>
                <w:p w14:paraId="2D300FB8">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786F9C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0DE0A8E6">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7</w:t>
                  </w:r>
                </w:p>
              </w:tc>
              <w:tc>
                <w:tcPr>
                  <w:tcW w:w="2763" w:type="pct"/>
                  <w:vAlign w:val="center"/>
                </w:tcPr>
                <w:p w14:paraId="2F7864AB">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第九条：禁止在水产种质资源保护区内新建排污口、从事围湖造田造地等投资建设项目。</w:t>
                  </w:r>
                </w:p>
              </w:tc>
              <w:tc>
                <w:tcPr>
                  <w:tcW w:w="1359" w:type="pct"/>
                  <w:vAlign w:val="center"/>
                </w:tcPr>
                <w:p w14:paraId="05FC486B">
                  <w:pPr>
                    <w:keepNext w:val="0"/>
                    <w:keepLines w:val="0"/>
                    <w:pageBreakBefore w:val="0"/>
                    <w:widowControl/>
                    <w:suppressLineNumbers w:val="0"/>
                    <w:kinsoku/>
                    <w:wordWrap/>
                    <w:overflowPunct/>
                    <w:topLinePunct w:val="0"/>
                    <w:bidi w:val="0"/>
                    <w:spacing w:before="0" w:beforeAutospacing="0" w:after="0" w:afterAutospacing="0"/>
                    <w:ind w:left="0" w:leftChars="0" w:right="0" w:rightChars="0" w:firstLine="420" w:firstLineChars="200"/>
                    <w:jc w:val="both"/>
                    <w:textAlignment w:val="auto"/>
                    <w:rPr>
                      <w:rFonts w:hint="default"/>
                      <w:szCs w:val="21"/>
                    </w:rPr>
                  </w:pPr>
                  <w:r>
                    <w:rPr>
                      <w:rFonts w:hint="eastAsia"/>
                      <w:szCs w:val="21"/>
                      <w:lang w:val="en-US" w:eastAsia="zh-CN"/>
                    </w:rPr>
                    <w:t>本</w:t>
                  </w:r>
                  <w:r>
                    <w:rPr>
                      <w:rFonts w:hint="default"/>
                      <w:szCs w:val="21"/>
                    </w:rPr>
                    <w:t>项目</w:t>
                  </w:r>
                  <w:r>
                    <w:rPr>
                      <w:rFonts w:hint="eastAsia"/>
                      <w:szCs w:val="21"/>
                    </w:rPr>
                    <w:t>选址地范围内不涉及</w:t>
                  </w:r>
                  <w:r>
                    <w:rPr>
                      <w:rFonts w:hint="default"/>
                      <w:szCs w:val="21"/>
                    </w:rPr>
                    <w:t>水产种质资源保护区</w:t>
                  </w:r>
                </w:p>
              </w:tc>
              <w:tc>
                <w:tcPr>
                  <w:tcW w:w="462" w:type="pct"/>
                  <w:vAlign w:val="center"/>
                </w:tcPr>
                <w:p w14:paraId="22E63A2E">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1B90DA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0BA463F8">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8</w:t>
                  </w:r>
                </w:p>
              </w:tc>
              <w:tc>
                <w:tcPr>
                  <w:tcW w:w="2763" w:type="pct"/>
                  <w:vAlign w:val="center"/>
                </w:tcPr>
                <w:p w14:paraId="3A275026">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第十条：除《中华人民共和国防洪法》规定的紧急防汛期采取的紧急措施外，禁止在国家湿地公园的岸线和河段范围内挖沙、采矿，以及以下不符合主体功能定位的行为和活动：</w:t>
                  </w:r>
                  <w:r>
                    <w:rPr>
                      <w:rFonts w:hint="eastAsia"/>
                      <w:sz w:val="21"/>
                      <w:szCs w:val="21"/>
                    </w:rPr>
                    <w:t>（</w:t>
                  </w:r>
                  <w:r>
                    <w:rPr>
                      <w:rFonts w:hint="default"/>
                      <w:sz w:val="21"/>
                      <w:szCs w:val="21"/>
                    </w:rPr>
                    <w:t>一</w:t>
                  </w:r>
                  <w:r>
                    <w:rPr>
                      <w:rFonts w:hint="eastAsia"/>
                      <w:sz w:val="21"/>
                      <w:szCs w:val="21"/>
                    </w:rPr>
                    <w:t>）</w:t>
                  </w:r>
                  <w:r>
                    <w:rPr>
                      <w:rFonts w:hint="default"/>
                      <w:sz w:val="21"/>
                      <w:szCs w:val="21"/>
                    </w:rPr>
                    <w:t>开</w:t>
                  </w:r>
                  <w:r>
                    <w:rPr>
                      <w:rFonts w:hint="eastAsia"/>
                      <w:sz w:val="21"/>
                      <w:szCs w:val="21"/>
                    </w:rPr>
                    <w:t>（</w:t>
                  </w:r>
                  <w:r>
                    <w:rPr>
                      <w:rFonts w:hint="default"/>
                      <w:sz w:val="21"/>
                      <w:szCs w:val="21"/>
                    </w:rPr>
                    <w:t>围</w:t>
                  </w:r>
                  <w:r>
                    <w:rPr>
                      <w:rFonts w:hint="eastAsia"/>
                      <w:sz w:val="21"/>
                      <w:szCs w:val="21"/>
                    </w:rPr>
                    <w:t>）</w:t>
                  </w:r>
                  <w:r>
                    <w:rPr>
                      <w:rFonts w:hint="default"/>
                      <w:sz w:val="21"/>
                      <w:szCs w:val="21"/>
                    </w:rPr>
                    <w:t>垦、填埋或者排干湿地。</w:t>
                  </w:r>
                  <w:r>
                    <w:rPr>
                      <w:rFonts w:hint="eastAsia"/>
                      <w:sz w:val="21"/>
                      <w:szCs w:val="21"/>
                    </w:rPr>
                    <w:t>（</w:t>
                  </w:r>
                  <w:r>
                    <w:rPr>
                      <w:rFonts w:hint="default"/>
                      <w:sz w:val="21"/>
                      <w:szCs w:val="21"/>
                    </w:rPr>
                    <w:t>二</w:t>
                  </w:r>
                  <w:r>
                    <w:rPr>
                      <w:rFonts w:hint="eastAsia"/>
                      <w:sz w:val="21"/>
                      <w:szCs w:val="21"/>
                    </w:rPr>
                    <w:t>）</w:t>
                  </w:r>
                  <w:r>
                    <w:rPr>
                      <w:rFonts w:hint="default"/>
                      <w:sz w:val="21"/>
                      <w:szCs w:val="21"/>
                    </w:rPr>
                    <w:t>截断湿地水源。</w:t>
                  </w:r>
                  <w:r>
                    <w:rPr>
                      <w:rFonts w:hint="eastAsia"/>
                      <w:sz w:val="21"/>
                      <w:szCs w:val="21"/>
                    </w:rPr>
                    <w:t>（</w:t>
                  </w:r>
                  <w:r>
                    <w:rPr>
                      <w:rFonts w:hint="default"/>
                      <w:sz w:val="21"/>
                      <w:szCs w:val="21"/>
                    </w:rPr>
                    <w:t>三</w:t>
                  </w:r>
                  <w:r>
                    <w:rPr>
                      <w:rFonts w:hint="eastAsia"/>
                      <w:sz w:val="21"/>
                      <w:szCs w:val="21"/>
                    </w:rPr>
                    <w:t>）</w:t>
                  </w:r>
                  <w:r>
                    <w:rPr>
                      <w:rFonts w:hint="default"/>
                      <w:sz w:val="21"/>
                      <w:szCs w:val="21"/>
                    </w:rPr>
                    <w:t xml:space="preserve"> 倾倒有毒有害物质、废弃物、垃圾。</w:t>
                  </w:r>
                  <w:r>
                    <w:rPr>
                      <w:rFonts w:hint="eastAsia"/>
                      <w:sz w:val="21"/>
                      <w:szCs w:val="21"/>
                    </w:rPr>
                    <w:t>（</w:t>
                  </w:r>
                  <w:r>
                    <w:rPr>
                      <w:rFonts w:hint="default"/>
                      <w:sz w:val="21"/>
                      <w:szCs w:val="21"/>
                    </w:rPr>
                    <w:t>四</w:t>
                  </w:r>
                  <w:r>
                    <w:rPr>
                      <w:rFonts w:hint="eastAsia"/>
                      <w:sz w:val="21"/>
                      <w:szCs w:val="21"/>
                    </w:rPr>
                    <w:t>）</w:t>
                  </w:r>
                  <w:r>
                    <w:rPr>
                      <w:rFonts w:hint="default"/>
                      <w:sz w:val="21"/>
                      <w:szCs w:val="21"/>
                    </w:rPr>
                    <w:t>从事房地产、度假村、高尔夫球场、风力发电、光伏发电等任何不符合主体功能定位的建设项目和开发活动。</w:t>
                  </w:r>
                  <w:r>
                    <w:rPr>
                      <w:rFonts w:hint="eastAsia"/>
                      <w:sz w:val="21"/>
                      <w:szCs w:val="21"/>
                    </w:rPr>
                    <w:t>（</w:t>
                  </w:r>
                  <w:r>
                    <w:rPr>
                      <w:rFonts w:hint="default"/>
                      <w:sz w:val="21"/>
                      <w:szCs w:val="21"/>
                    </w:rPr>
                    <w:t>五</w:t>
                  </w:r>
                  <w:r>
                    <w:rPr>
                      <w:rFonts w:hint="eastAsia"/>
                      <w:sz w:val="21"/>
                      <w:szCs w:val="21"/>
                    </w:rPr>
                    <w:t>）</w:t>
                  </w:r>
                  <w:r>
                    <w:rPr>
                      <w:rFonts w:hint="default"/>
                      <w:sz w:val="21"/>
                      <w:szCs w:val="21"/>
                    </w:rPr>
                    <w:t>破坏野生动物栖息地和迁徙通道、鱼类洄游通道滥采滥捕野生动植物。</w:t>
                  </w:r>
                  <w:r>
                    <w:rPr>
                      <w:rFonts w:hint="eastAsia"/>
                      <w:sz w:val="21"/>
                      <w:szCs w:val="21"/>
                    </w:rPr>
                    <w:t>（</w:t>
                  </w:r>
                  <w:r>
                    <w:rPr>
                      <w:rFonts w:hint="default"/>
                      <w:sz w:val="21"/>
                      <w:szCs w:val="21"/>
                    </w:rPr>
                    <w:t>六</w:t>
                  </w:r>
                  <w:r>
                    <w:rPr>
                      <w:rFonts w:hint="eastAsia"/>
                      <w:sz w:val="21"/>
                      <w:szCs w:val="21"/>
                    </w:rPr>
                    <w:t>）</w:t>
                  </w:r>
                  <w:r>
                    <w:rPr>
                      <w:rFonts w:hint="default"/>
                      <w:sz w:val="21"/>
                      <w:szCs w:val="21"/>
                    </w:rPr>
                    <w:t>引入外来物种。</w:t>
                  </w:r>
                  <w:r>
                    <w:rPr>
                      <w:rFonts w:hint="eastAsia"/>
                      <w:sz w:val="21"/>
                      <w:szCs w:val="21"/>
                    </w:rPr>
                    <w:t>（</w:t>
                  </w:r>
                  <w:r>
                    <w:rPr>
                      <w:rFonts w:hint="default"/>
                      <w:sz w:val="21"/>
                      <w:szCs w:val="21"/>
                    </w:rPr>
                    <w:t>七</w:t>
                  </w:r>
                  <w:r>
                    <w:rPr>
                      <w:rFonts w:hint="eastAsia"/>
                      <w:sz w:val="21"/>
                      <w:szCs w:val="21"/>
                    </w:rPr>
                    <w:t>）</w:t>
                  </w:r>
                  <w:r>
                    <w:rPr>
                      <w:rFonts w:hint="default"/>
                      <w:sz w:val="21"/>
                      <w:szCs w:val="21"/>
                    </w:rPr>
                    <w:t>擅自放牧、捕捞、取土、取水、排污、放生。</w:t>
                  </w:r>
                  <w:r>
                    <w:rPr>
                      <w:rFonts w:hint="eastAsia"/>
                      <w:sz w:val="21"/>
                      <w:szCs w:val="21"/>
                    </w:rPr>
                    <w:t>（</w:t>
                  </w:r>
                  <w:r>
                    <w:rPr>
                      <w:rFonts w:hint="default"/>
                      <w:sz w:val="21"/>
                      <w:szCs w:val="21"/>
                    </w:rPr>
                    <w:t>八</w:t>
                  </w:r>
                  <w:r>
                    <w:rPr>
                      <w:rFonts w:hint="eastAsia"/>
                      <w:sz w:val="21"/>
                      <w:szCs w:val="21"/>
                    </w:rPr>
                    <w:t>）</w:t>
                  </w:r>
                  <w:r>
                    <w:rPr>
                      <w:rFonts w:hint="default"/>
                      <w:sz w:val="21"/>
                      <w:szCs w:val="21"/>
                    </w:rPr>
                    <w:t>其他破坏湿地及其生态功能的活动。</w:t>
                  </w:r>
                </w:p>
              </w:tc>
              <w:tc>
                <w:tcPr>
                  <w:tcW w:w="1359" w:type="pct"/>
                  <w:vAlign w:val="center"/>
                </w:tcPr>
                <w:p w14:paraId="7B6FD8ED">
                  <w:pPr>
                    <w:pStyle w:val="1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w:t>
                  </w:r>
                  <w:r>
                    <w:rPr>
                      <w:rFonts w:hint="default"/>
                      <w:sz w:val="21"/>
                      <w:szCs w:val="21"/>
                    </w:rPr>
                    <w:t>项目</w:t>
                  </w:r>
                  <w:r>
                    <w:rPr>
                      <w:rFonts w:hint="eastAsia"/>
                      <w:sz w:val="21"/>
                      <w:szCs w:val="21"/>
                    </w:rPr>
                    <w:t>选址地范围内不涉及国家湿地公园</w:t>
                  </w:r>
                </w:p>
              </w:tc>
              <w:tc>
                <w:tcPr>
                  <w:tcW w:w="462" w:type="pct"/>
                  <w:vAlign w:val="center"/>
                </w:tcPr>
                <w:p w14:paraId="0CFDE919">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4AE8B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1C4724AA">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9</w:t>
                  </w:r>
                </w:p>
              </w:tc>
              <w:tc>
                <w:tcPr>
                  <w:tcW w:w="2763" w:type="pct"/>
                  <w:vAlign w:val="center"/>
                </w:tcPr>
                <w:p w14:paraId="6409669B">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一条：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填湖造地、围湖造田及非法围垦河道，禁止非法建设矮围网围、填埋湿地等侵占河湖水域或者违法利用、占用河湖岸线的行为。</w:t>
                  </w:r>
                </w:p>
              </w:tc>
              <w:tc>
                <w:tcPr>
                  <w:tcW w:w="1359" w:type="pct"/>
                  <w:vAlign w:val="center"/>
                </w:tcPr>
                <w:p w14:paraId="196F4BDF">
                  <w:pPr>
                    <w:pStyle w:val="1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w:t>
                  </w:r>
                  <w:r>
                    <w:rPr>
                      <w:rFonts w:hint="default"/>
                      <w:sz w:val="21"/>
                      <w:szCs w:val="21"/>
                    </w:rPr>
                    <w:t>项目</w:t>
                  </w:r>
                  <w:r>
                    <w:rPr>
                      <w:rFonts w:hint="eastAsia"/>
                      <w:sz w:val="21"/>
                      <w:szCs w:val="21"/>
                    </w:rPr>
                    <w:t>选址地范围内不涉及《长江岸线保护和开发利用总体规划》划定的岸线保护区和保留区</w:t>
                  </w:r>
                </w:p>
              </w:tc>
              <w:tc>
                <w:tcPr>
                  <w:tcW w:w="462" w:type="pct"/>
                  <w:vAlign w:val="center"/>
                </w:tcPr>
                <w:p w14:paraId="00EF0D20">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27105B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7BCDE999">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10</w:t>
                  </w:r>
                </w:p>
              </w:tc>
              <w:tc>
                <w:tcPr>
                  <w:tcW w:w="2763" w:type="pct"/>
                  <w:vAlign w:val="center"/>
                </w:tcPr>
                <w:p w14:paraId="45864F86">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第十二条：禁止在《全国重要江河湖泊水功能区划》划定的河段及湖泊保护区、保留区内投资建设不利于水资源及自然生态保护的项目。</w:t>
                  </w:r>
                </w:p>
              </w:tc>
              <w:tc>
                <w:tcPr>
                  <w:tcW w:w="1359" w:type="pct"/>
                  <w:vAlign w:val="center"/>
                </w:tcPr>
                <w:p w14:paraId="6EA63D8E">
                  <w:pPr>
                    <w:pStyle w:val="1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w:t>
                  </w:r>
                  <w:r>
                    <w:rPr>
                      <w:rFonts w:hint="default"/>
                      <w:sz w:val="21"/>
                      <w:szCs w:val="21"/>
                    </w:rPr>
                    <w:t>项目</w:t>
                  </w:r>
                  <w:r>
                    <w:rPr>
                      <w:rFonts w:hint="eastAsia"/>
                      <w:sz w:val="21"/>
                      <w:szCs w:val="21"/>
                    </w:rPr>
                    <w:t>选址地不涉及《全国重要江河湖泊水功能区划》划定的河段及湖泊保护区、保留区</w:t>
                  </w:r>
                </w:p>
              </w:tc>
              <w:tc>
                <w:tcPr>
                  <w:tcW w:w="462" w:type="pct"/>
                  <w:vAlign w:val="center"/>
                </w:tcPr>
                <w:p w14:paraId="605DCA8E">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10D9CA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35A2A12E">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11</w:t>
                  </w:r>
                </w:p>
              </w:tc>
              <w:tc>
                <w:tcPr>
                  <w:tcW w:w="2763" w:type="pct"/>
                  <w:vAlign w:val="center"/>
                </w:tcPr>
                <w:p w14:paraId="7CE0540A">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第十三条：禁止未经许可在长江干支流及湖泊新设、改设或扩大排污口。</w:t>
                  </w:r>
                </w:p>
              </w:tc>
              <w:tc>
                <w:tcPr>
                  <w:tcW w:w="1359" w:type="pct"/>
                  <w:vAlign w:val="center"/>
                </w:tcPr>
                <w:p w14:paraId="77DB8ED8">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ind w:left="0" w:leftChars="0" w:right="0" w:rightChars="0" w:firstLine="420" w:firstLineChars="200"/>
                    <w:jc w:val="both"/>
                    <w:textAlignment w:val="auto"/>
                    <w:rPr>
                      <w:rFonts w:hint="default"/>
                      <w:szCs w:val="21"/>
                    </w:rPr>
                  </w:pPr>
                  <w:r>
                    <w:rPr>
                      <w:rFonts w:hint="eastAsia"/>
                      <w:szCs w:val="21"/>
                      <w:lang w:val="en-US" w:eastAsia="zh-CN"/>
                    </w:rPr>
                    <w:t>本</w:t>
                  </w:r>
                  <w:r>
                    <w:rPr>
                      <w:rFonts w:hint="default"/>
                      <w:szCs w:val="21"/>
                    </w:rPr>
                    <w:t>项目不涉及</w:t>
                  </w:r>
                  <w:r>
                    <w:rPr>
                      <w:rFonts w:hint="eastAsia"/>
                      <w:szCs w:val="21"/>
                    </w:rPr>
                    <w:t>新设、改设或扩大污水排放口</w:t>
                  </w:r>
                </w:p>
              </w:tc>
              <w:tc>
                <w:tcPr>
                  <w:tcW w:w="462" w:type="pct"/>
                  <w:vAlign w:val="center"/>
                </w:tcPr>
                <w:p w14:paraId="78750F91">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7899A3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216FBE7B">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12</w:t>
                  </w:r>
                </w:p>
              </w:tc>
              <w:tc>
                <w:tcPr>
                  <w:tcW w:w="2763" w:type="pct"/>
                  <w:vAlign w:val="center"/>
                </w:tcPr>
                <w:p w14:paraId="54947200">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第十四条：禁止在洞庭湖、湘江、资江、沅江、潭水干流和45个水生生物保护区开展生产性捕捞。在相关自然保护区域和禁猎</w:t>
                  </w:r>
                  <w:r>
                    <w:rPr>
                      <w:rFonts w:hint="eastAsia"/>
                      <w:sz w:val="21"/>
                      <w:szCs w:val="21"/>
                    </w:rPr>
                    <w:t>（</w:t>
                  </w:r>
                  <w:r>
                    <w:rPr>
                      <w:rFonts w:hint="default"/>
                      <w:sz w:val="21"/>
                      <w:szCs w:val="21"/>
                    </w:rPr>
                    <w:t>渔</w:t>
                  </w:r>
                  <w:r>
                    <w:rPr>
                      <w:rFonts w:hint="eastAsia"/>
                      <w:sz w:val="21"/>
                      <w:szCs w:val="21"/>
                    </w:rPr>
                    <w:t>）</w:t>
                  </w:r>
                  <w:r>
                    <w:rPr>
                      <w:rFonts w:hint="default"/>
                      <w:sz w:val="21"/>
                      <w:szCs w:val="21"/>
                    </w:rPr>
                    <w:t>区、禁猎</w:t>
                  </w:r>
                  <w:r>
                    <w:rPr>
                      <w:rFonts w:hint="eastAsia"/>
                      <w:sz w:val="21"/>
                      <w:szCs w:val="21"/>
                    </w:rPr>
                    <w:t>（</w:t>
                  </w:r>
                  <w:r>
                    <w:rPr>
                      <w:rFonts w:hint="default"/>
                      <w:sz w:val="21"/>
                      <w:szCs w:val="21"/>
                    </w:rPr>
                    <w:t>渔</w:t>
                  </w:r>
                  <w:r>
                    <w:rPr>
                      <w:rFonts w:hint="eastAsia"/>
                      <w:sz w:val="21"/>
                      <w:szCs w:val="21"/>
                    </w:rPr>
                    <w:t>）</w:t>
                  </w:r>
                  <w:r>
                    <w:rPr>
                      <w:rFonts w:hint="default"/>
                      <w:sz w:val="21"/>
                      <w:szCs w:val="21"/>
                    </w:rPr>
                    <w:t>期内，禁止猎捕以及其他妨碍野生动物生息繁衍的活动，但法律法规另有规定的除外。</w:t>
                  </w:r>
                </w:p>
              </w:tc>
              <w:tc>
                <w:tcPr>
                  <w:tcW w:w="1359" w:type="pct"/>
                  <w:vAlign w:val="center"/>
                </w:tcPr>
                <w:p w14:paraId="44250891">
                  <w:pPr>
                    <w:pStyle w:val="1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420" w:firstLineChars="200"/>
                    <w:jc w:val="both"/>
                    <w:textAlignment w:val="auto"/>
                    <w:rPr>
                      <w:rFonts w:hint="default"/>
                      <w:sz w:val="24"/>
                      <w:szCs w:val="24"/>
                    </w:rPr>
                  </w:pPr>
                  <w:r>
                    <w:rPr>
                      <w:rFonts w:hint="eastAsia"/>
                      <w:sz w:val="21"/>
                      <w:szCs w:val="21"/>
                      <w:lang w:val="en-US" w:eastAsia="zh-CN"/>
                    </w:rPr>
                    <w:t>本</w:t>
                  </w:r>
                  <w:r>
                    <w:rPr>
                      <w:rFonts w:hint="default"/>
                      <w:sz w:val="21"/>
                      <w:szCs w:val="21"/>
                    </w:rPr>
                    <w:t>项目不涉及</w:t>
                  </w:r>
                  <w:r>
                    <w:rPr>
                      <w:rFonts w:hint="eastAsia"/>
                      <w:sz w:val="21"/>
                      <w:szCs w:val="21"/>
                    </w:rPr>
                    <w:t>捕捞行为活动</w:t>
                  </w:r>
                </w:p>
              </w:tc>
              <w:tc>
                <w:tcPr>
                  <w:tcW w:w="462" w:type="pct"/>
                  <w:vAlign w:val="center"/>
                </w:tcPr>
                <w:p w14:paraId="0D0F3744">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028B69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6FCCB324">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13</w:t>
                  </w:r>
                </w:p>
              </w:tc>
              <w:tc>
                <w:tcPr>
                  <w:tcW w:w="2763" w:type="pct"/>
                  <w:vAlign w:val="center"/>
                </w:tcPr>
                <w:p w14:paraId="4F4FEA5B">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五条：禁止在长江湖南段和洞庭湖、湘江、资江、沅江、澧水干流岸线一公里范围内新建、扩建化工园区和化工项目。禁止在长江湖南段岸线三公里范围内和湘江、资江、沅江、澧水岸线一公里范围内新建、改建、扩建尾矿库、冶炼渣库和磷石膏库，以提升安全、生态环境保护水平为目的的改建除外。</w:t>
                  </w:r>
                </w:p>
              </w:tc>
              <w:tc>
                <w:tcPr>
                  <w:tcW w:w="1359" w:type="pct"/>
                  <w:vAlign w:val="center"/>
                </w:tcPr>
                <w:p w14:paraId="3012F26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w:t>
                  </w:r>
                  <w:r>
                    <w:rPr>
                      <w:rFonts w:hint="eastAsia"/>
                      <w:sz w:val="21"/>
                      <w:szCs w:val="21"/>
                    </w:rPr>
                    <w:t>项目建设内容不属于</w:t>
                  </w:r>
                  <w:r>
                    <w:rPr>
                      <w:rFonts w:hint="default"/>
                      <w:sz w:val="21"/>
                      <w:szCs w:val="21"/>
                    </w:rPr>
                    <w:t>尾矿库、</w:t>
                  </w:r>
                  <w:r>
                    <w:rPr>
                      <w:rFonts w:hint="eastAsia"/>
                      <w:sz w:val="21"/>
                      <w:szCs w:val="21"/>
                    </w:rPr>
                    <w:t>冶炼</w:t>
                  </w:r>
                  <w:r>
                    <w:rPr>
                      <w:rFonts w:hint="default"/>
                      <w:sz w:val="21"/>
                      <w:szCs w:val="21"/>
                    </w:rPr>
                    <w:t>渣库和磷石膏库</w:t>
                  </w:r>
                  <w:r>
                    <w:rPr>
                      <w:rFonts w:hint="eastAsia"/>
                      <w:sz w:val="21"/>
                      <w:szCs w:val="21"/>
                    </w:rPr>
                    <w:t>等项目</w:t>
                  </w:r>
                </w:p>
              </w:tc>
              <w:tc>
                <w:tcPr>
                  <w:tcW w:w="462" w:type="pct"/>
                  <w:vAlign w:val="center"/>
                </w:tcPr>
                <w:p w14:paraId="684E05E0">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341D1D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71C2E3AA">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14</w:t>
                  </w:r>
                </w:p>
              </w:tc>
              <w:tc>
                <w:tcPr>
                  <w:tcW w:w="2763" w:type="pct"/>
                  <w:vAlign w:val="center"/>
                </w:tcPr>
                <w:p w14:paraId="4849DA9E">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第十六条：禁止在合规园区外新建、扩建钢铁、石化、化工、焦化、建材、有色、制浆造纸等高污染项目。高污染项目严格按照生态环境部《环境保护综合名录（2021年版）》有关要求执行。</w:t>
                  </w:r>
                </w:p>
              </w:tc>
              <w:tc>
                <w:tcPr>
                  <w:tcW w:w="1359" w:type="pct"/>
                  <w:vAlign w:val="center"/>
                </w:tcPr>
                <w:p w14:paraId="19B9B498">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default"/>
                      <w:sz w:val="21"/>
                      <w:szCs w:val="21"/>
                    </w:rPr>
                    <w:t>本项目</w:t>
                  </w:r>
                  <w:r>
                    <w:rPr>
                      <w:rFonts w:hint="eastAsia"/>
                      <w:sz w:val="21"/>
                      <w:szCs w:val="21"/>
                      <w:lang w:val="en-US" w:eastAsia="zh-CN"/>
                    </w:rPr>
                    <w:t>在湖南童记三利和食品有限公司现有厂房内扩建生产线和改造锅炉，</w:t>
                  </w:r>
                  <w:r>
                    <w:rPr>
                      <w:rFonts w:hint="default"/>
                      <w:sz w:val="21"/>
                      <w:szCs w:val="21"/>
                    </w:rPr>
                    <w:t>不属于园区外新建、扩建钢铁、石化、化工、焦化、建材、有色等高污染项目。</w:t>
                  </w:r>
                </w:p>
              </w:tc>
              <w:tc>
                <w:tcPr>
                  <w:tcW w:w="462" w:type="pct"/>
                  <w:vAlign w:val="center"/>
                </w:tcPr>
                <w:p w14:paraId="1D71BBF5">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4EF839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vAlign w:val="center"/>
                </w:tcPr>
                <w:p w14:paraId="29372AA9">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15</w:t>
                  </w:r>
                </w:p>
              </w:tc>
              <w:tc>
                <w:tcPr>
                  <w:tcW w:w="2763" w:type="pct"/>
                  <w:vAlign w:val="center"/>
                </w:tcPr>
                <w:p w14:paraId="1F803254">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第十七条：禁止新建、扩建不符合国家石化、现代煤化工等产业布局规划的项目。未通过认定的化工园区，不得新建、改扩建化工项目（安全、环保、节能和智能化改造项目除外）。</w:t>
                  </w:r>
                </w:p>
              </w:tc>
              <w:tc>
                <w:tcPr>
                  <w:tcW w:w="1359" w:type="pct"/>
                  <w:vAlign w:val="center"/>
                </w:tcPr>
                <w:p w14:paraId="4121D259">
                  <w:pPr>
                    <w:pStyle w:val="1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420" w:firstLineChars="200"/>
                    <w:jc w:val="both"/>
                    <w:textAlignment w:val="auto"/>
                    <w:rPr>
                      <w:rFonts w:hint="default"/>
                      <w:b/>
                      <w:bCs/>
                      <w:sz w:val="21"/>
                      <w:szCs w:val="21"/>
                      <w:lang w:val="en-US"/>
                    </w:rPr>
                  </w:pPr>
                  <w:r>
                    <w:rPr>
                      <w:rFonts w:hint="eastAsia"/>
                      <w:sz w:val="21"/>
                      <w:szCs w:val="21"/>
                      <w:lang w:val="en-US" w:eastAsia="zh-CN"/>
                    </w:rPr>
                    <w:t>本项目为农副产品加工业</w:t>
                  </w:r>
                  <w:r>
                    <w:rPr>
                      <w:rFonts w:hint="default"/>
                      <w:sz w:val="21"/>
                      <w:szCs w:val="21"/>
                    </w:rPr>
                    <w:t>，</w:t>
                  </w:r>
                  <w:r>
                    <w:rPr>
                      <w:rFonts w:hint="eastAsia"/>
                      <w:sz w:val="21"/>
                      <w:szCs w:val="21"/>
                      <w:lang w:val="en-US" w:eastAsia="zh-CN"/>
                    </w:rPr>
                    <w:t>配套建设一台4t/h燃生物质蒸汽锅炉，且本项目位于湖南岳阳君山产业开发区荆江门片区，为合规工业园区</w:t>
                  </w:r>
                </w:p>
              </w:tc>
              <w:tc>
                <w:tcPr>
                  <w:tcW w:w="462" w:type="pct"/>
                  <w:vAlign w:val="center"/>
                </w:tcPr>
                <w:p w14:paraId="5C047B1B">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r w14:paraId="2BD257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4" w:type="pct"/>
                  <w:vAlign w:val="center"/>
                </w:tcPr>
                <w:p w14:paraId="57983B4A">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sz w:val="21"/>
                      <w:szCs w:val="21"/>
                    </w:rPr>
                  </w:pPr>
                  <w:r>
                    <w:rPr>
                      <w:rFonts w:hint="default"/>
                      <w:sz w:val="21"/>
                      <w:szCs w:val="21"/>
                    </w:rPr>
                    <w:t>16</w:t>
                  </w:r>
                </w:p>
              </w:tc>
              <w:tc>
                <w:tcPr>
                  <w:tcW w:w="2763" w:type="pct"/>
                  <w:vAlign w:val="center"/>
                </w:tcPr>
                <w:p w14:paraId="2955F64C">
                  <w:pPr>
                    <w:pStyle w:val="11"/>
                    <w:keepNext w:val="0"/>
                    <w:keepLines w:val="0"/>
                    <w:suppressLineNumbers w:val="0"/>
                    <w:spacing w:before="0" w:beforeAutospacing="0" w:after="0" w:afterAutospacing="0" w:line="240" w:lineRule="auto"/>
                    <w:ind w:left="0" w:leftChars="0" w:right="0" w:rightChars="0" w:firstLine="0" w:firstLineChars="0"/>
                    <w:jc w:val="both"/>
                    <w:rPr>
                      <w:rFonts w:hint="default"/>
                      <w:sz w:val="21"/>
                      <w:szCs w:val="21"/>
                    </w:rPr>
                  </w:pPr>
                  <w:r>
                    <w:rPr>
                      <w:rFonts w:hint="default"/>
                      <w:sz w:val="21"/>
                      <w:szCs w:val="21"/>
                    </w:rPr>
                    <w:t>第十八条 禁止新建、扩建法律法规和相关政策明令禁止的落后产能项目；对不符合要求的落后产能存量项目依法依规退出。禁止新建、扩建不符合国家产能置换要求的严重过剩产能行业（钢铁、水泥、电解铝、平板玻璃、船舶等行业）的项目。对确有必要新建、扩建的，必须严格执行产能置换实施办法，实施减量或等量置换，依法依规办理有关手续。禁止新建、扩建不符合要求的高耗能高排放项目。</w:t>
                  </w:r>
                </w:p>
              </w:tc>
              <w:tc>
                <w:tcPr>
                  <w:tcW w:w="1359" w:type="pct"/>
                  <w:vAlign w:val="center"/>
                </w:tcPr>
                <w:p w14:paraId="3621FCC8">
                  <w:pPr>
                    <w:pStyle w:val="11"/>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firstLine="420" w:firstLineChars="200"/>
                    <w:jc w:val="both"/>
                    <w:textAlignment w:val="auto"/>
                    <w:rPr>
                      <w:rFonts w:hint="default"/>
                      <w:sz w:val="21"/>
                      <w:szCs w:val="21"/>
                    </w:rPr>
                  </w:pPr>
                  <w:r>
                    <w:rPr>
                      <w:rFonts w:hint="eastAsia"/>
                      <w:sz w:val="21"/>
                      <w:szCs w:val="21"/>
                      <w:lang w:val="en-US" w:eastAsia="zh-CN"/>
                    </w:rPr>
                    <w:t>本项目</w:t>
                  </w:r>
                  <w:r>
                    <w:rPr>
                      <w:rFonts w:hint="default"/>
                      <w:sz w:val="21"/>
                      <w:szCs w:val="21"/>
                    </w:rPr>
                    <w:t>不涉及产业区限制和禁止发展产业，不涉及国家明令淘汰和禁止发展的落后产能、产能过剩、环境污染严重、不符合产业政策的高能耗高排放项目。</w:t>
                  </w:r>
                </w:p>
              </w:tc>
              <w:tc>
                <w:tcPr>
                  <w:tcW w:w="462" w:type="pct"/>
                  <w:vAlign w:val="center"/>
                </w:tcPr>
                <w:p w14:paraId="02C0A4B7">
                  <w:pPr>
                    <w:pStyle w:val="43"/>
                    <w:keepNext w:val="0"/>
                    <w:keepLines w:val="0"/>
                    <w:suppressLineNumbers w:val="0"/>
                    <w:spacing w:before="0" w:beforeAutospacing="0" w:after="0" w:afterAutospacing="0"/>
                    <w:ind w:left="0" w:leftChars="0" w:right="0" w:rightChars="0" w:firstLine="0" w:firstLineChars="0"/>
                    <w:jc w:val="center"/>
                    <w:rPr>
                      <w:rFonts w:hint="default"/>
                      <w:sz w:val="21"/>
                      <w:szCs w:val="21"/>
                    </w:rPr>
                  </w:pPr>
                  <w:r>
                    <w:rPr>
                      <w:rFonts w:hint="default"/>
                      <w:sz w:val="21"/>
                      <w:szCs w:val="21"/>
                    </w:rPr>
                    <w:t>符合</w:t>
                  </w:r>
                </w:p>
              </w:tc>
            </w:tr>
          </w:tbl>
          <w:p w14:paraId="3EDC679D">
            <w:pPr>
              <w:keepNext w:val="0"/>
              <w:keepLines w:val="0"/>
              <w:suppressLineNumbers w:val="0"/>
              <w:autoSpaceDE w:val="0"/>
              <w:autoSpaceDN w:val="0"/>
              <w:spacing w:before="157" w:beforeLines="50" w:beforeAutospacing="0" w:after="0" w:afterAutospacing="0" w:line="360" w:lineRule="auto"/>
              <w:ind w:left="0" w:right="0" w:firstLine="480" w:firstLineChars="200"/>
              <w:rPr>
                <w:rFonts w:hint="default"/>
              </w:rPr>
            </w:pPr>
            <w:r>
              <w:rPr>
                <w:rFonts w:hint="default"/>
                <w:kern w:val="0"/>
                <w:sz w:val="24"/>
                <w:szCs w:val="32"/>
              </w:rPr>
              <w:t>根据上表分析内容可知，</w:t>
            </w:r>
            <w:r>
              <w:rPr>
                <w:rFonts w:hint="eastAsia"/>
                <w:kern w:val="0"/>
                <w:sz w:val="24"/>
                <w:szCs w:val="32"/>
                <w:lang w:val="en-US" w:eastAsia="zh-CN"/>
              </w:rPr>
              <w:t>本</w:t>
            </w:r>
            <w:r>
              <w:rPr>
                <w:rFonts w:hint="default"/>
                <w:kern w:val="0"/>
                <w:sz w:val="24"/>
                <w:szCs w:val="32"/>
              </w:rPr>
              <w:t>项目的建设符合《湖南省长江经济带发展负面清单实施细则（试行，2022年版）》的要求。</w:t>
            </w:r>
          </w:p>
          <w:p w14:paraId="089E7BF3">
            <w:pPr>
              <w:keepNext w:val="0"/>
              <w:keepLines w:val="0"/>
              <w:suppressLineNumbers w:val="0"/>
              <w:spacing w:before="0" w:beforeAutospacing="0" w:after="0" w:afterAutospacing="0" w:line="360" w:lineRule="auto"/>
              <w:ind w:left="0" w:right="0" w:firstLine="482" w:firstLineChars="200"/>
              <w:rPr>
                <w:rFonts w:hint="default"/>
                <w:b/>
                <w:bCs/>
                <w:sz w:val="24"/>
                <w:lang w:val="en-US" w:eastAsia="zh-CN"/>
              </w:rPr>
            </w:pPr>
            <w:r>
              <w:rPr>
                <w:rFonts w:hint="eastAsia"/>
                <w:b/>
                <w:bCs/>
                <w:sz w:val="24"/>
                <w:lang w:val="en-US" w:eastAsia="zh-CN"/>
              </w:rPr>
              <w:t>是否属于“两高”项目</w:t>
            </w:r>
          </w:p>
          <w:p w14:paraId="21D754C9">
            <w:pPr>
              <w:keepNext w:val="0"/>
              <w:keepLines w:val="0"/>
              <w:suppressLineNumbers w:val="0"/>
              <w:spacing w:before="0" w:beforeAutospacing="0" w:after="0" w:afterAutospacing="0" w:line="360" w:lineRule="auto"/>
              <w:ind w:left="0" w:right="0" w:firstLine="480" w:firstLineChars="200"/>
              <w:rPr>
                <w:rFonts w:hint="default"/>
                <w:kern w:val="0"/>
                <w:sz w:val="24"/>
              </w:rPr>
            </w:pPr>
            <w:r>
              <w:rPr>
                <w:rFonts w:hint="default"/>
                <w:kern w:val="0"/>
                <w:sz w:val="24"/>
              </w:rPr>
              <w:t>根据湖南省发改委《关于印发</w:t>
            </w:r>
            <w:r>
              <w:rPr>
                <w:rFonts w:hint="eastAsia"/>
                <w:kern w:val="0"/>
                <w:sz w:val="24"/>
              </w:rPr>
              <w:t>〈</w:t>
            </w:r>
            <w:r>
              <w:rPr>
                <w:rFonts w:hint="default"/>
                <w:kern w:val="0"/>
                <w:sz w:val="24"/>
              </w:rPr>
              <w:t>湖南省“两高”项目管理目录</w:t>
            </w:r>
            <w:r>
              <w:rPr>
                <w:rFonts w:hint="eastAsia"/>
                <w:kern w:val="0"/>
                <w:sz w:val="24"/>
              </w:rPr>
              <w:t>〉</w:t>
            </w:r>
            <w:r>
              <w:rPr>
                <w:rFonts w:hint="default"/>
                <w:kern w:val="0"/>
                <w:sz w:val="24"/>
              </w:rPr>
              <w:t>的通知》</w:t>
            </w:r>
            <w:r>
              <w:rPr>
                <w:rFonts w:hint="eastAsia"/>
                <w:kern w:val="0"/>
                <w:sz w:val="24"/>
              </w:rPr>
              <w:t>（</w:t>
            </w:r>
            <w:r>
              <w:rPr>
                <w:rFonts w:hint="default"/>
                <w:kern w:val="0"/>
                <w:sz w:val="24"/>
              </w:rPr>
              <w:t>湘发改环资 [2021] 968号</w:t>
            </w:r>
            <w:r>
              <w:rPr>
                <w:rFonts w:hint="eastAsia"/>
                <w:kern w:val="0"/>
                <w:sz w:val="24"/>
              </w:rPr>
              <w:t>）</w:t>
            </w:r>
            <w:r>
              <w:rPr>
                <w:rFonts w:hint="default"/>
                <w:kern w:val="0"/>
                <w:sz w:val="24"/>
              </w:rPr>
              <w:t>，湖南省“两高”项目包括石化、化工、煤化工、焦化等行业，其中石化行业中的原油加工及石油制品制造（2511）；化工行业的无机酸制造（2611）、无机碱制造（2612）、无机盐制造（2613）行业（涉及的主要产品及工序为：烧碱、纯碱、工业硫酸、黄磷、合成氨、尿素、磷铵、电石、聚氯乙烯、聚丙烯、精对苯二甲酸、对二甲苯、苯乙烯、乙酸乙烯酯、二苯基甲烷二异氰酸酯、1,4-丁二醇）；煤化工行业的煤制合成气生产（2522）、煤制液体燃料生产（2523）等属于“两高”项目，同时涉煤及煤制品、石油焦、渣油、重油等高污染物燃料使用的工业炉窑、锅炉项目也属于“两高”项目。本项目为</w:t>
            </w:r>
            <w:r>
              <w:rPr>
                <w:rFonts w:hint="eastAsia"/>
                <w:kern w:val="0"/>
                <w:sz w:val="24"/>
                <w:lang w:val="en-US" w:eastAsia="zh-CN"/>
              </w:rPr>
              <w:t>农副产品加工业</w:t>
            </w:r>
            <w:r>
              <w:rPr>
                <w:rFonts w:hint="default"/>
                <w:kern w:val="0"/>
                <w:sz w:val="24"/>
              </w:rPr>
              <w:t>，</w:t>
            </w:r>
            <w:r>
              <w:rPr>
                <w:rFonts w:hint="eastAsia"/>
                <w:kern w:val="0"/>
                <w:sz w:val="24"/>
                <w:lang w:val="en-US" w:eastAsia="zh-CN"/>
              </w:rPr>
              <w:t>且本项目配套建设一台4t/h燃生物质蒸汽锅炉替代原有燃生物质导热油锅炉</w:t>
            </w:r>
            <w:r>
              <w:rPr>
                <w:rFonts w:hint="default"/>
                <w:kern w:val="0"/>
                <w:sz w:val="24"/>
              </w:rPr>
              <w:t>，</w:t>
            </w:r>
            <w:r>
              <w:rPr>
                <w:rFonts w:hint="eastAsia"/>
                <w:kern w:val="0"/>
                <w:sz w:val="24"/>
                <w:lang w:val="en-US" w:eastAsia="zh-CN"/>
              </w:rPr>
              <w:t>本项目不使用煤及煤制品、石油焦、渣油、重油等高污染物燃料</w:t>
            </w:r>
            <w:r>
              <w:rPr>
                <w:rFonts w:hint="default"/>
                <w:kern w:val="0"/>
                <w:sz w:val="24"/>
              </w:rPr>
              <w:t>，因此根据《关于印发</w:t>
            </w:r>
            <w:r>
              <w:rPr>
                <w:rFonts w:hint="eastAsia"/>
                <w:kern w:val="0"/>
                <w:sz w:val="24"/>
              </w:rPr>
              <w:t>〈</w:t>
            </w:r>
            <w:r>
              <w:rPr>
                <w:rFonts w:hint="default"/>
                <w:kern w:val="0"/>
                <w:sz w:val="24"/>
              </w:rPr>
              <w:t>湖南省“两高”项目管理目录</w:t>
            </w:r>
            <w:r>
              <w:rPr>
                <w:rFonts w:hint="eastAsia"/>
                <w:kern w:val="0"/>
                <w:sz w:val="24"/>
              </w:rPr>
              <w:t>〉</w:t>
            </w:r>
            <w:r>
              <w:rPr>
                <w:rFonts w:hint="default"/>
                <w:kern w:val="0"/>
                <w:sz w:val="24"/>
              </w:rPr>
              <w:t>的通知》（湘发改环资 [2021] 968号），本项目不属于“两高”项目。</w:t>
            </w:r>
          </w:p>
          <w:p w14:paraId="1F9ED4AB">
            <w:pPr>
              <w:keepNext w:val="0"/>
              <w:keepLines w:val="0"/>
              <w:suppressLineNumbers w:val="0"/>
              <w:spacing w:before="0" w:beforeAutospacing="0" w:after="0" w:afterAutospacing="0" w:line="360" w:lineRule="auto"/>
              <w:ind w:left="0" w:right="0" w:firstLine="482" w:firstLineChars="200"/>
              <w:rPr>
                <w:rFonts w:hint="eastAsia"/>
                <w:b/>
                <w:bCs/>
                <w:kern w:val="0"/>
                <w:sz w:val="24"/>
                <w:u w:val="single"/>
                <w:lang w:val="en-US" w:eastAsia="zh-CN"/>
              </w:rPr>
            </w:pPr>
            <w:r>
              <w:rPr>
                <w:rFonts w:hint="eastAsia"/>
                <w:b/>
                <w:bCs/>
                <w:kern w:val="0"/>
                <w:sz w:val="24"/>
                <w:u w:val="single"/>
                <w:lang w:val="en-US" w:eastAsia="zh-CN"/>
              </w:rPr>
              <w:t>选址符合性分析</w:t>
            </w:r>
          </w:p>
          <w:p w14:paraId="58C2C21E">
            <w:pPr>
              <w:keepNext w:val="0"/>
              <w:keepLines w:val="0"/>
              <w:suppressLineNumbers w:val="0"/>
              <w:spacing w:before="0" w:beforeAutospacing="0" w:after="0" w:afterAutospacing="0" w:line="360" w:lineRule="auto"/>
              <w:ind w:left="0" w:right="0" w:firstLine="480" w:firstLineChars="200"/>
              <w:rPr>
                <w:rFonts w:hint="default"/>
                <w:b w:val="0"/>
                <w:bCs w:val="0"/>
                <w:kern w:val="0"/>
                <w:sz w:val="24"/>
                <w:u w:val="single"/>
                <w:lang w:val="en-US" w:eastAsia="zh-CN"/>
              </w:rPr>
            </w:pPr>
            <w:r>
              <w:rPr>
                <w:rFonts w:hint="eastAsia"/>
                <w:b w:val="0"/>
                <w:bCs w:val="0"/>
                <w:kern w:val="0"/>
                <w:sz w:val="24"/>
                <w:u w:val="single"/>
                <w:lang w:val="en-US" w:eastAsia="zh-CN"/>
              </w:rPr>
              <w:t>本项目建设地址位于岳阳市君山工业集中区荆江门片区湖南童记三利和食品有限公司厂区内，不新增用地，岳阳市君山工业集中区荆江门片区为合规园区，所用地块用性质为二类工业用地，不占用划定的生态红线区域。项目区域供水、供电及排水设施均已建设完善。距离周边环境敏感目标较远，本项目选址合理。</w:t>
            </w:r>
          </w:p>
          <w:p w14:paraId="603B8C80">
            <w:pPr>
              <w:keepNext w:val="0"/>
              <w:keepLines w:val="0"/>
              <w:suppressLineNumbers w:val="0"/>
              <w:spacing w:before="0" w:beforeAutospacing="0" w:after="0" w:afterAutospacing="0" w:line="360" w:lineRule="auto"/>
              <w:ind w:left="0" w:right="0" w:firstLine="482" w:firstLineChars="200"/>
              <w:rPr>
                <w:rFonts w:hint="eastAsia"/>
                <w:b/>
                <w:bCs/>
                <w:kern w:val="0"/>
                <w:sz w:val="24"/>
                <w:u w:val="single"/>
                <w:lang w:val="en-US" w:eastAsia="zh-CN"/>
              </w:rPr>
            </w:pPr>
            <w:r>
              <w:rPr>
                <w:rFonts w:hint="eastAsia"/>
                <w:b/>
                <w:bCs/>
                <w:kern w:val="0"/>
                <w:sz w:val="24"/>
                <w:u w:val="single"/>
                <w:lang w:val="en-US" w:eastAsia="zh-CN"/>
              </w:rPr>
              <w:t>平面布局合理性分析</w:t>
            </w:r>
          </w:p>
          <w:p w14:paraId="57499DE6">
            <w:pPr>
              <w:keepNext w:val="0"/>
              <w:keepLines w:val="0"/>
              <w:suppressLineNumbers w:val="0"/>
              <w:spacing w:before="0" w:beforeAutospacing="0" w:after="0" w:afterAutospacing="0" w:line="360" w:lineRule="auto"/>
              <w:ind w:left="0" w:right="0" w:firstLine="480" w:firstLineChars="200"/>
              <w:rPr>
                <w:rFonts w:hint="default"/>
                <w:b w:val="0"/>
                <w:bCs w:val="0"/>
                <w:kern w:val="0"/>
                <w:sz w:val="24"/>
                <w:u w:val="single"/>
                <w:lang w:val="en-US" w:eastAsia="zh-CN"/>
              </w:rPr>
            </w:pPr>
            <w:r>
              <w:rPr>
                <w:rFonts w:hint="default"/>
                <w:b w:val="0"/>
                <w:bCs w:val="0"/>
                <w:kern w:val="0"/>
                <w:sz w:val="24"/>
                <w:u w:val="single"/>
                <w:lang w:val="en-US" w:eastAsia="zh-CN"/>
              </w:rPr>
              <w:t>本项目为改扩建项目，肉制品及鹌鹑蛋制品生产线均设置在综合生产车间内，进大门后，厂区</w:t>
            </w:r>
            <w:r>
              <w:rPr>
                <w:rFonts w:hint="eastAsia"/>
                <w:b w:val="0"/>
                <w:bCs w:val="0"/>
                <w:kern w:val="0"/>
                <w:sz w:val="24"/>
                <w:u w:val="single"/>
                <w:lang w:val="en-US" w:eastAsia="zh-CN"/>
              </w:rPr>
              <w:t>东面</w:t>
            </w:r>
            <w:r>
              <w:rPr>
                <w:rFonts w:hint="default"/>
                <w:b w:val="0"/>
                <w:bCs w:val="0"/>
                <w:kern w:val="0"/>
                <w:sz w:val="24"/>
                <w:u w:val="single"/>
                <w:lang w:val="en-US" w:eastAsia="zh-CN"/>
              </w:rPr>
              <w:t>为成品仓库，</w:t>
            </w:r>
            <w:r>
              <w:rPr>
                <w:rFonts w:hint="eastAsia"/>
                <w:b w:val="0"/>
                <w:bCs w:val="0"/>
                <w:kern w:val="0"/>
                <w:sz w:val="24"/>
                <w:u w:val="single"/>
                <w:lang w:val="en-US" w:eastAsia="zh-CN"/>
              </w:rPr>
              <w:t>西面</w:t>
            </w:r>
            <w:r>
              <w:rPr>
                <w:rFonts w:hint="default"/>
                <w:b w:val="0"/>
                <w:bCs w:val="0"/>
                <w:kern w:val="0"/>
                <w:sz w:val="24"/>
                <w:u w:val="single"/>
                <w:lang w:val="en-US" w:eastAsia="zh-CN"/>
              </w:rPr>
              <w:t>为综合生产车间。本项目新增肉制品前端生产线布置在综合生产车间1楼，包括两个新建肉制品冷库；综合生产车间2楼为杀菌及包装车间，辅料及包材仓库也设置在综合车间二楼；新增鹌鹑蛋制品生产线以及拌料及罐装工序均布置在综合生产3楼。锅炉房布置在综合生产车间东北侧，锅炉房</w:t>
            </w:r>
            <w:r>
              <w:rPr>
                <w:rFonts w:hint="eastAsia"/>
                <w:b w:val="0"/>
                <w:bCs w:val="0"/>
                <w:kern w:val="0"/>
                <w:sz w:val="24"/>
                <w:u w:val="single"/>
                <w:lang w:val="en-US" w:eastAsia="zh-CN"/>
              </w:rPr>
              <w:t>建设</w:t>
            </w:r>
            <w:r>
              <w:rPr>
                <w:rFonts w:hint="default"/>
                <w:b w:val="0"/>
                <w:bCs w:val="0"/>
                <w:kern w:val="0"/>
                <w:sz w:val="24"/>
                <w:u w:val="single"/>
                <w:lang w:val="en-US" w:eastAsia="zh-CN"/>
              </w:rPr>
              <w:t>一台</w:t>
            </w:r>
            <w:r>
              <w:rPr>
                <w:rFonts w:hint="eastAsia"/>
                <w:b w:val="0"/>
                <w:bCs w:val="0"/>
                <w:kern w:val="0"/>
                <w:sz w:val="24"/>
                <w:u w:val="single"/>
                <w:lang w:val="en-US" w:eastAsia="zh-CN"/>
              </w:rPr>
              <w:t>燃</w:t>
            </w:r>
            <w:r>
              <w:rPr>
                <w:rFonts w:hint="default"/>
                <w:b w:val="0"/>
                <w:bCs w:val="0"/>
                <w:kern w:val="0"/>
                <w:sz w:val="24"/>
                <w:u w:val="single"/>
                <w:lang w:val="en-US" w:eastAsia="zh-CN"/>
              </w:rPr>
              <w:t>4t/h生物质蒸汽锅炉</w:t>
            </w:r>
            <w:r>
              <w:rPr>
                <w:rFonts w:hint="eastAsia"/>
                <w:b w:val="0"/>
                <w:bCs w:val="0"/>
                <w:kern w:val="0"/>
                <w:sz w:val="24"/>
                <w:u w:val="single"/>
                <w:lang w:val="en-US" w:eastAsia="zh-CN"/>
              </w:rPr>
              <w:t>替代原有燃生物质导热油锅炉</w:t>
            </w:r>
            <w:r>
              <w:rPr>
                <w:rFonts w:hint="default"/>
                <w:b w:val="0"/>
                <w:bCs w:val="0"/>
                <w:kern w:val="0"/>
                <w:sz w:val="24"/>
                <w:u w:val="single"/>
                <w:lang w:val="en-US" w:eastAsia="zh-CN"/>
              </w:rPr>
              <w:t>。</w:t>
            </w:r>
          </w:p>
          <w:p w14:paraId="5AADAFE7">
            <w:pPr>
              <w:keepNext w:val="0"/>
              <w:keepLines w:val="0"/>
              <w:suppressLineNumbers w:val="0"/>
              <w:spacing w:before="0" w:beforeAutospacing="0" w:after="0" w:afterAutospacing="0" w:line="360" w:lineRule="auto"/>
              <w:ind w:left="0" w:right="0" w:firstLine="480" w:firstLineChars="200"/>
              <w:rPr>
                <w:rFonts w:hint="default"/>
                <w:b w:val="0"/>
                <w:bCs w:val="0"/>
                <w:kern w:val="0"/>
                <w:sz w:val="24"/>
                <w:lang w:val="en-US" w:eastAsia="zh-CN"/>
              </w:rPr>
            </w:pPr>
            <w:r>
              <w:rPr>
                <w:rFonts w:hint="default"/>
                <w:b w:val="0"/>
                <w:bCs w:val="0"/>
                <w:kern w:val="0"/>
                <w:sz w:val="24"/>
                <w:u w:val="single"/>
                <w:lang w:val="en-US" w:eastAsia="zh-CN"/>
              </w:rPr>
              <w:t>从厂区内部平面布置来看，厂区内部平面布置考虑了企业生产的特点，总平面布局按生产性质、规模、产品工艺流程、交通运输及防火、防爆、卫生等要求进行，工艺顺畅，各工序衔接紧凑，利于生产活动。厂区内功能分区明确，人流货流通畅短捷。综上所述本项目平面布置可行。</w:t>
            </w:r>
          </w:p>
        </w:tc>
      </w:tr>
    </w:tbl>
    <w:p w14:paraId="4409A55D">
      <w:pPr>
        <w:spacing w:line="360" w:lineRule="auto"/>
        <w:outlineLvl w:val="9"/>
        <w:rPr>
          <w:sz w:val="30"/>
        </w:rPr>
        <w:sectPr>
          <w:footerReference r:id="rId8" w:type="default"/>
          <w:pgSz w:w="11906" w:h="16838"/>
          <w:pgMar w:top="1417" w:right="1417" w:bottom="1417" w:left="1701" w:header="851" w:footer="1077" w:gutter="0"/>
          <w:pgBorders>
            <w:top w:val="none" w:sz="0" w:space="0"/>
            <w:left w:val="none" w:sz="0" w:space="0"/>
            <w:bottom w:val="none" w:sz="0" w:space="0"/>
            <w:right w:val="none" w:sz="0" w:space="0"/>
          </w:pgBorders>
          <w:pgNumType w:start="1"/>
          <w:cols w:space="720" w:num="1"/>
          <w:docGrid w:linePitch="312" w:charSpace="0"/>
        </w:sectPr>
      </w:pPr>
    </w:p>
    <w:p w14:paraId="2BBFA58D">
      <w:pPr>
        <w:pStyle w:val="20"/>
        <w:spacing w:before="0" w:beforeAutospacing="0" w:after="0" w:afterAutospacing="0" w:line="360" w:lineRule="auto"/>
        <w:jc w:val="center"/>
        <w:outlineLvl w:val="0"/>
        <w:rPr>
          <w:rFonts w:ascii="Times New Roman" w:hAnsi="Times New Roman"/>
          <w:snapToGrid w:val="0"/>
          <w:sz w:val="30"/>
          <w:szCs w:val="30"/>
        </w:rPr>
      </w:pPr>
      <w:bookmarkStart w:id="9" w:name="_Toc19055"/>
      <w:bookmarkStart w:id="10" w:name="_Toc25222"/>
      <w:bookmarkStart w:id="11" w:name="_Toc22578"/>
      <w:bookmarkStart w:id="12" w:name="_Toc10339"/>
      <w:bookmarkStart w:id="13" w:name="_Toc25640"/>
      <w:bookmarkStart w:id="14" w:name="_Toc12834"/>
      <w:r>
        <w:rPr>
          <w:rFonts w:ascii="Times New Roman" w:hAnsi="Times New Roman"/>
          <w:b/>
          <w:bCs/>
          <w:snapToGrid w:val="0"/>
          <w:sz w:val="30"/>
          <w:szCs w:val="30"/>
        </w:rPr>
        <w:t>二、建设项目工程分析</w:t>
      </w:r>
      <w:bookmarkEnd w:id="9"/>
      <w:bookmarkEnd w:id="10"/>
      <w:bookmarkEnd w:id="11"/>
      <w:bookmarkEnd w:id="12"/>
      <w:bookmarkEnd w:id="13"/>
      <w:bookmarkEnd w:id="14"/>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548"/>
      </w:tblGrid>
      <w:tr w14:paraId="01F9B1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49" w:hRule="atLeast"/>
          <w:jc w:val="center"/>
        </w:trPr>
        <w:tc>
          <w:tcPr>
            <w:tcW w:w="253" w:type="pct"/>
            <w:vAlign w:val="center"/>
          </w:tcPr>
          <w:p w14:paraId="616A64A2">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szCs w:val="24"/>
              </w:rPr>
            </w:pPr>
            <w:r>
              <w:rPr>
                <w:rFonts w:hint="default" w:ascii="Times New Roman" w:hAnsi="Times New Roman"/>
                <w:szCs w:val="24"/>
              </w:rPr>
              <w:t>建设内容</w:t>
            </w:r>
          </w:p>
        </w:tc>
        <w:tc>
          <w:tcPr>
            <w:tcW w:w="4746" w:type="pct"/>
          </w:tcPr>
          <w:p w14:paraId="4B127817">
            <w:pPr>
              <w:keepNext w:val="0"/>
              <w:keepLines w:val="0"/>
              <w:numPr>
                <w:ilvl w:val="0"/>
                <w:numId w:val="5"/>
              </w:numPr>
              <w:suppressLineNumbers w:val="0"/>
              <w:adjustRightInd w:val="0"/>
              <w:snapToGrid w:val="0"/>
              <w:spacing w:before="0" w:beforeAutospacing="0" w:after="0" w:afterAutospacing="0" w:line="360" w:lineRule="auto"/>
              <w:ind w:left="0" w:right="0"/>
              <w:jc w:val="left"/>
              <w:rPr>
                <w:rFonts w:hint="default"/>
                <w:b/>
                <w:sz w:val="28"/>
                <w:szCs w:val="28"/>
              </w:rPr>
            </w:pPr>
            <w:r>
              <w:rPr>
                <w:rFonts w:hint="default"/>
                <w:b/>
                <w:sz w:val="28"/>
                <w:szCs w:val="28"/>
              </w:rPr>
              <w:t>项目</w:t>
            </w:r>
            <w:r>
              <w:rPr>
                <w:rFonts w:hint="eastAsia"/>
                <w:b/>
                <w:sz w:val="28"/>
                <w:szCs w:val="28"/>
                <w:lang w:val="en-US" w:eastAsia="zh-CN"/>
              </w:rPr>
              <w:t>概况</w:t>
            </w:r>
          </w:p>
          <w:p w14:paraId="471E8420">
            <w:pPr>
              <w:pStyle w:val="22"/>
              <w:keepNext w:val="0"/>
              <w:keepLines w:val="0"/>
              <w:widowControl w:val="0"/>
              <w:suppressLineNumbers w:val="0"/>
              <w:spacing w:before="0" w:beforeAutospacing="0" w:after="0" w:afterAutospacing="0" w:line="360" w:lineRule="auto"/>
              <w:ind w:left="0" w:right="0" w:firstLine="496" w:firstLineChars="200"/>
              <w:rPr>
                <w:rFonts w:hint="eastAsia" w:ascii="Times New Roman" w:hAnsi="Times New Roman" w:eastAsia="宋体"/>
                <w:bCs/>
                <w:spacing w:val="4"/>
                <w:u w:val="single"/>
                <w:lang w:val="en-US" w:eastAsia="zh-CN"/>
              </w:rPr>
            </w:pPr>
            <w:r>
              <w:rPr>
                <w:rFonts w:hint="default" w:ascii="Times New Roman" w:hAnsi="Times New Roman"/>
                <w:bCs/>
                <w:spacing w:val="4"/>
                <w:u w:val="single"/>
              </w:rPr>
              <w:t>湖南童记三利和食品有限公司是一家从事鱼制品深加工的企业，拥有湖南省著名商标“童记三利和”，为湖南省农业产业化龙头企业、岳阳市“富民强市”模范单位。</w:t>
            </w:r>
            <w:r>
              <w:rPr>
                <w:rFonts w:hint="eastAsia" w:ascii="Times New Roman" w:hAnsi="Times New Roman"/>
                <w:bCs/>
                <w:spacing w:val="4"/>
                <w:u w:val="single"/>
                <w:lang w:val="en-US" w:eastAsia="zh-CN"/>
              </w:rPr>
              <w:t>2014年</w:t>
            </w:r>
            <w:r>
              <w:rPr>
                <w:rFonts w:hint="eastAsia" w:ascii="Times New Roman" w:hAnsi="Times New Roman"/>
                <w:bCs/>
                <w:spacing w:val="4"/>
                <w:u w:val="single"/>
              </w:rPr>
              <w:t>《年产2万吨特色休闲鱼制品建设项目环境影响评价报告表》</w:t>
            </w:r>
            <w:r>
              <w:rPr>
                <w:rFonts w:hint="eastAsia" w:ascii="Times New Roman" w:hAnsi="Times New Roman"/>
                <w:bCs/>
                <w:spacing w:val="4"/>
                <w:u w:val="single"/>
                <w:lang w:val="en-US" w:eastAsia="zh-CN"/>
              </w:rPr>
              <w:t>得到了原</w:t>
            </w:r>
            <w:r>
              <w:rPr>
                <w:rFonts w:hint="eastAsia" w:ascii="Times New Roman" w:hAnsi="Times New Roman"/>
                <w:bCs/>
                <w:spacing w:val="4"/>
                <w:u w:val="single"/>
              </w:rPr>
              <w:t>岳阳市环境保护局君山分局</w:t>
            </w:r>
            <w:r>
              <w:rPr>
                <w:rFonts w:hint="eastAsia" w:ascii="Times New Roman" w:hAnsi="Times New Roman"/>
                <w:bCs/>
                <w:spacing w:val="4"/>
                <w:u w:val="single"/>
                <w:lang w:eastAsia="zh-CN"/>
              </w:rPr>
              <w:t>的</w:t>
            </w:r>
            <w:r>
              <w:rPr>
                <w:rFonts w:hint="eastAsia" w:ascii="Times New Roman" w:hAnsi="Times New Roman"/>
                <w:bCs/>
                <w:spacing w:val="4"/>
                <w:u w:val="single"/>
              </w:rPr>
              <w:t>批复</w:t>
            </w:r>
            <w:r>
              <w:rPr>
                <w:rFonts w:hint="eastAsia" w:ascii="Times New Roman" w:hAnsi="Times New Roman"/>
                <w:bCs/>
                <w:spacing w:val="4"/>
                <w:u w:val="single"/>
                <w:lang w:eastAsia="zh-CN"/>
              </w:rPr>
              <w:t>，</w:t>
            </w:r>
            <w:r>
              <w:rPr>
                <w:rFonts w:hint="eastAsia" w:ascii="Times New Roman" w:hAnsi="Times New Roman"/>
                <w:bCs/>
                <w:spacing w:val="4"/>
                <w:u w:val="single"/>
                <w:lang w:val="en-US" w:eastAsia="zh-CN"/>
              </w:rPr>
              <w:t>2017年该项目通过了原</w:t>
            </w:r>
            <w:r>
              <w:rPr>
                <w:rFonts w:hint="eastAsia" w:ascii="Times New Roman" w:hAnsi="Times New Roman"/>
                <w:bCs/>
                <w:spacing w:val="4"/>
                <w:u w:val="single"/>
              </w:rPr>
              <w:t>岳阳市环境保护局君山分局</w:t>
            </w:r>
            <w:r>
              <w:rPr>
                <w:rFonts w:hint="eastAsia" w:ascii="Times New Roman" w:hAnsi="Times New Roman"/>
                <w:bCs/>
                <w:spacing w:val="4"/>
                <w:u w:val="single"/>
                <w:lang w:eastAsia="zh-CN"/>
              </w:rPr>
              <w:t>的</w:t>
            </w:r>
            <w:r>
              <w:rPr>
                <w:rFonts w:hint="eastAsia" w:ascii="Times New Roman" w:hAnsi="Times New Roman"/>
                <w:bCs/>
                <w:spacing w:val="4"/>
                <w:u w:val="single"/>
                <w:lang w:val="en-US" w:eastAsia="zh-CN"/>
              </w:rPr>
              <w:t>验收</w:t>
            </w:r>
            <w:r>
              <w:rPr>
                <w:rFonts w:hint="eastAsia" w:ascii="Times New Roman" w:hAnsi="Times New Roman"/>
                <w:bCs/>
                <w:spacing w:val="4"/>
                <w:u w:val="single"/>
              </w:rPr>
              <w:t>批复</w:t>
            </w:r>
            <w:r>
              <w:rPr>
                <w:rFonts w:hint="eastAsia" w:ascii="Times New Roman" w:hAnsi="Times New Roman"/>
                <w:bCs/>
                <w:spacing w:val="4"/>
                <w:u w:val="single"/>
                <w:lang w:eastAsia="zh-CN"/>
              </w:rPr>
              <w:t>。</w:t>
            </w:r>
          </w:p>
          <w:p w14:paraId="077D5F36">
            <w:pPr>
              <w:pStyle w:val="22"/>
              <w:keepNext w:val="0"/>
              <w:keepLines w:val="0"/>
              <w:widowControl w:val="0"/>
              <w:suppressLineNumbers w:val="0"/>
              <w:spacing w:before="0" w:beforeAutospacing="0" w:after="0" w:afterAutospacing="0" w:line="360" w:lineRule="auto"/>
              <w:ind w:left="0" w:right="0" w:firstLine="496" w:firstLineChars="200"/>
              <w:rPr>
                <w:rFonts w:hint="default" w:ascii="Times New Roman" w:hAnsi="Times New Roman"/>
                <w:bCs/>
                <w:spacing w:val="4"/>
                <w:highlight w:val="yellow"/>
                <w:u w:val="single"/>
                <w:lang w:val="en-US" w:eastAsia="zh-CN"/>
              </w:rPr>
            </w:pPr>
            <w:r>
              <w:rPr>
                <w:rFonts w:hint="eastAsia" w:ascii="Times New Roman" w:hAnsi="Times New Roman"/>
                <w:bCs/>
                <w:spacing w:val="4"/>
                <w:u w:val="single"/>
                <w:lang w:val="en-US" w:eastAsia="zh-CN"/>
              </w:rPr>
              <w:t>根据生产情况，湖南童记三利和食品有限</w:t>
            </w:r>
            <w:r>
              <w:rPr>
                <w:rFonts w:hint="default" w:ascii="Times New Roman" w:hAnsi="Times New Roman"/>
                <w:bCs/>
                <w:spacing w:val="4"/>
                <w:u w:val="single"/>
              </w:rPr>
              <w:t>公司拟投资</w:t>
            </w:r>
            <w:r>
              <w:rPr>
                <w:rFonts w:hint="eastAsia" w:ascii="Times New Roman" w:hAnsi="Times New Roman"/>
                <w:bCs/>
                <w:spacing w:val="4"/>
                <w:u w:val="single"/>
                <w:lang w:val="en-US" w:eastAsia="zh-CN"/>
              </w:rPr>
              <w:t>45</w:t>
            </w:r>
            <w:r>
              <w:rPr>
                <w:rFonts w:hint="default" w:ascii="Times New Roman" w:hAnsi="Times New Roman"/>
                <w:bCs/>
                <w:spacing w:val="4"/>
                <w:u w:val="single"/>
              </w:rPr>
              <w:t>00万元</w:t>
            </w:r>
            <w:r>
              <w:rPr>
                <w:rFonts w:hint="eastAsia" w:ascii="Times New Roman" w:hAnsi="Times New Roman"/>
                <w:bCs/>
                <w:spacing w:val="4"/>
                <w:u w:val="single"/>
                <w:lang w:val="en-US" w:eastAsia="zh-CN"/>
              </w:rPr>
              <w:t>在厂区综合生产车间内新</w:t>
            </w:r>
            <w:r>
              <w:rPr>
                <w:rFonts w:hint="default" w:ascii="Times New Roman" w:hAnsi="Times New Roman"/>
                <w:bCs/>
                <w:spacing w:val="4"/>
                <w:u w:val="single"/>
              </w:rPr>
              <w:t>建</w:t>
            </w:r>
            <w:r>
              <w:rPr>
                <w:rFonts w:hint="eastAsia" w:ascii="Times New Roman" w:hAnsi="Times New Roman"/>
                <w:bCs/>
                <w:spacing w:val="4"/>
                <w:u w:val="single"/>
                <w:lang w:val="en-US" w:eastAsia="zh-CN"/>
              </w:rPr>
              <w:t>一</w:t>
            </w:r>
            <w:r>
              <w:rPr>
                <w:rFonts w:hint="default" w:ascii="Times New Roman" w:hAnsi="Times New Roman"/>
                <w:bCs/>
                <w:spacing w:val="4"/>
                <w:u w:val="single"/>
              </w:rPr>
              <w:t>条</w:t>
            </w:r>
            <w:r>
              <w:rPr>
                <w:rFonts w:hint="eastAsia" w:ascii="Times New Roman" w:hAnsi="Times New Roman"/>
                <w:bCs/>
                <w:spacing w:val="4"/>
                <w:u w:val="single"/>
                <w:lang w:val="en-US" w:eastAsia="zh-CN"/>
              </w:rPr>
              <w:t>肉制品</w:t>
            </w:r>
            <w:r>
              <w:rPr>
                <w:rFonts w:hint="default" w:ascii="Times New Roman" w:hAnsi="Times New Roman"/>
                <w:bCs/>
                <w:spacing w:val="4"/>
                <w:u w:val="single"/>
              </w:rPr>
              <w:t>生产线</w:t>
            </w:r>
            <w:r>
              <w:rPr>
                <w:rFonts w:hint="eastAsia" w:ascii="Times New Roman" w:hAnsi="Times New Roman"/>
                <w:bCs/>
                <w:spacing w:val="4"/>
                <w:u w:val="single"/>
                <w:lang w:eastAsia="zh-CN"/>
              </w:rPr>
              <w:t>、</w:t>
            </w:r>
            <w:r>
              <w:rPr>
                <w:rFonts w:hint="eastAsia" w:ascii="Times New Roman" w:hAnsi="Times New Roman"/>
                <w:bCs/>
                <w:spacing w:val="4"/>
                <w:u w:val="single"/>
                <w:lang w:val="en-US" w:eastAsia="zh-CN"/>
              </w:rPr>
              <w:t>一条鹌鹑蛋卤制生产线，</w:t>
            </w:r>
            <w:r>
              <w:rPr>
                <w:rFonts w:hint="default" w:ascii="Times New Roman" w:hAnsi="Times New Roman"/>
                <w:bCs/>
                <w:spacing w:val="4"/>
                <w:u w:val="single"/>
              </w:rPr>
              <w:t>项目投产后鹌鹑蛋</w:t>
            </w:r>
            <w:r>
              <w:rPr>
                <w:rFonts w:hint="eastAsia" w:ascii="Times New Roman" w:hAnsi="Times New Roman"/>
                <w:bCs/>
                <w:spacing w:val="4"/>
                <w:u w:val="single"/>
                <w:lang w:val="en-US" w:eastAsia="zh-CN"/>
              </w:rPr>
              <w:t>卤制品</w:t>
            </w:r>
            <w:r>
              <w:rPr>
                <w:rFonts w:hint="default" w:ascii="Times New Roman" w:hAnsi="Times New Roman"/>
                <w:bCs/>
                <w:spacing w:val="4"/>
                <w:u w:val="single"/>
              </w:rPr>
              <w:t>年产量达3000吨，肉制品年产量达5000吨</w:t>
            </w:r>
            <w:r>
              <w:rPr>
                <w:rFonts w:hint="eastAsia" w:ascii="Times New Roman" w:hAnsi="Times New Roman"/>
                <w:bCs/>
                <w:spacing w:val="4"/>
                <w:u w:val="single"/>
                <w:lang w:eastAsia="zh-CN"/>
              </w:rPr>
              <w:t>。</w:t>
            </w:r>
            <w:r>
              <w:rPr>
                <w:rFonts w:hint="eastAsia" w:ascii="Times New Roman" w:hAnsi="Times New Roman"/>
                <w:bCs/>
                <w:spacing w:val="4"/>
                <w:highlight w:val="none"/>
                <w:u w:val="single"/>
                <w:lang w:val="en-US" w:eastAsia="zh-CN"/>
              </w:rPr>
              <w:t>其中，肉制品生产线于2019年9月10日取得备案证明，后因疫情原因导致宏观经济短期不确定性加剧，建设单位决定延期肉制品生产线的建设。现因市场竞争激烈，企业需不断提升自身竞争力，在对市场需求进行充分调研和分析后，建设单位投资4500万元在厂区综合生产车间内新建一条肉制品生产线、一条鹌鹑蛋卤制生产线，丰富产品种类，提高企业竞争力。</w:t>
            </w:r>
          </w:p>
          <w:p w14:paraId="47C48CE5">
            <w:pPr>
              <w:pStyle w:val="22"/>
              <w:keepNext w:val="0"/>
              <w:keepLines w:val="0"/>
              <w:widowControl w:val="0"/>
              <w:suppressLineNumbers w:val="0"/>
              <w:spacing w:before="0" w:beforeAutospacing="0" w:after="0" w:afterAutospacing="0" w:line="360" w:lineRule="auto"/>
              <w:ind w:left="0" w:right="0" w:firstLine="496" w:firstLineChars="200"/>
              <w:rPr>
                <w:rFonts w:hint="default" w:ascii="Times New Roman" w:hAnsi="Times New Roman"/>
                <w:bCs/>
                <w:spacing w:val="4"/>
                <w:u w:val="single"/>
                <w:lang w:val="en-US" w:eastAsia="zh-CN"/>
              </w:rPr>
            </w:pPr>
            <w:r>
              <w:rPr>
                <w:rFonts w:hint="eastAsia" w:ascii="Times New Roman" w:hAnsi="Times New Roman"/>
                <w:bCs/>
                <w:spacing w:val="4"/>
                <w:u w:val="single"/>
                <w:lang w:val="en-US" w:eastAsia="zh-CN"/>
              </w:rPr>
              <w:t>厂区锅炉房原设置一台YLW-1900SCIII型导热油锅炉为生产供热，本项目拟拆除原有导热油锅炉，建设一台4t/h燃生物质蒸汽锅炉替换原有燃生物质导热油锅炉，本项目建设锅炉不更换燃料种类，且配套建设高效除尘设施。本次锅炉更换及未使用园区集中供热情况说明如下：</w:t>
            </w:r>
          </w:p>
          <w:p w14:paraId="72CC5C56">
            <w:pPr>
              <w:keepNext w:val="0"/>
              <w:keepLines w:val="0"/>
              <w:numPr>
                <w:ilvl w:val="0"/>
                <w:numId w:val="6"/>
              </w:numPr>
              <w:suppressLineNumbers w:val="0"/>
              <w:spacing w:before="0" w:beforeAutospacing="0" w:after="0" w:afterAutospacing="0" w:line="360" w:lineRule="auto"/>
              <w:ind w:left="0" w:right="0" w:firstLine="480" w:firstLineChars="200"/>
              <w:rPr>
                <w:rFonts w:hint="eastAsia"/>
                <w:b w:val="0"/>
                <w:bCs w:val="0"/>
                <w:sz w:val="24"/>
                <w:szCs w:val="24"/>
                <w:u w:val="single"/>
                <w:lang w:val="en-US" w:eastAsia="zh-CN"/>
              </w:rPr>
            </w:pPr>
            <w:r>
              <w:rPr>
                <w:rFonts w:hint="eastAsia"/>
                <w:b w:val="0"/>
                <w:bCs w:val="0"/>
                <w:sz w:val="24"/>
                <w:szCs w:val="24"/>
                <w:u w:val="single"/>
                <w:lang w:val="en-US" w:eastAsia="zh-CN"/>
              </w:rPr>
              <w:t>锅炉更换必要性</w:t>
            </w:r>
          </w:p>
          <w:p w14:paraId="6299E753">
            <w:pPr>
              <w:keepNext w:val="0"/>
              <w:keepLines w:val="0"/>
              <w:numPr>
                <w:ilvl w:val="-1"/>
                <w:numId w:val="0"/>
              </w:numPr>
              <w:suppressLineNumbers w:val="0"/>
              <w:spacing w:before="0" w:beforeAutospacing="0" w:after="0" w:afterAutospacing="0" w:line="360" w:lineRule="auto"/>
              <w:ind w:left="0" w:right="0" w:firstLine="480" w:firstLineChars="200"/>
              <w:rPr>
                <w:rFonts w:hint="eastAsia"/>
                <w:b w:val="0"/>
                <w:bCs w:val="0"/>
                <w:sz w:val="24"/>
                <w:szCs w:val="24"/>
                <w:u w:val="single"/>
                <w:lang w:val="en-US" w:eastAsia="zh-CN"/>
              </w:rPr>
            </w:pPr>
            <w:r>
              <w:rPr>
                <w:rFonts w:hint="default"/>
                <w:b w:val="0"/>
                <w:bCs w:val="0"/>
                <w:sz w:val="24"/>
                <w:szCs w:val="24"/>
                <w:u w:val="single"/>
                <w:lang w:val="en-US" w:eastAsia="zh-CN"/>
              </w:rPr>
              <w:t>导热油锅炉</w:t>
            </w:r>
            <w:r>
              <w:rPr>
                <w:rFonts w:hint="eastAsia"/>
                <w:b w:val="0"/>
                <w:bCs w:val="0"/>
                <w:sz w:val="24"/>
                <w:szCs w:val="24"/>
                <w:u w:val="single"/>
                <w:lang w:val="en-US" w:eastAsia="zh-CN"/>
              </w:rPr>
              <w:t>使用矿物油作为导热介质，在实际运行过程中，</w:t>
            </w:r>
            <w:r>
              <w:rPr>
                <w:rFonts w:hint="default"/>
                <w:b w:val="0"/>
                <w:bCs w:val="0"/>
                <w:sz w:val="24"/>
                <w:szCs w:val="24"/>
                <w:u w:val="single"/>
                <w:lang w:val="en-US" w:eastAsia="zh-CN"/>
              </w:rPr>
              <w:t>导热油</w:t>
            </w:r>
            <w:r>
              <w:rPr>
                <w:rFonts w:hint="eastAsia"/>
                <w:b w:val="0"/>
                <w:bCs w:val="0"/>
                <w:sz w:val="24"/>
                <w:szCs w:val="24"/>
                <w:u w:val="single"/>
                <w:lang w:val="en-US" w:eastAsia="zh-CN"/>
              </w:rPr>
              <w:t>可能发生泄漏，</w:t>
            </w:r>
            <w:r>
              <w:rPr>
                <w:rFonts w:hint="default"/>
                <w:b w:val="0"/>
                <w:bCs w:val="0"/>
                <w:sz w:val="24"/>
                <w:szCs w:val="24"/>
                <w:u w:val="single"/>
                <w:lang w:val="en-US" w:eastAsia="zh-CN"/>
              </w:rPr>
              <w:t>存在高温失火风险及食品安全隐患。</w:t>
            </w:r>
          </w:p>
          <w:p w14:paraId="60BDB329">
            <w:pPr>
              <w:keepNext w:val="0"/>
              <w:keepLines w:val="0"/>
              <w:numPr>
                <w:ilvl w:val="-1"/>
                <w:numId w:val="0"/>
              </w:numPr>
              <w:suppressLineNumbers w:val="0"/>
              <w:spacing w:before="0" w:beforeAutospacing="0" w:after="0" w:afterAutospacing="0" w:line="360" w:lineRule="auto"/>
              <w:ind w:left="0" w:right="0" w:firstLine="480" w:firstLineChars="200"/>
              <w:rPr>
                <w:rFonts w:hint="default"/>
                <w:b w:val="0"/>
                <w:bCs w:val="0"/>
                <w:sz w:val="24"/>
                <w:szCs w:val="24"/>
                <w:u w:val="single"/>
                <w:lang w:val="en-US" w:eastAsia="zh-CN"/>
              </w:rPr>
            </w:pPr>
            <w:r>
              <w:rPr>
                <w:rFonts w:hint="eastAsia"/>
                <w:b w:val="0"/>
                <w:bCs w:val="0"/>
                <w:sz w:val="24"/>
                <w:szCs w:val="24"/>
                <w:u w:val="single"/>
                <w:lang w:val="en-US" w:eastAsia="zh-CN"/>
              </w:rPr>
              <w:t>根据湖南省生态环境厅（原湖南省环境保护厅）《关于岳阳市君山工业集中区荆江门片区能源变更意见的函》（湘环评函[2015]75号）中提到“荆江门片区可使用替代天然气和电能等清洁能源的生物质成型燃料，不能使用燃煤等污染型能源。”，故本项目建设燃生物质蒸汽锅炉的方案可行。</w:t>
            </w:r>
          </w:p>
          <w:p w14:paraId="4C9653D3">
            <w:pPr>
              <w:keepNext w:val="0"/>
              <w:keepLines w:val="0"/>
              <w:numPr>
                <w:ilvl w:val="-1"/>
                <w:numId w:val="0"/>
              </w:numPr>
              <w:suppressLineNumbers w:val="0"/>
              <w:spacing w:before="0" w:beforeAutospacing="0" w:after="0" w:afterAutospacing="0" w:line="360" w:lineRule="auto"/>
              <w:ind w:left="0" w:right="0" w:firstLine="480" w:firstLineChars="200"/>
              <w:rPr>
                <w:rFonts w:hint="eastAsia"/>
                <w:b w:val="0"/>
                <w:bCs w:val="0"/>
                <w:sz w:val="24"/>
                <w:szCs w:val="24"/>
                <w:u w:val="single"/>
                <w:lang w:val="en-US" w:eastAsia="zh-CN"/>
              </w:rPr>
            </w:pPr>
            <w:r>
              <w:rPr>
                <w:rFonts w:hint="eastAsia"/>
                <w:b w:val="0"/>
                <w:bCs w:val="0"/>
                <w:sz w:val="24"/>
                <w:szCs w:val="24"/>
                <w:u w:val="single"/>
                <w:lang w:val="en-US" w:eastAsia="zh-CN"/>
              </w:rPr>
              <w:t>（2）不使用园区集中供热合理性</w:t>
            </w:r>
          </w:p>
          <w:p w14:paraId="423F9C03">
            <w:pPr>
              <w:keepNext w:val="0"/>
              <w:keepLines w:val="0"/>
              <w:numPr>
                <w:ilvl w:val="-1"/>
                <w:numId w:val="0"/>
              </w:numPr>
              <w:suppressLineNumbers w:val="0"/>
              <w:spacing w:before="0" w:beforeAutospacing="0" w:after="0" w:afterAutospacing="0" w:line="360" w:lineRule="auto"/>
              <w:ind w:left="0" w:right="0" w:firstLine="480" w:firstLineChars="200"/>
              <w:rPr>
                <w:rFonts w:hint="default" w:ascii="Times New Roman" w:hAnsi="Times New Roman" w:cs="Times New Roman"/>
                <w:b w:val="0"/>
                <w:bCs w:val="0"/>
                <w:sz w:val="24"/>
                <w:szCs w:val="24"/>
                <w:u w:val="single"/>
                <w:lang w:val="en-US" w:eastAsia="zh-CN"/>
              </w:rPr>
            </w:pPr>
            <w:r>
              <w:rPr>
                <w:rFonts w:hint="eastAsia" w:cs="Times New Roman"/>
                <w:b w:val="0"/>
                <w:bCs w:val="0"/>
                <w:sz w:val="24"/>
                <w:szCs w:val="24"/>
                <w:u w:val="single"/>
                <w:lang w:val="en-US" w:eastAsia="zh-CN"/>
              </w:rPr>
              <w:t>根据单设单位提供资料，项目原有鱼制品生产线及本项目新增肉制品</w:t>
            </w:r>
            <w:r>
              <w:rPr>
                <w:rFonts w:hint="default" w:ascii="Times New Roman" w:hAnsi="Times New Roman" w:cs="Times New Roman"/>
                <w:b w:val="0"/>
                <w:bCs w:val="0"/>
                <w:sz w:val="24"/>
                <w:szCs w:val="24"/>
                <w:u w:val="single"/>
                <w:lang w:val="en-US" w:eastAsia="zh-CN"/>
              </w:rPr>
              <w:t>生产</w:t>
            </w:r>
            <w:r>
              <w:rPr>
                <w:rFonts w:hint="eastAsia" w:cs="Times New Roman"/>
                <w:b w:val="0"/>
                <w:bCs w:val="0"/>
                <w:sz w:val="24"/>
                <w:szCs w:val="24"/>
                <w:u w:val="single"/>
                <w:lang w:val="en-US" w:eastAsia="zh-CN"/>
              </w:rPr>
              <w:t>线中的</w:t>
            </w:r>
            <w:r>
              <w:rPr>
                <w:rFonts w:hint="default" w:ascii="Times New Roman" w:hAnsi="Times New Roman" w:cs="Times New Roman"/>
                <w:b w:val="0"/>
                <w:bCs w:val="0"/>
                <w:sz w:val="24"/>
                <w:szCs w:val="24"/>
                <w:u w:val="single"/>
                <w:lang w:val="en-US" w:eastAsia="zh-CN"/>
              </w:rPr>
              <w:t>油炸工序对蒸汽压力及温度的要求较高，园区集中供热提供的蒸汽压力为0.8Mpa，最高温度为174℃，</w:t>
            </w:r>
            <w:r>
              <w:rPr>
                <w:rFonts w:hint="eastAsia" w:cs="Times New Roman"/>
                <w:b w:val="0"/>
                <w:bCs w:val="0"/>
                <w:sz w:val="24"/>
                <w:szCs w:val="24"/>
                <w:u w:val="single"/>
                <w:lang w:val="en-US" w:eastAsia="zh-CN"/>
              </w:rPr>
              <w:t>建设</w:t>
            </w:r>
            <w:r>
              <w:rPr>
                <w:rFonts w:hint="default" w:ascii="Times New Roman" w:hAnsi="Times New Roman" w:cs="Times New Roman"/>
                <w:b w:val="0"/>
                <w:bCs w:val="0"/>
                <w:sz w:val="24"/>
                <w:szCs w:val="24"/>
                <w:u w:val="single"/>
                <w:lang w:val="en-US" w:eastAsia="zh-CN"/>
              </w:rPr>
              <w:t>单位油炸工序要求蒸汽压力达3.2Mpa，温度要求达220℃以上，园区集中供热无法达到</w:t>
            </w:r>
            <w:r>
              <w:rPr>
                <w:rFonts w:hint="eastAsia" w:cs="Times New Roman"/>
                <w:b w:val="0"/>
                <w:bCs w:val="0"/>
                <w:sz w:val="24"/>
                <w:szCs w:val="24"/>
                <w:u w:val="single"/>
                <w:lang w:val="en-US" w:eastAsia="zh-CN"/>
              </w:rPr>
              <w:t>建设</w:t>
            </w:r>
            <w:r>
              <w:rPr>
                <w:rFonts w:hint="default" w:ascii="Times New Roman" w:hAnsi="Times New Roman" w:cs="Times New Roman"/>
                <w:b w:val="0"/>
                <w:bCs w:val="0"/>
                <w:sz w:val="24"/>
                <w:szCs w:val="24"/>
                <w:u w:val="single"/>
                <w:lang w:val="en-US" w:eastAsia="zh-CN"/>
              </w:rPr>
              <w:t>单位生产工艺的要求。</w:t>
            </w:r>
          </w:p>
          <w:p w14:paraId="0A763D6B">
            <w:pPr>
              <w:keepNext w:val="0"/>
              <w:keepLines w:val="0"/>
              <w:numPr>
                <w:ilvl w:val="-1"/>
                <w:numId w:val="0"/>
              </w:numPr>
              <w:suppressLineNumbers w:val="0"/>
              <w:spacing w:before="0" w:beforeAutospacing="0" w:after="0" w:afterAutospacing="0" w:line="360" w:lineRule="auto"/>
              <w:ind w:left="0" w:right="0" w:firstLine="480" w:firstLineChars="200"/>
              <w:rPr>
                <w:rFonts w:hint="default" w:ascii="Times New Roman" w:hAnsi="Times New Roman" w:cs="Times New Roman"/>
                <w:b w:val="0"/>
                <w:bCs w:val="0"/>
                <w:sz w:val="24"/>
                <w:szCs w:val="24"/>
                <w:lang w:val="en-US" w:eastAsia="zh-CN"/>
              </w:rPr>
            </w:pPr>
            <w:r>
              <w:rPr>
                <w:rFonts w:hint="eastAsia" w:cs="Times New Roman"/>
                <w:b w:val="0"/>
                <w:bCs w:val="0"/>
                <w:sz w:val="24"/>
                <w:szCs w:val="24"/>
                <w:highlight w:val="none"/>
                <w:u w:val="single"/>
                <w:lang w:val="en-US" w:eastAsia="zh-CN"/>
              </w:rPr>
              <w:t>本项目建设燃生物质蒸汽锅炉替换原有燃生物质导热油锅炉的方案已获得岳阳市君山工业园管理委员会许可</w:t>
            </w:r>
            <w:r>
              <w:rPr>
                <w:rFonts w:hint="eastAsia" w:ascii="Times New Roman" w:hAnsi="Times New Roman" w:cs="Times New Roman"/>
                <w:b w:val="0"/>
                <w:bCs w:val="0"/>
                <w:sz w:val="24"/>
                <w:szCs w:val="24"/>
                <w:highlight w:val="none"/>
                <w:u w:val="single"/>
                <w:lang w:val="en-US" w:eastAsia="zh-CN"/>
              </w:rPr>
              <w:t>，</w:t>
            </w:r>
            <w:r>
              <w:rPr>
                <w:rFonts w:hint="eastAsia" w:cs="Times New Roman"/>
                <w:b w:val="0"/>
                <w:bCs w:val="0"/>
                <w:sz w:val="24"/>
                <w:szCs w:val="24"/>
                <w:highlight w:val="none"/>
                <w:u w:val="single"/>
                <w:lang w:val="en-US" w:eastAsia="zh-CN"/>
              </w:rPr>
              <w:t>详见附件14</w:t>
            </w:r>
            <w:r>
              <w:rPr>
                <w:rFonts w:hint="eastAsia" w:ascii="Times New Roman" w:hAnsi="Times New Roman" w:cs="Times New Roman"/>
                <w:b w:val="0"/>
                <w:bCs w:val="0"/>
                <w:sz w:val="24"/>
                <w:szCs w:val="24"/>
                <w:highlight w:val="none"/>
                <w:u w:val="single"/>
                <w:lang w:val="en-US" w:eastAsia="zh-CN"/>
              </w:rPr>
              <w:t>。</w:t>
            </w:r>
          </w:p>
          <w:p w14:paraId="5F34F7F2">
            <w:pPr>
              <w:pStyle w:val="22"/>
              <w:keepNext w:val="0"/>
              <w:keepLines w:val="0"/>
              <w:widowControl w:val="0"/>
              <w:suppressLineNumbers w:val="0"/>
              <w:spacing w:before="0" w:beforeAutospacing="0" w:after="0" w:afterAutospacing="0" w:line="360" w:lineRule="auto"/>
              <w:ind w:left="0" w:right="0" w:firstLine="496" w:firstLineChars="200"/>
              <w:rPr>
                <w:rFonts w:hint="eastAsia" w:ascii="Times New Roman" w:hAnsi="Times New Roman"/>
                <w:bCs/>
                <w:spacing w:val="4"/>
                <w:u w:val="none"/>
                <w:lang w:val="en-US" w:eastAsia="zh-CN"/>
              </w:rPr>
            </w:pPr>
            <w:r>
              <w:rPr>
                <w:rFonts w:hint="default" w:ascii="Times New Roman" w:hAnsi="Times New Roman"/>
                <w:bCs/>
                <w:spacing w:val="4"/>
                <w:u w:val="none"/>
              </w:rPr>
              <w:t>根据生态环境部发布的《建设项目环境影响评价分类管理名录（2021年版）》（部令第16号）第四条要求“建设内容涉及本名录中两个及以上项目类别的建设项目，其环境影响评价类别按照其中单项等级最高的确定”，</w:t>
            </w:r>
            <w:r>
              <w:rPr>
                <w:rFonts w:hint="eastAsia" w:ascii="Times New Roman" w:hAnsi="Times New Roman"/>
                <w:bCs/>
                <w:spacing w:val="4"/>
                <w:u w:val="none"/>
                <w:lang w:val="en-US" w:eastAsia="zh-CN"/>
              </w:rPr>
              <w:t>本项目具体情况见下表2-1。</w:t>
            </w:r>
          </w:p>
          <w:p w14:paraId="4BEF555C">
            <w:pPr>
              <w:keepNext w:val="0"/>
              <w:keepLines w:val="0"/>
              <w:suppressLineNumbers w:val="0"/>
              <w:spacing w:before="0" w:beforeAutospacing="0" w:after="0" w:afterAutospacing="0" w:line="360" w:lineRule="auto"/>
              <w:ind w:left="0" w:right="0" w:firstLine="480" w:firstLineChars="200"/>
              <w:rPr>
                <w:rFonts w:hint="eastAsia"/>
                <w:lang w:val="en-US" w:eastAsia="zh-CN"/>
              </w:rPr>
            </w:pPr>
            <w:r>
              <w:rPr>
                <w:rFonts w:hint="default" w:ascii="Times New Roman" w:hAnsi="Times New Roman" w:eastAsia="宋体" w:cs="Times New Roman"/>
                <w:sz w:val="24"/>
                <w:lang w:val="en-US" w:eastAsia="zh-CN"/>
              </w:rPr>
              <w:t>根据《固定污染源排污许可分类管理名录（2019年版）》，本项目属于“三十九、电力、热力生产和供应业44—热力生产和供应443—单台且合计出力20吨/小时（14兆瓦）以下的锅炉（不含电热锅炉和单台且合计出力1吨/小时（0.7兆瓦）及以下的天然气锅炉）”，本项目的排污许可填报管理类别为</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简化管理</w:t>
            </w:r>
            <w:r>
              <w:rPr>
                <w:rFonts w:hint="eastAsia" w:ascii="Times New Roman" w:hAnsi="Times New Roman" w:eastAsia="宋体" w:cs="Times New Roman"/>
                <w:sz w:val="24"/>
                <w:lang w:val="en-US" w:eastAsia="zh-CN"/>
              </w:rPr>
              <w:t>”。</w:t>
            </w:r>
          </w:p>
          <w:p w14:paraId="0A28CFF8">
            <w:pPr>
              <w:pStyle w:val="33"/>
              <w:keepNext w:val="0"/>
              <w:keepLines w:val="0"/>
              <w:numPr>
                <w:ilvl w:val="0"/>
                <w:numId w:val="7"/>
              </w:numPr>
              <w:suppressLineNumbers w:val="0"/>
              <w:spacing w:before="0" w:beforeAutospacing="0" w:after="0" w:afterAutospacing="0"/>
              <w:ind w:right="0" w:firstLineChars="0"/>
              <w:jc w:val="center"/>
              <w:rPr>
                <w:rFonts w:hint="default"/>
                <w:b/>
                <w:bCs w:val="0"/>
                <w:sz w:val="24"/>
                <w:szCs w:val="24"/>
                <w:lang w:val="en-US" w:eastAsia="zh-CN"/>
              </w:rPr>
            </w:pPr>
            <w:r>
              <w:rPr>
                <w:rFonts w:hint="eastAsia"/>
                <w:b/>
                <w:bCs w:val="0"/>
                <w:spacing w:val="4"/>
                <w:sz w:val="24"/>
                <w:szCs w:val="24"/>
                <w:u w:val="none"/>
                <w:lang w:val="en-US" w:eastAsia="zh-CN"/>
              </w:rPr>
              <w:t>本项目环境影响评价类别分析表</w:t>
            </w:r>
          </w:p>
          <w:tbl>
            <w:tblPr>
              <w:tblStyle w:val="24"/>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950"/>
              <w:gridCol w:w="1696"/>
              <w:gridCol w:w="1928"/>
              <w:gridCol w:w="879"/>
              <w:gridCol w:w="1016"/>
              <w:gridCol w:w="1081"/>
            </w:tblGrid>
            <w:tr w14:paraId="2EC3F7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736" w:type="pct"/>
                  <w:gridSpan w:val="5"/>
                  <w:tcBorders>
                    <w:tl2br w:val="nil"/>
                    <w:tr2bl w:val="nil"/>
                  </w:tcBorders>
                  <w:shd w:val="clear" w:color="auto" w:fill="auto"/>
                  <w:noWrap w:val="0"/>
                  <w:vAlign w:val="center"/>
                </w:tcPr>
                <w:p w14:paraId="4F662E0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b/>
                      <w:bCs/>
                      <w:color w:val="auto"/>
                      <w:sz w:val="21"/>
                      <w:szCs w:val="21"/>
                    </w:rPr>
                  </w:pPr>
                  <w:r>
                    <w:rPr>
                      <w:rFonts w:hint="eastAsia"/>
                      <w:b/>
                      <w:bCs/>
                      <w:color w:val="auto"/>
                      <w:sz w:val="21"/>
                      <w:szCs w:val="21"/>
                    </w:rPr>
                    <w:t>《建设项目环境影响评价分类管理名录》（2021版）规定</w:t>
                  </w:r>
                </w:p>
              </w:tc>
              <w:tc>
                <w:tcPr>
                  <w:tcW w:w="612" w:type="pct"/>
                  <w:vMerge w:val="restart"/>
                  <w:tcBorders>
                    <w:tl2br w:val="nil"/>
                    <w:tr2bl w:val="nil"/>
                  </w:tcBorders>
                  <w:shd w:val="clear" w:color="auto" w:fill="auto"/>
                  <w:noWrap w:val="0"/>
                  <w:vAlign w:val="center"/>
                </w:tcPr>
                <w:p w14:paraId="6E38DF45">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b/>
                      <w:bCs/>
                      <w:color w:val="auto"/>
                      <w:sz w:val="21"/>
                      <w:szCs w:val="21"/>
                    </w:rPr>
                  </w:pPr>
                  <w:r>
                    <w:rPr>
                      <w:rFonts w:hint="default"/>
                      <w:b/>
                      <w:bCs/>
                      <w:color w:val="auto"/>
                      <w:sz w:val="21"/>
                      <w:szCs w:val="21"/>
                    </w:rPr>
                    <w:t>本项目情况</w:t>
                  </w:r>
                </w:p>
              </w:tc>
              <w:tc>
                <w:tcPr>
                  <w:tcW w:w="651" w:type="pct"/>
                  <w:vMerge w:val="restart"/>
                  <w:tcBorders>
                    <w:tl2br w:val="nil"/>
                    <w:tr2bl w:val="nil"/>
                  </w:tcBorders>
                  <w:shd w:val="clear" w:color="auto" w:fill="auto"/>
                  <w:noWrap w:val="0"/>
                  <w:vAlign w:val="center"/>
                </w:tcPr>
                <w:p w14:paraId="0FFD6B1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b/>
                      <w:bCs/>
                      <w:color w:val="auto"/>
                      <w:sz w:val="21"/>
                      <w:szCs w:val="21"/>
                    </w:rPr>
                  </w:pPr>
                  <w:r>
                    <w:rPr>
                      <w:rFonts w:hint="eastAsia"/>
                      <w:b/>
                      <w:bCs/>
                      <w:color w:val="auto"/>
                      <w:sz w:val="21"/>
                      <w:szCs w:val="21"/>
                    </w:rPr>
                    <w:t>本项目环境影响评价类别</w:t>
                  </w:r>
                </w:p>
              </w:tc>
            </w:tr>
            <w:tr w14:paraId="719C93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3" w:type="pct"/>
                  <w:tcBorders>
                    <w:tl2br w:val="nil"/>
                    <w:tr2bl w:val="nil"/>
                  </w:tcBorders>
                  <w:shd w:val="clear" w:color="auto" w:fill="auto"/>
                  <w:noWrap w:val="0"/>
                  <w:vAlign w:val="center"/>
                </w:tcPr>
                <w:p w14:paraId="70F27B2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b/>
                      <w:bCs/>
                      <w:color w:val="auto"/>
                      <w:sz w:val="21"/>
                      <w:szCs w:val="21"/>
                    </w:rPr>
                  </w:pPr>
                  <w:r>
                    <w:rPr>
                      <w:rFonts w:hint="eastAsia"/>
                      <w:b/>
                      <w:bCs/>
                      <w:color w:val="auto"/>
                      <w:sz w:val="21"/>
                      <w:szCs w:val="21"/>
                    </w:rPr>
                    <w:t>序号</w:t>
                  </w:r>
                </w:p>
              </w:tc>
              <w:tc>
                <w:tcPr>
                  <w:tcW w:w="572" w:type="pct"/>
                  <w:tcBorders>
                    <w:tl2br w:val="nil"/>
                    <w:tr2bl w:val="nil"/>
                  </w:tcBorders>
                  <w:shd w:val="clear" w:color="auto" w:fill="auto"/>
                  <w:noWrap w:val="0"/>
                  <w:vAlign w:val="center"/>
                </w:tcPr>
                <w:p w14:paraId="2BE58D79">
                  <w:pPr>
                    <w:pStyle w:val="59"/>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b/>
                      <w:bCs/>
                      <w:sz w:val="21"/>
                      <w:szCs w:val="21"/>
                    </w:rPr>
                  </w:pPr>
                  <w:r>
                    <w:rPr>
                      <w:rFonts w:hint="eastAsia"/>
                      <w:b/>
                      <w:bCs/>
                      <w:sz w:val="21"/>
                      <w:szCs w:val="21"/>
                    </w:rPr>
                    <w:t>行业</w:t>
                  </w:r>
                </w:p>
              </w:tc>
              <w:tc>
                <w:tcPr>
                  <w:tcW w:w="1021" w:type="pct"/>
                  <w:tcBorders>
                    <w:tl2br w:val="nil"/>
                    <w:tr2bl w:val="nil"/>
                  </w:tcBorders>
                  <w:shd w:val="clear" w:color="auto" w:fill="auto"/>
                  <w:noWrap w:val="0"/>
                  <w:vAlign w:val="center"/>
                </w:tcPr>
                <w:p w14:paraId="54A57580">
                  <w:pPr>
                    <w:pStyle w:val="43"/>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b/>
                      <w:bCs/>
                      <w:sz w:val="21"/>
                      <w:szCs w:val="21"/>
                    </w:rPr>
                  </w:pPr>
                  <w:r>
                    <w:rPr>
                      <w:rFonts w:hint="eastAsia"/>
                      <w:b/>
                      <w:bCs/>
                      <w:sz w:val="21"/>
                      <w:szCs w:val="21"/>
                    </w:rPr>
                    <w:t>报告书</w:t>
                  </w:r>
                </w:p>
              </w:tc>
              <w:tc>
                <w:tcPr>
                  <w:tcW w:w="1161" w:type="pct"/>
                  <w:tcBorders>
                    <w:tl2br w:val="nil"/>
                    <w:tr2bl w:val="nil"/>
                  </w:tcBorders>
                  <w:shd w:val="clear" w:color="auto" w:fill="auto"/>
                  <w:noWrap w:val="0"/>
                  <w:vAlign w:val="center"/>
                </w:tcPr>
                <w:p w14:paraId="3F40212B">
                  <w:pPr>
                    <w:pStyle w:val="6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b/>
                      <w:bCs/>
                      <w:sz w:val="21"/>
                      <w:szCs w:val="21"/>
                    </w:rPr>
                  </w:pPr>
                  <w:r>
                    <w:rPr>
                      <w:rFonts w:hint="eastAsia"/>
                      <w:b/>
                      <w:bCs/>
                      <w:sz w:val="21"/>
                      <w:szCs w:val="21"/>
                    </w:rPr>
                    <w:t>报告表</w:t>
                  </w:r>
                </w:p>
              </w:tc>
              <w:tc>
                <w:tcPr>
                  <w:tcW w:w="528" w:type="pct"/>
                  <w:tcBorders>
                    <w:tl2br w:val="nil"/>
                    <w:tr2bl w:val="nil"/>
                  </w:tcBorders>
                  <w:shd w:val="clear" w:color="auto" w:fill="auto"/>
                  <w:noWrap w:val="0"/>
                  <w:vAlign w:val="center"/>
                </w:tcPr>
                <w:p w14:paraId="76599070">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b/>
                      <w:bCs/>
                      <w:color w:val="auto"/>
                      <w:sz w:val="21"/>
                      <w:szCs w:val="21"/>
                    </w:rPr>
                  </w:pPr>
                  <w:r>
                    <w:rPr>
                      <w:rFonts w:hint="eastAsia"/>
                      <w:b/>
                      <w:bCs/>
                      <w:color w:val="auto"/>
                      <w:sz w:val="21"/>
                      <w:szCs w:val="21"/>
                    </w:rPr>
                    <w:t>登记表</w:t>
                  </w:r>
                </w:p>
              </w:tc>
              <w:tc>
                <w:tcPr>
                  <w:tcW w:w="612" w:type="pct"/>
                  <w:vMerge w:val="continue"/>
                  <w:tcBorders>
                    <w:tl2br w:val="nil"/>
                    <w:tr2bl w:val="nil"/>
                  </w:tcBorders>
                  <w:shd w:val="clear" w:color="auto" w:fill="auto"/>
                  <w:noWrap w:val="0"/>
                  <w:vAlign w:val="center"/>
                </w:tcPr>
                <w:p w14:paraId="55BA7F50">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b/>
                      <w:bCs/>
                      <w:color w:val="auto"/>
                      <w:sz w:val="21"/>
                      <w:szCs w:val="21"/>
                    </w:rPr>
                  </w:pPr>
                </w:p>
              </w:tc>
              <w:tc>
                <w:tcPr>
                  <w:tcW w:w="651" w:type="pct"/>
                  <w:vMerge w:val="continue"/>
                  <w:tcBorders>
                    <w:tl2br w:val="nil"/>
                    <w:tr2bl w:val="nil"/>
                  </w:tcBorders>
                  <w:shd w:val="clear" w:color="auto" w:fill="auto"/>
                  <w:noWrap w:val="0"/>
                  <w:vAlign w:val="center"/>
                </w:tcPr>
                <w:p w14:paraId="7BB80FE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p>
              </w:tc>
            </w:tr>
            <w:tr w14:paraId="7DD495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3" w:type="pct"/>
                  <w:tcBorders>
                    <w:tl2br w:val="nil"/>
                    <w:tr2bl w:val="nil"/>
                  </w:tcBorders>
                  <w:shd w:val="clear" w:color="auto" w:fill="auto"/>
                  <w:noWrap w:val="0"/>
                  <w:vAlign w:val="center"/>
                </w:tcPr>
                <w:p w14:paraId="5819990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eastAsia"/>
                      <w:color w:val="auto"/>
                      <w:sz w:val="21"/>
                      <w:szCs w:val="21"/>
                    </w:rPr>
                  </w:pPr>
                  <w:r>
                    <w:rPr>
                      <w:rFonts w:hint="eastAsia"/>
                      <w:color w:val="auto"/>
                      <w:sz w:val="21"/>
                      <w:szCs w:val="21"/>
                    </w:rPr>
                    <w:t>18</w:t>
                  </w:r>
                </w:p>
              </w:tc>
              <w:tc>
                <w:tcPr>
                  <w:tcW w:w="572" w:type="pct"/>
                  <w:tcBorders>
                    <w:tl2br w:val="nil"/>
                    <w:tr2bl w:val="nil"/>
                  </w:tcBorders>
                  <w:shd w:val="clear" w:color="auto" w:fill="auto"/>
                  <w:noWrap w:val="0"/>
                  <w:vAlign w:val="center"/>
                </w:tcPr>
                <w:p w14:paraId="748698D2">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b/>
                      <w:bCs/>
                      <w:color w:val="auto"/>
                      <w:sz w:val="21"/>
                      <w:szCs w:val="21"/>
                    </w:rPr>
                  </w:pPr>
                  <w:r>
                    <w:rPr>
                      <w:rFonts w:hint="eastAsia"/>
                      <w:color w:val="auto"/>
                      <w:sz w:val="21"/>
                      <w:szCs w:val="21"/>
                    </w:rPr>
                    <w:t>屠宰及肉类加工</w:t>
                  </w:r>
                  <w:r>
                    <w:rPr>
                      <w:rFonts w:hint="default"/>
                      <w:color w:val="auto"/>
                      <w:sz w:val="21"/>
                      <w:szCs w:val="21"/>
                    </w:rPr>
                    <w:t>135</w:t>
                  </w:r>
                </w:p>
              </w:tc>
              <w:tc>
                <w:tcPr>
                  <w:tcW w:w="1021" w:type="pct"/>
                  <w:tcBorders>
                    <w:tl2br w:val="nil"/>
                    <w:tr2bl w:val="nil"/>
                  </w:tcBorders>
                  <w:shd w:val="clear" w:color="auto" w:fill="auto"/>
                  <w:noWrap w:val="0"/>
                  <w:vAlign w:val="center"/>
                </w:tcPr>
                <w:p w14:paraId="678D0A8F">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both"/>
                    <w:textAlignment w:val="auto"/>
                    <w:rPr>
                      <w:rFonts w:hint="default"/>
                      <w:color w:val="auto"/>
                      <w:sz w:val="21"/>
                      <w:szCs w:val="21"/>
                    </w:rPr>
                  </w:pPr>
                  <w:r>
                    <w:rPr>
                      <w:rFonts w:hint="default"/>
                      <w:color w:val="auto"/>
                      <w:sz w:val="21"/>
                      <w:szCs w:val="21"/>
                    </w:rPr>
                    <w:t>屠宰生猪10万头、肉牛1万头、肉羊15万只、禽类1000万只及以上</w:t>
                  </w:r>
                </w:p>
              </w:tc>
              <w:tc>
                <w:tcPr>
                  <w:tcW w:w="1161" w:type="pct"/>
                  <w:tcBorders>
                    <w:tl2br w:val="nil"/>
                    <w:tr2bl w:val="nil"/>
                  </w:tcBorders>
                  <w:shd w:val="clear" w:color="auto" w:fill="auto"/>
                  <w:noWrap w:val="0"/>
                  <w:vAlign w:val="center"/>
                </w:tcPr>
                <w:p w14:paraId="2B35100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both"/>
                    <w:textAlignment w:val="auto"/>
                    <w:rPr>
                      <w:rFonts w:hint="default"/>
                      <w:color w:val="auto"/>
                      <w:sz w:val="21"/>
                      <w:szCs w:val="21"/>
                    </w:rPr>
                  </w:pPr>
                  <w:r>
                    <w:rPr>
                      <w:rFonts w:hint="default"/>
                      <w:color w:val="auto"/>
                      <w:sz w:val="21"/>
                      <w:szCs w:val="21"/>
                    </w:rPr>
                    <w:t>其他屠宰；年加工2万吨及以上的肉类加工</w:t>
                  </w:r>
                </w:p>
              </w:tc>
              <w:tc>
                <w:tcPr>
                  <w:tcW w:w="528" w:type="pct"/>
                  <w:tcBorders>
                    <w:tl2br w:val="nil"/>
                    <w:tr2bl w:val="nil"/>
                  </w:tcBorders>
                  <w:shd w:val="clear" w:color="auto" w:fill="auto"/>
                  <w:noWrap w:val="0"/>
                  <w:vAlign w:val="center"/>
                </w:tcPr>
                <w:p w14:paraId="1389C15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r>
                    <w:rPr>
                      <w:rFonts w:hint="default"/>
                      <w:color w:val="auto"/>
                      <w:sz w:val="21"/>
                      <w:szCs w:val="21"/>
                    </w:rPr>
                    <w:t>其他肉类加工</w:t>
                  </w:r>
                </w:p>
              </w:tc>
              <w:tc>
                <w:tcPr>
                  <w:tcW w:w="612" w:type="pct"/>
                  <w:tcBorders>
                    <w:tl2br w:val="nil"/>
                    <w:tr2bl w:val="nil"/>
                  </w:tcBorders>
                  <w:shd w:val="clear" w:color="auto" w:fill="auto"/>
                  <w:noWrap w:val="0"/>
                  <w:vAlign w:val="center"/>
                </w:tcPr>
                <w:p w14:paraId="57FA41B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r>
                    <w:rPr>
                      <w:rFonts w:hint="default"/>
                      <w:color w:val="auto"/>
                      <w:sz w:val="21"/>
                      <w:szCs w:val="21"/>
                    </w:rPr>
                    <w:t>年</w:t>
                  </w:r>
                  <w:r>
                    <w:rPr>
                      <w:rFonts w:hint="eastAsia"/>
                      <w:color w:val="auto"/>
                      <w:sz w:val="21"/>
                      <w:szCs w:val="21"/>
                      <w:lang w:val="en-US" w:eastAsia="zh-CN"/>
                    </w:rPr>
                    <w:t>加工</w:t>
                  </w:r>
                  <w:r>
                    <w:rPr>
                      <w:rFonts w:hint="default"/>
                      <w:color w:val="auto"/>
                      <w:sz w:val="21"/>
                      <w:szCs w:val="21"/>
                    </w:rPr>
                    <w:t>肉制品5000吨</w:t>
                  </w:r>
                </w:p>
              </w:tc>
              <w:tc>
                <w:tcPr>
                  <w:tcW w:w="651" w:type="pct"/>
                  <w:tcBorders>
                    <w:tl2br w:val="nil"/>
                    <w:tr2bl w:val="nil"/>
                  </w:tcBorders>
                  <w:shd w:val="clear" w:color="auto" w:fill="auto"/>
                  <w:noWrap w:val="0"/>
                  <w:vAlign w:val="center"/>
                </w:tcPr>
                <w:p w14:paraId="328A9BCE">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eastAsia"/>
                      <w:color w:val="auto"/>
                      <w:sz w:val="21"/>
                      <w:szCs w:val="21"/>
                    </w:rPr>
                  </w:pPr>
                  <w:r>
                    <w:rPr>
                      <w:rFonts w:hint="eastAsia"/>
                      <w:color w:val="auto"/>
                      <w:sz w:val="21"/>
                      <w:szCs w:val="21"/>
                    </w:rPr>
                    <w:t>登记表</w:t>
                  </w:r>
                </w:p>
              </w:tc>
            </w:tr>
            <w:tr w14:paraId="29DF1E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3" w:type="pct"/>
                  <w:tcBorders>
                    <w:tl2br w:val="nil"/>
                    <w:tr2bl w:val="nil"/>
                  </w:tcBorders>
                  <w:shd w:val="clear" w:color="auto" w:fill="auto"/>
                  <w:noWrap w:val="0"/>
                  <w:vAlign w:val="center"/>
                </w:tcPr>
                <w:p w14:paraId="6FE95C4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eastAsia"/>
                      <w:color w:val="auto"/>
                    </w:rPr>
                  </w:pPr>
                  <w:r>
                    <w:rPr>
                      <w:rFonts w:hint="eastAsia"/>
                      <w:color w:val="auto"/>
                    </w:rPr>
                    <w:t>20</w:t>
                  </w:r>
                </w:p>
              </w:tc>
              <w:tc>
                <w:tcPr>
                  <w:tcW w:w="572" w:type="pct"/>
                  <w:tcBorders>
                    <w:tl2br w:val="nil"/>
                    <w:tr2bl w:val="nil"/>
                  </w:tcBorders>
                  <w:shd w:val="clear" w:color="auto" w:fill="auto"/>
                  <w:noWrap w:val="0"/>
                  <w:vAlign w:val="center"/>
                </w:tcPr>
                <w:p w14:paraId="5FDD74F8">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r>
                    <w:rPr>
                      <w:rFonts w:hint="default"/>
                      <w:color w:val="auto"/>
                      <w:sz w:val="21"/>
                      <w:szCs w:val="21"/>
                    </w:rPr>
                    <w:t>其他农副食品加139</w:t>
                  </w:r>
                </w:p>
              </w:tc>
              <w:tc>
                <w:tcPr>
                  <w:tcW w:w="1021" w:type="pct"/>
                  <w:tcBorders>
                    <w:tl2br w:val="nil"/>
                    <w:tr2bl w:val="nil"/>
                  </w:tcBorders>
                  <w:shd w:val="clear" w:color="auto" w:fill="auto"/>
                  <w:noWrap w:val="0"/>
                  <w:vAlign w:val="center"/>
                </w:tcPr>
                <w:p w14:paraId="2F3A957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both"/>
                    <w:textAlignment w:val="auto"/>
                    <w:rPr>
                      <w:rFonts w:hint="default"/>
                      <w:color w:val="auto"/>
                      <w:sz w:val="21"/>
                      <w:szCs w:val="21"/>
                    </w:rPr>
                  </w:pPr>
                  <w:r>
                    <w:rPr>
                      <w:rFonts w:hint="default"/>
                      <w:color w:val="auto"/>
                      <w:sz w:val="21"/>
                      <w:szCs w:val="21"/>
                    </w:rPr>
                    <w:t>含发酵工艺的淀粉、淀粉糖制造</w:t>
                  </w:r>
                </w:p>
              </w:tc>
              <w:tc>
                <w:tcPr>
                  <w:tcW w:w="1161" w:type="pct"/>
                  <w:tcBorders>
                    <w:tl2br w:val="nil"/>
                    <w:tr2bl w:val="nil"/>
                  </w:tcBorders>
                  <w:shd w:val="clear" w:color="auto" w:fill="auto"/>
                  <w:noWrap w:val="0"/>
                  <w:vAlign w:val="center"/>
                </w:tcPr>
                <w:p w14:paraId="7765D639">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both"/>
                    <w:textAlignment w:val="auto"/>
                    <w:rPr>
                      <w:rFonts w:hint="default"/>
                      <w:color w:val="auto"/>
                      <w:sz w:val="21"/>
                      <w:szCs w:val="21"/>
                    </w:rPr>
                  </w:pPr>
                  <w:r>
                    <w:rPr>
                      <w:rFonts w:hint="default"/>
                      <w:color w:val="auto"/>
                      <w:sz w:val="21"/>
                      <w:szCs w:val="21"/>
                    </w:rPr>
                    <w:t>不含发酵工艺的淀粉、淀粉糖制造；淀粉制品制造；豆制品制造</w:t>
                  </w:r>
                </w:p>
                <w:p w14:paraId="25BE690A">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both"/>
                    <w:textAlignment w:val="auto"/>
                    <w:rPr>
                      <w:rFonts w:hint="default"/>
                      <w:color w:val="auto"/>
                      <w:sz w:val="21"/>
                      <w:szCs w:val="21"/>
                    </w:rPr>
                  </w:pPr>
                  <w:r>
                    <w:rPr>
                      <w:rFonts w:hint="default"/>
                      <w:color w:val="auto"/>
                      <w:sz w:val="21"/>
                      <w:szCs w:val="21"/>
                    </w:rPr>
                    <w:t>以上均不含单纯分装的</w:t>
                  </w:r>
                </w:p>
              </w:tc>
              <w:tc>
                <w:tcPr>
                  <w:tcW w:w="528" w:type="pct"/>
                  <w:tcBorders>
                    <w:tl2br w:val="nil"/>
                    <w:tr2bl w:val="nil"/>
                  </w:tcBorders>
                  <w:shd w:val="clear" w:color="auto" w:fill="auto"/>
                  <w:noWrap w:val="0"/>
                  <w:vAlign w:val="center"/>
                </w:tcPr>
                <w:p w14:paraId="5DFC788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b/>
                      <w:bCs/>
                      <w:color w:val="auto"/>
                    </w:rPr>
                  </w:pPr>
                  <w:r>
                    <w:rPr>
                      <w:rFonts w:hint="eastAsia"/>
                      <w:b/>
                      <w:bCs/>
                      <w:color w:val="auto"/>
                    </w:rPr>
                    <w:t>/</w:t>
                  </w:r>
                </w:p>
              </w:tc>
              <w:tc>
                <w:tcPr>
                  <w:tcW w:w="612" w:type="pct"/>
                  <w:tcBorders>
                    <w:tl2br w:val="nil"/>
                    <w:tr2bl w:val="nil"/>
                  </w:tcBorders>
                  <w:shd w:val="clear" w:color="auto" w:fill="auto"/>
                  <w:noWrap w:val="0"/>
                  <w:vAlign w:val="center"/>
                </w:tcPr>
                <w:p w14:paraId="1564670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r>
                    <w:rPr>
                      <w:rFonts w:hint="default"/>
                      <w:color w:val="auto"/>
                      <w:sz w:val="21"/>
                      <w:szCs w:val="21"/>
                    </w:rPr>
                    <w:t>年</w:t>
                  </w:r>
                  <w:r>
                    <w:rPr>
                      <w:rFonts w:hint="eastAsia"/>
                      <w:color w:val="auto"/>
                      <w:sz w:val="21"/>
                      <w:szCs w:val="21"/>
                      <w:lang w:val="en-US" w:eastAsia="zh-CN"/>
                    </w:rPr>
                    <w:t>加工</w:t>
                  </w:r>
                  <w:r>
                    <w:rPr>
                      <w:rFonts w:hint="default"/>
                      <w:color w:val="auto"/>
                      <w:sz w:val="21"/>
                      <w:szCs w:val="21"/>
                    </w:rPr>
                    <w:t>鹌鹑蛋</w:t>
                  </w:r>
                  <w:r>
                    <w:rPr>
                      <w:rFonts w:hint="eastAsia"/>
                      <w:color w:val="auto"/>
                      <w:sz w:val="21"/>
                      <w:szCs w:val="21"/>
                      <w:lang w:val="en-US" w:eastAsia="zh-CN"/>
                    </w:rPr>
                    <w:t>卤</w:t>
                  </w:r>
                  <w:r>
                    <w:rPr>
                      <w:rFonts w:hint="default"/>
                      <w:color w:val="auto"/>
                      <w:sz w:val="21"/>
                      <w:szCs w:val="21"/>
                    </w:rPr>
                    <w:t>制品3000吨</w:t>
                  </w:r>
                </w:p>
              </w:tc>
              <w:tc>
                <w:tcPr>
                  <w:tcW w:w="651" w:type="pct"/>
                  <w:tcBorders>
                    <w:tl2br w:val="nil"/>
                    <w:tr2bl w:val="nil"/>
                  </w:tcBorders>
                  <w:shd w:val="clear" w:color="auto" w:fill="auto"/>
                  <w:noWrap w:val="0"/>
                  <w:vAlign w:val="center"/>
                </w:tcPr>
                <w:p w14:paraId="401111EE">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r>
                    <w:rPr>
                      <w:rFonts w:hint="eastAsia"/>
                      <w:color w:val="auto"/>
                      <w:sz w:val="21"/>
                      <w:szCs w:val="21"/>
                    </w:rPr>
                    <w:t>/</w:t>
                  </w:r>
                </w:p>
              </w:tc>
            </w:tr>
            <w:tr w14:paraId="184C4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3" w:type="pct"/>
                  <w:tcBorders>
                    <w:tl2br w:val="nil"/>
                    <w:tr2bl w:val="nil"/>
                  </w:tcBorders>
                  <w:shd w:val="clear" w:color="auto" w:fill="auto"/>
                  <w:noWrap w:val="0"/>
                  <w:vAlign w:val="center"/>
                </w:tcPr>
                <w:p w14:paraId="0CBB21F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eastAsia"/>
                      <w:color w:val="auto"/>
                      <w:sz w:val="21"/>
                      <w:szCs w:val="21"/>
                    </w:rPr>
                  </w:pPr>
                  <w:r>
                    <w:rPr>
                      <w:rFonts w:hint="eastAsia"/>
                      <w:color w:val="auto"/>
                      <w:sz w:val="21"/>
                      <w:szCs w:val="21"/>
                    </w:rPr>
                    <w:t>91</w:t>
                  </w:r>
                </w:p>
              </w:tc>
              <w:tc>
                <w:tcPr>
                  <w:tcW w:w="572" w:type="pct"/>
                  <w:tcBorders>
                    <w:tl2br w:val="nil"/>
                    <w:tr2bl w:val="nil"/>
                  </w:tcBorders>
                  <w:shd w:val="clear" w:color="auto" w:fill="auto"/>
                  <w:noWrap w:val="0"/>
                  <w:vAlign w:val="center"/>
                </w:tcPr>
                <w:p w14:paraId="419303E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r>
                    <w:rPr>
                      <w:rFonts w:hint="default"/>
                      <w:color w:val="auto"/>
                      <w:sz w:val="21"/>
                      <w:szCs w:val="21"/>
                    </w:rPr>
                    <w:t>热力生产和供应工程（包括建设单位自建自用的供热工程）</w:t>
                  </w:r>
                </w:p>
              </w:tc>
              <w:tc>
                <w:tcPr>
                  <w:tcW w:w="1021" w:type="pct"/>
                  <w:tcBorders>
                    <w:tl2br w:val="nil"/>
                    <w:tr2bl w:val="nil"/>
                  </w:tcBorders>
                  <w:shd w:val="clear" w:color="auto" w:fill="auto"/>
                  <w:noWrap w:val="0"/>
                  <w:vAlign w:val="center"/>
                </w:tcPr>
                <w:p w14:paraId="492E4B46">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both"/>
                    <w:textAlignment w:val="auto"/>
                    <w:rPr>
                      <w:rFonts w:hint="default"/>
                      <w:color w:val="auto"/>
                      <w:sz w:val="21"/>
                      <w:szCs w:val="21"/>
                    </w:rPr>
                  </w:pPr>
                  <w:r>
                    <w:rPr>
                      <w:rFonts w:hint="default"/>
                      <w:color w:val="auto"/>
                      <w:sz w:val="21"/>
                      <w:szCs w:val="21"/>
                    </w:rPr>
                    <w:t>燃煤、燃油锅炉总容量65吨/小时（45.5兆瓦）以上的</w:t>
                  </w:r>
                </w:p>
              </w:tc>
              <w:tc>
                <w:tcPr>
                  <w:tcW w:w="1161" w:type="pct"/>
                  <w:tcBorders>
                    <w:tl2br w:val="nil"/>
                    <w:tr2bl w:val="nil"/>
                  </w:tcBorders>
                  <w:shd w:val="clear" w:color="auto" w:fill="auto"/>
                  <w:noWrap w:val="0"/>
                  <w:vAlign w:val="center"/>
                </w:tcPr>
                <w:p w14:paraId="68A1C5B3">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both"/>
                    <w:textAlignment w:val="auto"/>
                    <w:rPr>
                      <w:rFonts w:hint="default"/>
                      <w:color w:val="auto"/>
                      <w:sz w:val="21"/>
                      <w:szCs w:val="21"/>
                    </w:rPr>
                  </w:pPr>
                  <w:r>
                    <w:rPr>
                      <w:rFonts w:hint="default"/>
                      <w:color w:val="auto"/>
                      <w:sz w:val="21"/>
                      <w:szCs w:val="21"/>
                    </w:rPr>
                    <w:t>燃煤、燃油锅炉总容量65吨/小时（45.5兆瓦）及以下的；天然气锅炉总容量1吨/小时（0.7兆瓦）以上的；使用其他高污染燃料的（高污染燃料指国环规大气〔2017〕2号《高污染燃料目录》中规定的燃料</w:t>
                  </w:r>
                </w:p>
              </w:tc>
              <w:tc>
                <w:tcPr>
                  <w:tcW w:w="528" w:type="pct"/>
                  <w:tcBorders>
                    <w:tl2br w:val="nil"/>
                    <w:tr2bl w:val="nil"/>
                  </w:tcBorders>
                  <w:shd w:val="clear" w:color="auto" w:fill="auto"/>
                  <w:noWrap w:val="0"/>
                  <w:vAlign w:val="center"/>
                </w:tcPr>
                <w:p w14:paraId="3C7D973D">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b/>
                      <w:bCs/>
                      <w:color w:val="auto"/>
                    </w:rPr>
                  </w:pPr>
                  <w:r>
                    <w:rPr>
                      <w:rFonts w:hint="eastAsia"/>
                      <w:b/>
                      <w:bCs/>
                      <w:color w:val="auto"/>
                    </w:rPr>
                    <w:t>/</w:t>
                  </w:r>
                </w:p>
              </w:tc>
              <w:tc>
                <w:tcPr>
                  <w:tcW w:w="612" w:type="pct"/>
                  <w:tcBorders>
                    <w:tl2br w:val="nil"/>
                    <w:tr2bl w:val="nil"/>
                  </w:tcBorders>
                  <w:shd w:val="clear" w:color="auto" w:fill="auto"/>
                  <w:noWrap w:val="0"/>
                  <w:vAlign w:val="center"/>
                </w:tcPr>
                <w:p w14:paraId="4DBC4664">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本项目锅炉为4t/h燃生物质成型燃料蒸汽锅炉</w:t>
                  </w:r>
                </w:p>
              </w:tc>
              <w:tc>
                <w:tcPr>
                  <w:tcW w:w="651" w:type="pct"/>
                  <w:tcBorders>
                    <w:tl2br w:val="nil"/>
                    <w:tr2bl w:val="nil"/>
                  </w:tcBorders>
                  <w:shd w:val="clear" w:color="auto" w:fill="auto"/>
                  <w:noWrap w:val="0"/>
                  <w:vAlign w:val="center"/>
                </w:tcPr>
                <w:p w14:paraId="3A260407">
                  <w:pPr>
                    <w:keepNext w:val="0"/>
                    <w:keepLines w:val="0"/>
                    <w:pageBreakBefore w:val="0"/>
                    <w:widowControl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color w:val="auto"/>
                      <w:sz w:val="21"/>
                      <w:szCs w:val="21"/>
                    </w:rPr>
                  </w:pPr>
                  <w:r>
                    <w:rPr>
                      <w:rFonts w:hint="eastAsia"/>
                      <w:color w:val="auto"/>
                      <w:sz w:val="21"/>
                      <w:szCs w:val="21"/>
                    </w:rPr>
                    <w:t>报告表</w:t>
                  </w:r>
                </w:p>
              </w:tc>
            </w:tr>
          </w:tbl>
          <w:p w14:paraId="7A99B533">
            <w:pPr>
              <w:pStyle w:val="41"/>
              <w:keepNext w:val="0"/>
              <w:keepLines w:val="0"/>
              <w:suppressLineNumbers w:val="0"/>
              <w:spacing w:before="157" w:beforeLines="50" w:beforeAutospacing="0" w:after="0" w:afterAutospacing="0" w:line="360" w:lineRule="auto"/>
              <w:ind w:left="0" w:right="0" w:firstLine="480" w:firstLineChars="200"/>
              <w:rPr>
                <w:rFonts w:hint="default"/>
                <w:color w:val="auto"/>
              </w:rPr>
            </w:pPr>
            <w:r>
              <w:rPr>
                <w:rFonts w:hint="eastAsia"/>
                <w:color w:val="auto"/>
                <w:lang w:val="en-US" w:eastAsia="zh-CN"/>
              </w:rPr>
              <w:t>据上表可知，本项目应编制环境影响评价报告表，因此</w:t>
            </w:r>
            <w:r>
              <w:rPr>
                <w:rFonts w:hint="default"/>
                <w:color w:val="auto"/>
              </w:rPr>
              <w:t>湖南童记三利和食品有限公司特委托</w:t>
            </w:r>
            <w:r>
              <w:rPr>
                <w:rFonts w:hint="eastAsia"/>
                <w:color w:val="auto"/>
                <w:lang w:val="en-US" w:eastAsia="zh-CN"/>
              </w:rPr>
              <w:t>湖南中汇环境科技</w:t>
            </w:r>
            <w:r>
              <w:rPr>
                <w:rFonts w:hint="default"/>
                <w:color w:val="auto"/>
              </w:rPr>
              <w:t>有限公司编制环境影响</w:t>
            </w:r>
            <w:r>
              <w:rPr>
                <w:rFonts w:hint="eastAsia"/>
                <w:color w:val="auto"/>
                <w:lang w:val="en-US" w:eastAsia="zh-CN"/>
              </w:rPr>
              <w:t>评价</w:t>
            </w:r>
            <w:r>
              <w:rPr>
                <w:rFonts w:hint="default"/>
                <w:color w:val="auto"/>
              </w:rPr>
              <w:t>报告表。我公司接受委托后，立即开展了详细的现场调查、资料收集等工作，在对本项目的环境现状和可能造成的环境影响进行分析后，编制完成本项目环境影响</w:t>
            </w:r>
            <w:r>
              <w:rPr>
                <w:rFonts w:hint="eastAsia"/>
                <w:color w:val="auto"/>
                <w:lang w:val="en-US" w:eastAsia="zh-CN"/>
              </w:rPr>
              <w:t>评价</w:t>
            </w:r>
            <w:r>
              <w:rPr>
                <w:rFonts w:hint="default"/>
                <w:color w:val="auto"/>
              </w:rPr>
              <w:t>报告表。</w:t>
            </w:r>
          </w:p>
          <w:p w14:paraId="0FFB53ED">
            <w:pPr>
              <w:keepNext w:val="0"/>
              <w:keepLines w:val="0"/>
              <w:numPr>
                <w:ilvl w:val="0"/>
                <w:numId w:val="5"/>
              </w:numPr>
              <w:suppressLineNumbers w:val="0"/>
              <w:adjustRightInd w:val="0"/>
              <w:snapToGrid w:val="0"/>
              <w:spacing w:before="0" w:beforeAutospacing="0" w:after="0" w:afterAutospacing="0" w:line="360" w:lineRule="auto"/>
              <w:ind w:left="0" w:right="0"/>
              <w:rPr>
                <w:rFonts w:hint="default"/>
                <w:b/>
                <w:sz w:val="24"/>
                <w:u w:val="single"/>
              </w:rPr>
            </w:pPr>
            <w:r>
              <w:rPr>
                <w:rFonts w:hint="default"/>
                <w:b/>
                <w:sz w:val="28"/>
                <w:szCs w:val="28"/>
              </w:rPr>
              <w:t>建设内容</w:t>
            </w:r>
          </w:p>
          <w:p w14:paraId="561FB898">
            <w:pPr>
              <w:pStyle w:val="33"/>
              <w:keepNext w:val="0"/>
              <w:keepLines w:val="0"/>
              <w:numPr>
                <w:ilvl w:val="0"/>
                <w:numId w:val="7"/>
              </w:numPr>
              <w:suppressLineNumbers w:val="0"/>
              <w:spacing w:before="0" w:beforeAutospacing="0" w:after="0" w:afterAutospacing="0"/>
              <w:ind w:right="0" w:firstLineChars="0"/>
              <w:jc w:val="center"/>
              <w:rPr>
                <w:rFonts w:hint="default" w:eastAsia="宋体"/>
                <w:sz w:val="24"/>
                <w:lang w:val="en-US" w:eastAsia="zh-CN"/>
              </w:rPr>
            </w:pPr>
            <w:r>
              <w:rPr>
                <w:rFonts w:hint="eastAsia"/>
                <w:b/>
                <w:sz w:val="24"/>
                <w:szCs w:val="24"/>
                <w:lang w:val="en-US" w:eastAsia="zh-CN"/>
              </w:rPr>
              <w:t>本项目主要建设内容一览表</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12"/>
              <w:gridCol w:w="1856"/>
              <w:gridCol w:w="4436"/>
              <w:gridCol w:w="1142"/>
            </w:tblGrid>
            <w:tr w14:paraId="12C5A2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514" w:type="pct"/>
                  <w:tcBorders>
                    <w:tl2br w:val="nil"/>
                    <w:tr2bl w:val="nil"/>
                  </w:tcBorders>
                  <w:shd w:val="clear" w:color="auto" w:fill="auto"/>
                  <w:noWrap w:val="0"/>
                  <w:vAlign w:val="center"/>
                </w:tcPr>
                <w:p w14:paraId="2891CBB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类别</w:t>
                  </w:r>
                </w:p>
              </w:tc>
              <w:tc>
                <w:tcPr>
                  <w:tcW w:w="1125" w:type="pct"/>
                  <w:gridSpan w:val="2"/>
                  <w:tcBorders>
                    <w:tl2br w:val="nil"/>
                    <w:tr2bl w:val="nil"/>
                  </w:tcBorders>
                  <w:shd w:val="clear" w:color="auto" w:fill="auto"/>
                  <w:noWrap w:val="0"/>
                  <w:vAlign w:val="center"/>
                </w:tcPr>
                <w:p w14:paraId="0179654D">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工程名称</w:t>
                  </w:r>
                </w:p>
              </w:tc>
              <w:tc>
                <w:tcPr>
                  <w:tcW w:w="2672" w:type="pct"/>
                  <w:tcBorders>
                    <w:tl2br w:val="nil"/>
                    <w:tr2bl w:val="nil"/>
                  </w:tcBorders>
                  <w:shd w:val="clear" w:color="auto" w:fill="auto"/>
                  <w:noWrap w:val="0"/>
                  <w:vAlign w:val="center"/>
                </w:tcPr>
                <w:p w14:paraId="3A3F9CA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建筑内容及规模</w:t>
                  </w:r>
                </w:p>
              </w:tc>
              <w:tc>
                <w:tcPr>
                  <w:tcW w:w="688" w:type="pct"/>
                  <w:tcBorders>
                    <w:tl2br w:val="nil"/>
                    <w:tr2bl w:val="nil"/>
                  </w:tcBorders>
                  <w:shd w:val="clear" w:color="auto" w:fill="auto"/>
                  <w:noWrap w:val="0"/>
                  <w:vAlign w:val="center"/>
                </w:tcPr>
                <w:p w14:paraId="252CA90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备注</w:t>
                  </w:r>
                </w:p>
              </w:tc>
            </w:tr>
            <w:tr w14:paraId="41FFD8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restart"/>
                  <w:tcBorders>
                    <w:tl2br w:val="nil"/>
                    <w:tr2bl w:val="nil"/>
                  </w:tcBorders>
                  <w:shd w:val="clear" w:color="auto" w:fill="auto"/>
                  <w:noWrap w:val="0"/>
                  <w:vAlign w:val="center"/>
                </w:tcPr>
                <w:p w14:paraId="12DB4EE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主体工程</w:t>
                  </w:r>
                </w:p>
              </w:tc>
              <w:tc>
                <w:tcPr>
                  <w:tcW w:w="1118" w:type="pct"/>
                  <w:tcBorders>
                    <w:tl2br w:val="nil"/>
                    <w:tr2bl w:val="nil"/>
                  </w:tcBorders>
                  <w:shd w:val="clear" w:color="auto" w:fill="auto"/>
                  <w:noWrap w:val="0"/>
                  <w:vAlign w:val="center"/>
                </w:tcPr>
                <w:p w14:paraId="5313619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肉制品</w:t>
                  </w:r>
                  <w:r>
                    <w:rPr>
                      <w:rFonts w:hint="eastAsia" w:cs="Times New Roman"/>
                      <w:sz w:val="21"/>
                      <w:szCs w:val="21"/>
                      <w:highlight w:val="none"/>
                      <w:lang w:val="en-US" w:eastAsia="zh-CN"/>
                    </w:rPr>
                    <w:t>生产线</w:t>
                  </w:r>
                </w:p>
              </w:tc>
              <w:tc>
                <w:tcPr>
                  <w:tcW w:w="2672" w:type="pct"/>
                  <w:tcBorders>
                    <w:tl2br w:val="nil"/>
                    <w:tr2bl w:val="nil"/>
                  </w:tcBorders>
                  <w:shd w:val="clear" w:color="auto" w:fill="auto"/>
                  <w:noWrap w:val="0"/>
                  <w:vAlign w:val="center"/>
                </w:tcPr>
                <w:p w14:paraId="404D81C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eastAsia" w:cs="Times New Roman"/>
                      <w:sz w:val="21"/>
                      <w:szCs w:val="21"/>
                      <w:highlight w:val="none"/>
                      <w:lang w:val="en-US" w:eastAsia="zh-CN"/>
                    </w:rPr>
                  </w:pPr>
                  <w:r>
                    <w:rPr>
                      <w:rFonts w:hint="eastAsia" w:cs="Times New Roman"/>
                      <w:sz w:val="21"/>
                      <w:szCs w:val="21"/>
                      <w:highlight w:val="none"/>
                      <w:lang w:val="en-US" w:eastAsia="zh-CN"/>
                    </w:rPr>
                    <w:t>在综合生产车间</w:t>
                  </w:r>
                  <w:r>
                    <w:rPr>
                      <w:rFonts w:hint="eastAsia"/>
                      <w:lang w:val="en-US" w:eastAsia="zh-CN"/>
                    </w:rPr>
                    <w:t>一楼</w:t>
                  </w:r>
                  <w:r>
                    <w:rPr>
                      <w:rFonts w:hint="eastAsia" w:cs="Times New Roman"/>
                      <w:sz w:val="21"/>
                      <w:szCs w:val="21"/>
                      <w:highlight w:val="none"/>
                      <w:lang w:val="en-US" w:eastAsia="zh-CN"/>
                    </w:rPr>
                    <w:t>新建一条年产5000吨肉制品生产线，占地面积950平方米；</w:t>
                  </w:r>
                </w:p>
                <w:p w14:paraId="6366168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综合生产车间占地面积5139.58平方米，三层，建筑面积15567.77平方米，一楼现有鱼制品生产线占地面积822平方米。</w:t>
                  </w:r>
                </w:p>
              </w:tc>
              <w:tc>
                <w:tcPr>
                  <w:tcW w:w="688" w:type="pct"/>
                  <w:tcBorders>
                    <w:tl2br w:val="nil"/>
                    <w:tr2bl w:val="nil"/>
                  </w:tcBorders>
                  <w:shd w:val="clear" w:color="auto" w:fill="auto"/>
                  <w:noWrap w:val="0"/>
                  <w:vAlign w:val="center"/>
                </w:tcPr>
                <w:p w14:paraId="0B89557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车间利旧，生产线新增</w:t>
                  </w:r>
                </w:p>
              </w:tc>
            </w:tr>
            <w:tr w14:paraId="17D5E7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53D897E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189B7F6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sz w:val="21"/>
                      <w:szCs w:val="21"/>
                      <w:highlight w:val="none"/>
                      <w:lang w:val="en-US" w:eastAsia="zh-CN"/>
                    </w:rPr>
                  </w:pPr>
                  <w:r>
                    <w:rPr>
                      <w:rFonts w:hint="default" w:ascii="Times New Roman" w:hAnsi="Times New Roman" w:eastAsia="宋体" w:cs="Times New Roman"/>
                      <w:sz w:val="21"/>
                      <w:szCs w:val="21"/>
                      <w:highlight w:val="none"/>
                    </w:rPr>
                    <w:t>鹌鹑蛋</w:t>
                  </w:r>
                  <w:r>
                    <w:rPr>
                      <w:rFonts w:hint="eastAsia" w:cs="Times New Roman"/>
                      <w:sz w:val="21"/>
                      <w:szCs w:val="21"/>
                      <w:highlight w:val="none"/>
                      <w:lang w:val="en-US" w:eastAsia="zh-CN"/>
                    </w:rPr>
                    <w:t>卤制品</w:t>
                  </w:r>
                </w:p>
                <w:p w14:paraId="6BFB5BD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生产线</w:t>
                  </w:r>
                </w:p>
              </w:tc>
              <w:tc>
                <w:tcPr>
                  <w:tcW w:w="2672" w:type="pct"/>
                  <w:tcBorders>
                    <w:tl2br w:val="nil"/>
                    <w:tr2bl w:val="nil"/>
                  </w:tcBorders>
                  <w:shd w:val="clear" w:color="auto" w:fill="auto"/>
                  <w:noWrap w:val="0"/>
                  <w:vAlign w:val="center"/>
                </w:tcPr>
                <w:p w14:paraId="073C51C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eastAsia" w:cs="Times New Roman"/>
                      <w:sz w:val="21"/>
                      <w:szCs w:val="21"/>
                      <w:highlight w:val="none"/>
                      <w:lang w:val="en-US" w:eastAsia="zh-CN"/>
                    </w:rPr>
                  </w:pPr>
                  <w:r>
                    <w:rPr>
                      <w:rFonts w:hint="eastAsia" w:cs="Times New Roman"/>
                      <w:sz w:val="21"/>
                      <w:szCs w:val="21"/>
                      <w:highlight w:val="none"/>
                      <w:lang w:val="en-US" w:eastAsia="zh-CN"/>
                    </w:rPr>
                    <w:t>在综合生产车间三楼新建一条年产3000吨鹌鹑蛋生产线，占地面积为3339平方米</w:t>
                  </w:r>
                </w:p>
                <w:p w14:paraId="0C3889D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cs="Times New Roman"/>
                      <w:sz w:val="21"/>
                      <w:szCs w:val="21"/>
                      <w:highlight w:val="none"/>
                      <w:lang w:val="en-US" w:eastAsia="zh-CN"/>
                    </w:rPr>
                  </w:pPr>
                  <w:r>
                    <w:rPr>
                      <w:rFonts w:hint="default" w:cs="Times New Roman"/>
                      <w:sz w:val="21"/>
                      <w:szCs w:val="21"/>
                      <w:highlight w:val="none"/>
                      <w:lang w:val="en-US" w:eastAsia="zh-CN"/>
                    </w:rPr>
                    <w:t>综合生产车间占地面积5139.58平方米，三层，建筑面积15567.77平方米。</w:t>
                  </w:r>
                </w:p>
              </w:tc>
              <w:tc>
                <w:tcPr>
                  <w:tcW w:w="688" w:type="pct"/>
                  <w:tcBorders>
                    <w:tl2br w:val="nil"/>
                    <w:tr2bl w:val="nil"/>
                  </w:tcBorders>
                  <w:shd w:val="clear" w:color="auto" w:fill="auto"/>
                  <w:noWrap w:val="0"/>
                  <w:vAlign w:val="center"/>
                </w:tcPr>
                <w:p w14:paraId="025A944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车间利旧，生产线新增</w:t>
                  </w:r>
                </w:p>
              </w:tc>
            </w:tr>
            <w:tr w14:paraId="4BD8F0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12A7C08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rPr>
                  </w:pPr>
                </w:p>
              </w:tc>
              <w:tc>
                <w:tcPr>
                  <w:tcW w:w="1118" w:type="pct"/>
                  <w:tcBorders>
                    <w:tl2br w:val="nil"/>
                    <w:tr2bl w:val="nil"/>
                  </w:tcBorders>
                  <w:shd w:val="clear" w:color="auto" w:fill="auto"/>
                  <w:noWrap w:val="0"/>
                  <w:vAlign w:val="center"/>
                </w:tcPr>
                <w:p w14:paraId="326258A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锅炉房</w:t>
                  </w:r>
                </w:p>
              </w:tc>
              <w:tc>
                <w:tcPr>
                  <w:tcW w:w="2672" w:type="pct"/>
                  <w:tcBorders>
                    <w:tl2br w:val="nil"/>
                    <w:tr2bl w:val="nil"/>
                  </w:tcBorders>
                  <w:shd w:val="clear" w:color="auto" w:fill="auto"/>
                  <w:noWrap w:val="0"/>
                  <w:vAlign w:val="center"/>
                </w:tcPr>
                <w:p w14:paraId="34DFE7F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占地面积525m</w:t>
                  </w:r>
                  <w:r>
                    <w:rPr>
                      <w:rFonts w:hint="eastAsia" w:cs="Times New Roman"/>
                      <w:sz w:val="21"/>
                      <w:szCs w:val="21"/>
                      <w:highlight w:val="none"/>
                      <w:vertAlign w:val="superscript"/>
                      <w:lang w:val="en-US" w:eastAsia="zh-CN"/>
                    </w:rPr>
                    <w:t>2</w:t>
                  </w:r>
                  <w:r>
                    <w:rPr>
                      <w:rFonts w:hint="eastAsia" w:cs="Times New Roman"/>
                      <w:sz w:val="21"/>
                      <w:szCs w:val="21"/>
                      <w:highlight w:val="none"/>
                      <w:vertAlign w:val="baseline"/>
                      <w:lang w:val="en-US" w:eastAsia="zh-CN"/>
                    </w:rPr>
                    <w:t>，拆除原导热油锅炉，</w:t>
                  </w:r>
                  <w:r>
                    <w:rPr>
                      <w:rFonts w:hint="eastAsia" w:cs="Times New Roman"/>
                      <w:sz w:val="21"/>
                      <w:szCs w:val="21"/>
                      <w:highlight w:val="none"/>
                      <w:lang w:val="en-US" w:eastAsia="zh-CN"/>
                    </w:rPr>
                    <w:t>建设一台4t/h生物质蒸汽锅炉</w:t>
                  </w:r>
                </w:p>
              </w:tc>
              <w:tc>
                <w:tcPr>
                  <w:tcW w:w="688" w:type="pct"/>
                  <w:tcBorders>
                    <w:tl2br w:val="nil"/>
                    <w:tr2bl w:val="nil"/>
                  </w:tcBorders>
                  <w:shd w:val="clear" w:color="auto" w:fill="auto"/>
                  <w:noWrap w:val="0"/>
                  <w:vAlign w:val="center"/>
                </w:tcPr>
                <w:p w14:paraId="75ECC0E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锅炉房利旧，替换锅炉</w:t>
                  </w:r>
                </w:p>
              </w:tc>
            </w:tr>
            <w:tr w14:paraId="17DA18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tcBorders>
                    <w:tl2br w:val="nil"/>
                    <w:tr2bl w:val="nil"/>
                  </w:tcBorders>
                  <w:shd w:val="clear" w:color="auto" w:fill="auto"/>
                  <w:noWrap w:val="0"/>
                  <w:vAlign w:val="center"/>
                </w:tcPr>
                <w:p w14:paraId="147471A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辅助工程</w:t>
                  </w:r>
                </w:p>
              </w:tc>
              <w:tc>
                <w:tcPr>
                  <w:tcW w:w="1118" w:type="pct"/>
                  <w:tcBorders>
                    <w:tl2br w:val="nil"/>
                    <w:tr2bl w:val="nil"/>
                  </w:tcBorders>
                  <w:shd w:val="clear" w:color="auto" w:fill="auto"/>
                  <w:noWrap w:val="0"/>
                  <w:vAlign w:val="center"/>
                </w:tcPr>
                <w:p w14:paraId="1F9B77B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行政办公设施等</w:t>
                  </w:r>
                </w:p>
              </w:tc>
              <w:tc>
                <w:tcPr>
                  <w:tcW w:w="2672" w:type="pct"/>
                  <w:tcBorders>
                    <w:tl2br w:val="nil"/>
                    <w:tr2bl w:val="nil"/>
                  </w:tcBorders>
                  <w:shd w:val="clear" w:color="auto" w:fill="auto"/>
                  <w:noWrap w:val="0"/>
                  <w:vAlign w:val="center"/>
                </w:tcPr>
                <w:p w14:paraId="4C85616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本项目不另设办公生活设施，依托厂区现有项目的综合楼、食堂等相关设施</w:t>
                  </w:r>
                </w:p>
              </w:tc>
              <w:tc>
                <w:tcPr>
                  <w:tcW w:w="688" w:type="pct"/>
                  <w:tcBorders>
                    <w:tl2br w:val="nil"/>
                    <w:tr2bl w:val="nil"/>
                  </w:tcBorders>
                  <w:shd w:val="clear" w:color="auto" w:fill="auto"/>
                  <w:noWrap w:val="0"/>
                  <w:vAlign w:val="center"/>
                </w:tcPr>
                <w:p w14:paraId="0F1C359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依托现有</w:t>
                  </w:r>
                </w:p>
              </w:tc>
            </w:tr>
            <w:tr w14:paraId="5FBB98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restart"/>
                  <w:tcBorders>
                    <w:tl2br w:val="nil"/>
                    <w:tr2bl w:val="nil"/>
                  </w:tcBorders>
                  <w:shd w:val="clear" w:color="auto" w:fill="auto"/>
                  <w:noWrap w:val="0"/>
                  <w:vAlign w:val="center"/>
                </w:tcPr>
                <w:p w14:paraId="65AC262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公用工程</w:t>
                  </w:r>
                </w:p>
              </w:tc>
              <w:tc>
                <w:tcPr>
                  <w:tcW w:w="1118" w:type="pct"/>
                  <w:tcBorders>
                    <w:tl2br w:val="nil"/>
                    <w:tr2bl w:val="nil"/>
                  </w:tcBorders>
                  <w:shd w:val="clear" w:color="auto" w:fill="auto"/>
                  <w:noWrap w:val="0"/>
                  <w:vAlign w:val="center"/>
                </w:tcPr>
                <w:p w14:paraId="0588D05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供水系统</w:t>
                  </w:r>
                </w:p>
              </w:tc>
              <w:tc>
                <w:tcPr>
                  <w:tcW w:w="2672" w:type="pct"/>
                  <w:tcBorders>
                    <w:tl2br w:val="nil"/>
                    <w:tr2bl w:val="nil"/>
                  </w:tcBorders>
                  <w:shd w:val="clear" w:color="auto" w:fill="auto"/>
                  <w:noWrap w:val="0"/>
                  <w:vAlign w:val="center"/>
                </w:tcPr>
                <w:p w14:paraId="01EA1C2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val="0"/>
                      <w:color w:val="000000"/>
                      <w:kern w:val="2"/>
                      <w:sz w:val="21"/>
                      <w:szCs w:val="21"/>
                      <w:lang w:val="en-US" w:eastAsia="zh-CN" w:bidi="ar-SA"/>
                    </w:rPr>
                  </w:pPr>
                  <w:r>
                    <w:rPr>
                      <w:rFonts w:hint="default" w:ascii="Times New Roman" w:hAnsi="Times New Roman" w:eastAsia="宋体" w:cs="Times New Roman"/>
                      <w:bCs w:val="0"/>
                      <w:color w:val="000000"/>
                      <w:sz w:val="21"/>
                      <w:szCs w:val="21"/>
                    </w:rPr>
                    <w:t>由园区供水管网提供</w:t>
                  </w:r>
                </w:p>
              </w:tc>
              <w:tc>
                <w:tcPr>
                  <w:tcW w:w="688" w:type="pct"/>
                  <w:tcBorders>
                    <w:tl2br w:val="nil"/>
                    <w:tr2bl w:val="nil"/>
                  </w:tcBorders>
                  <w:shd w:val="clear" w:color="auto" w:fill="auto"/>
                  <w:noWrap w:val="0"/>
                  <w:vAlign w:val="center"/>
                </w:tcPr>
                <w:p w14:paraId="02DA600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依托</w:t>
                  </w:r>
                  <w:r>
                    <w:rPr>
                      <w:rFonts w:hint="eastAsia" w:cs="Times New Roman"/>
                      <w:sz w:val="21"/>
                      <w:szCs w:val="21"/>
                      <w:lang w:val="en-US" w:eastAsia="zh-CN"/>
                    </w:rPr>
                    <w:t>现有</w:t>
                  </w:r>
                </w:p>
              </w:tc>
            </w:tr>
            <w:tr w14:paraId="711BC7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60B06CA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096E65F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排水系统</w:t>
                  </w:r>
                </w:p>
              </w:tc>
              <w:tc>
                <w:tcPr>
                  <w:tcW w:w="2672" w:type="pct"/>
                  <w:tcBorders>
                    <w:tl2br w:val="nil"/>
                    <w:tr2bl w:val="nil"/>
                  </w:tcBorders>
                  <w:shd w:val="clear" w:color="auto" w:fill="auto"/>
                  <w:noWrap w:val="0"/>
                  <w:vAlign w:val="center"/>
                </w:tcPr>
                <w:p w14:paraId="1A4D14A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bCs w:val="0"/>
                      <w:color w:val="000000"/>
                      <w:kern w:val="2"/>
                      <w:sz w:val="21"/>
                      <w:szCs w:val="21"/>
                      <w:lang w:val="en-US" w:eastAsia="zh-CN" w:bidi="ar-SA"/>
                    </w:rPr>
                  </w:pPr>
                  <w:r>
                    <w:rPr>
                      <w:rFonts w:hint="default" w:ascii="Times New Roman" w:hAnsi="Times New Roman" w:eastAsia="宋体" w:cs="Times New Roman"/>
                      <w:bCs w:val="0"/>
                      <w:color w:val="000000"/>
                      <w:sz w:val="21"/>
                      <w:szCs w:val="21"/>
                    </w:rPr>
                    <w:t>依托园区排水系统，实行“雨污分流”排水方式</w:t>
                  </w:r>
                  <w:r>
                    <w:rPr>
                      <w:rFonts w:hint="eastAsia" w:cs="Times New Roman"/>
                      <w:bCs w:val="0"/>
                      <w:color w:val="000000"/>
                      <w:sz w:val="21"/>
                      <w:szCs w:val="21"/>
                      <w:lang w:eastAsia="zh-CN"/>
                    </w:rPr>
                    <w:t>；</w:t>
                  </w:r>
                  <w:r>
                    <w:rPr>
                      <w:rFonts w:hint="default" w:ascii="Times New Roman" w:hAnsi="Times New Roman" w:eastAsia="宋体" w:cs="Times New Roman"/>
                      <w:bCs w:val="0"/>
                      <w:color w:val="000000"/>
                      <w:sz w:val="21"/>
                      <w:szCs w:val="21"/>
                      <w:lang w:val="en-US" w:eastAsia="zh-CN"/>
                    </w:rPr>
                    <w:t>本项目外排废水为生产废水及生活污水，生产废水经自建沉淀池处理后与经化粪池预处理后的生活污水</w:t>
                  </w:r>
                  <w:r>
                    <w:rPr>
                      <w:rFonts w:hint="eastAsia" w:cs="Times New Roman"/>
                      <w:bCs w:val="0"/>
                      <w:color w:val="000000"/>
                      <w:sz w:val="21"/>
                      <w:szCs w:val="21"/>
                      <w:lang w:val="en-US" w:eastAsia="zh-CN"/>
                    </w:rPr>
                    <w:t>满足君山第二污水处理厂预处理中心废水接纳标准后</w:t>
                  </w:r>
                  <w:r>
                    <w:rPr>
                      <w:rFonts w:hint="default" w:ascii="Times New Roman" w:hAnsi="Times New Roman" w:eastAsia="宋体" w:cs="Times New Roman"/>
                      <w:bCs w:val="0"/>
                      <w:color w:val="000000"/>
                      <w:sz w:val="21"/>
                      <w:szCs w:val="21"/>
                      <w:lang w:val="en-US" w:eastAsia="zh-CN"/>
                    </w:rPr>
                    <w:t>排入园区污水管网进入君山区第二污水处理厂预处理中心处理，处理后废水满足君山区第二污水处理厂接纳标准后，排入君山区第二污水处理厂进行深度处理</w:t>
                  </w:r>
                  <w:r>
                    <w:rPr>
                      <w:rFonts w:hint="eastAsia" w:cs="Times New Roman"/>
                      <w:bCs w:val="0"/>
                      <w:color w:val="000000"/>
                      <w:sz w:val="21"/>
                      <w:szCs w:val="21"/>
                      <w:lang w:val="en-US" w:eastAsia="zh-CN"/>
                    </w:rPr>
                    <w:t>达标后外排长江。</w:t>
                  </w:r>
                </w:p>
              </w:tc>
              <w:tc>
                <w:tcPr>
                  <w:tcW w:w="688" w:type="pct"/>
                  <w:tcBorders>
                    <w:tl2br w:val="nil"/>
                    <w:tr2bl w:val="nil"/>
                  </w:tcBorders>
                  <w:shd w:val="clear" w:color="auto" w:fill="auto"/>
                  <w:noWrap w:val="0"/>
                  <w:vAlign w:val="center"/>
                </w:tcPr>
                <w:p w14:paraId="28963E8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依托</w:t>
                  </w:r>
                  <w:r>
                    <w:rPr>
                      <w:rFonts w:hint="eastAsia" w:cs="Times New Roman"/>
                      <w:sz w:val="21"/>
                      <w:szCs w:val="21"/>
                      <w:lang w:val="en-US" w:eastAsia="zh-CN"/>
                    </w:rPr>
                    <w:t>现有</w:t>
                  </w:r>
                </w:p>
              </w:tc>
            </w:tr>
            <w:tr w14:paraId="4E0543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7E9FF74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35D9405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供电系统</w:t>
                  </w:r>
                </w:p>
              </w:tc>
              <w:tc>
                <w:tcPr>
                  <w:tcW w:w="2672" w:type="pct"/>
                  <w:tcBorders>
                    <w:tl2br w:val="nil"/>
                    <w:tr2bl w:val="nil"/>
                  </w:tcBorders>
                  <w:shd w:val="clear" w:color="auto" w:fill="auto"/>
                  <w:noWrap w:val="0"/>
                  <w:vAlign w:val="center"/>
                </w:tcPr>
                <w:p w14:paraId="1B28002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val="0"/>
                      <w:color w:val="000000"/>
                      <w:kern w:val="2"/>
                      <w:sz w:val="21"/>
                      <w:szCs w:val="21"/>
                      <w:lang w:val="en-US" w:eastAsia="zh-CN" w:bidi="ar-SA"/>
                    </w:rPr>
                  </w:pPr>
                  <w:r>
                    <w:rPr>
                      <w:rFonts w:hint="default" w:ascii="Times New Roman" w:hAnsi="Times New Roman" w:eastAsia="宋体" w:cs="Times New Roman"/>
                      <w:bCs w:val="0"/>
                      <w:color w:val="000000"/>
                      <w:sz w:val="21"/>
                      <w:szCs w:val="21"/>
                    </w:rPr>
                    <w:t>由园区供电系统接入，配套相应的配电设施</w:t>
                  </w:r>
                </w:p>
              </w:tc>
              <w:tc>
                <w:tcPr>
                  <w:tcW w:w="688" w:type="pct"/>
                  <w:tcBorders>
                    <w:tl2br w:val="nil"/>
                    <w:tr2bl w:val="nil"/>
                  </w:tcBorders>
                  <w:shd w:val="clear" w:color="auto" w:fill="auto"/>
                  <w:noWrap w:val="0"/>
                  <w:vAlign w:val="center"/>
                </w:tcPr>
                <w:p w14:paraId="568D258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依托</w:t>
                  </w:r>
                  <w:r>
                    <w:rPr>
                      <w:rFonts w:hint="eastAsia" w:cs="Times New Roman"/>
                      <w:sz w:val="21"/>
                      <w:szCs w:val="21"/>
                      <w:lang w:val="en-US" w:eastAsia="zh-CN"/>
                    </w:rPr>
                    <w:t>现有</w:t>
                  </w:r>
                </w:p>
              </w:tc>
            </w:tr>
            <w:tr w14:paraId="352183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195E684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6B582E1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供热系统</w:t>
                  </w:r>
                </w:p>
              </w:tc>
              <w:tc>
                <w:tcPr>
                  <w:tcW w:w="2672" w:type="pct"/>
                  <w:tcBorders>
                    <w:tl2br w:val="nil"/>
                    <w:tr2bl w:val="nil"/>
                  </w:tcBorders>
                  <w:shd w:val="clear" w:color="auto" w:fill="auto"/>
                  <w:noWrap w:val="0"/>
                  <w:vAlign w:val="center"/>
                </w:tcPr>
                <w:p w14:paraId="50FB600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由厂区锅炉房提供</w:t>
                  </w:r>
                </w:p>
              </w:tc>
              <w:tc>
                <w:tcPr>
                  <w:tcW w:w="688" w:type="pct"/>
                  <w:tcBorders>
                    <w:tl2br w:val="nil"/>
                    <w:tr2bl w:val="nil"/>
                  </w:tcBorders>
                  <w:shd w:val="clear" w:color="auto" w:fill="auto"/>
                  <w:noWrap w:val="0"/>
                  <w:vAlign w:val="center"/>
                </w:tcPr>
                <w:p w14:paraId="69D24CC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依托现有</w:t>
                  </w:r>
                </w:p>
              </w:tc>
            </w:tr>
            <w:tr w14:paraId="3721A5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restart"/>
                  <w:tcBorders>
                    <w:tl2br w:val="nil"/>
                    <w:tr2bl w:val="nil"/>
                  </w:tcBorders>
                  <w:shd w:val="clear" w:color="auto" w:fill="auto"/>
                  <w:noWrap w:val="0"/>
                  <w:vAlign w:val="center"/>
                </w:tcPr>
                <w:p w14:paraId="2308AAE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储运工程</w:t>
                  </w:r>
                </w:p>
              </w:tc>
              <w:tc>
                <w:tcPr>
                  <w:tcW w:w="1118" w:type="pct"/>
                  <w:tcBorders>
                    <w:tl2br w:val="nil"/>
                    <w:tr2bl w:val="nil"/>
                  </w:tcBorders>
                  <w:shd w:val="clear" w:color="auto" w:fill="auto"/>
                  <w:noWrap w:val="0"/>
                  <w:vAlign w:val="center"/>
                </w:tcPr>
                <w:p w14:paraId="657FBF3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冷库</w:t>
                  </w:r>
                </w:p>
              </w:tc>
              <w:tc>
                <w:tcPr>
                  <w:tcW w:w="2672" w:type="pct"/>
                  <w:tcBorders>
                    <w:tl2br w:val="nil"/>
                    <w:tr2bl w:val="nil"/>
                  </w:tcBorders>
                  <w:shd w:val="clear" w:color="auto" w:fill="auto"/>
                  <w:noWrap w:val="0"/>
                  <w:vAlign w:val="center"/>
                </w:tcPr>
                <w:p w14:paraId="7759760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lang w:val="en-US" w:eastAsia="zh-CN"/>
                    </w:rPr>
                    <w:t>本项目</w:t>
                  </w:r>
                  <w:r>
                    <w:rPr>
                      <w:rFonts w:hint="eastAsia" w:cs="Times New Roman"/>
                      <w:sz w:val="21"/>
                      <w:szCs w:val="21"/>
                      <w:highlight w:val="none"/>
                      <w:lang w:val="en-US" w:eastAsia="zh-CN"/>
                    </w:rPr>
                    <w:t>新建一个168m</w:t>
                  </w:r>
                  <w:r>
                    <w:rPr>
                      <w:rFonts w:hint="eastAsia" w:cs="Times New Roman"/>
                      <w:sz w:val="21"/>
                      <w:szCs w:val="21"/>
                      <w:highlight w:val="none"/>
                      <w:vertAlign w:val="superscript"/>
                      <w:lang w:val="en-US" w:eastAsia="zh-CN"/>
                    </w:rPr>
                    <w:t>3</w:t>
                  </w:r>
                  <w:r>
                    <w:rPr>
                      <w:rFonts w:hint="eastAsia" w:cs="Times New Roman"/>
                      <w:sz w:val="21"/>
                      <w:szCs w:val="21"/>
                      <w:highlight w:val="none"/>
                      <w:vertAlign w:val="baseline"/>
                      <w:lang w:val="en-US" w:eastAsia="zh-CN"/>
                    </w:rPr>
                    <w:t>蛋制品冷库</w:t>
                  </w:r>
                  <w:r>
                    <w:rPr>
                      <w:rFonts w:hint="eastAsia"/>
                      <w:lang w:eastAsia="zh-CN"/>
                    </w:rPr>
                    <w:t>，</w:t>
                  </w:r>
                  <w:r>
                    <w:rPr>
                      <w:rFonts w:hint="eastAsia"/>
                      <w:lang w:val="en-US" w:eastAsia="zh-CN"/>
                    </w:rPr>
                    <w:t>新建1个</w:t>
                  </w:r>
                  <w:r>
                    <w:rPr>
                      <w:rFonts w:hint="eastAsia"/>
                      <w:highlight w:val="none"/>
                      <w:lang w:val="en-US" w:eastAsia="zh-CN"/>
                    </w:rPr>
                    <w:t>200m</w:t>
                  </w:r>
                  <w:r>
                    <w:rPr>
                      <w:rFonts w:hint="eastAsia"/>
                      <w:highlight w:val="none"/>
                      <w:vertAlign w:val="superscript"/>
                      <w:lang w:val="en-US" w:eastAsia="zh-CN"/>
                    </w:rPr>
                    <w:t>3</w:t>
                  </w:r>
                  <w:r>
                    <w:rPr>
                      <w:rFonts w:hint="eastAsia"/>
                      <w:highlight w:val="none"/>
                      <w:vertAlign w:val="baseline"/>
                      <w:lang w:val="en-US" w:eastAsia="zh-CN"/>
                    </w:rPr>
                    <w:t>的肉制品冷库，冷库使用冷媒为R32</w:t>
                  </w:r>
                </w:p>
              </w:tc>
              <w:tc>
                <w:tcPr>
                  <w:tcW w:w="688" w:type="pct"/>
                  <w:tcBorders>
                    <w:tl2br w:val="nil"/>
                    <w:tr2bl w:val="nil"/>
                  </w:tcBorders>
                  <w:shd w:val="clear" w:color="auto" w:fill="auto"/>
                  <w:noWrap w:val="0"/>
                  <w:vAlign w:val="center"/>
                </w:tcPr>
                <w:p w14:paraId="3E60631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新建</w:t>
                  </w:r>
                </w:p>
              </w:tc>
            </w:tr>
            <w:tr w14:paraId="161CF7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5CE676B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6BD4EB7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食用油储罐</w:t>
                  </w:r>
                </w:p>
              </w:tc>
              <w:tc>
                <w:tcPr>
                  <w:tcW w:w="2672" w:type="pct"/>
                  <w:tcBorders>
                    <w:tl2br w:val="nil"/>
                    <w:tr2bl w:val="nil"/>
                  </w:tcBorders>
                  <w:shd w:val="clear" w:color="auto" w:fill="auto"/>
                  <w:noWrap w:val="0"/>
                  <w:vAlign w:val="center"/>
                </w:tcPr>
                <w:p w14:paraId="7B61A4C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厂区已建3个食用油储油罐，容积分别为18m</w:t>
                  </w:r>
                  <w:r>
                    <w:rPr>
                      <w:rFonts w:hint="eastAsia" w:cs="Times New Roman"/>
                      <w:sz w:val="21"/>
                      <w:szCs w:val="21"/>
                      <w:highlight w:val="none"/>
                      <w:vertAlign w:val="superscript"/>
                      <w:lang w:val="en-US" w:eastAsia="zh-CN"/>
                    </w:rPr>
                    <w:t>3</w:t>
                  </w:r>
                  <w:r>
                    <w:rPr>
                      <w:rFonts w:hint="eastAsia" w:cs="Times New Roman"/>
                      <w:sz w:val="21"/>
                      <w:szCs w:val="21"/>
                      <w:highlight w:val="none"/>
                      <w:lang w:val="en-US" w:eastAsia="zh-CN"/>
                    </w:rPr>
                    <w:t>、31m</w:t>
                  </w:r>
                  <w:r>
                    <w:rPr>
                      <w:rFonts w:hint="eastAsia" w:cs="Times New Roman"/>
                      <w:sz w:val="21"/>
                      <w:szCs w:val="21"/>
                      <w:highlight w:val="none"/>
                      <w:vertAlign w:val="superscript"/>
                      <w:lang w:val="en-US" w:eastAsia="zh-CN"/>
                    </w:rPr>
                    <w:t>3</w:t>
                  </w:r>
                  <w:r>
                    <w:rPr>
                      <w:rFonts w:hint="eastAsia" w:cs="Times New Roman"/>
                      <w:sz w:val="21"/>
                      <w:szCs w:val="21"/>
                      <w:highlight w:val="none"/>
                      <w:lang w:val="en-US" w:eastAsia="zh-CN"/>
                    </w:rPr>
                    <w:t>、61m</w:t>
                  </w:r>
                  <w:r>
                    <w:rPr>
                      <w:rFonts w:hint="eastAsia" w:cs="Times New Roman"/>
                      <w:sz w:val="21"/>
                      <w:szCs w:val="21"/>
                      <w:highlight w:val="none"/>
                      <w:vertAlign w:val="superscript"/>
                      <w:lang w:val="en-US" w:eastAsia="zh-CN"/>
                    </w:rPr>
                    <w:t>3</w:t>
                  </w:r>
                  <w:r>
                    <w:rPr>
                      <w:rFonts w:hint="eastAsia" w:cs="Times New Roman"/>
                      <w:sz w:val="21"/>
                      <w:szCs w:val="21"/>
                      <w:highlight w:val="none"/>
                      <w:lang w:val="en-US" w:eastAsia="zh-CN"/>
                    </w:rPr>
                    <w:t>；6个废食用油储罐，2个7.5m</w:t>
                  </w:r>
                  <w:r>
                    <w:rPr>
                      <w:rFonts w:hint="eastAsia" w:cs="Times New Roman"/>
                      <w:sz w:val="21"/>
                      <w:szCs w:val="21"/>
                      <w:highlight w:val="none"/>
                      <w:vertAlign w:val="superscript"/>
                      <w:lang w:val="en-US" w:eastAsia="zh-CN"/>
                    </w:rPr>
                    <w:t>3</w:t>
                  </w:r>
                  <w:r>
                    <w:rPr>
                      <w:rFonts w:hint="eastAsia" w:cs="Times New Roman"/>
                      <w:sz w:val="21"/>
                      <w:szCs w:val="21"/>
                      <w:highlight w:val="none"/>
                      <w:lang w:val="en-US" w:eastAsia="zh-CN"/>
                    </w:rPr>
                    <w:t>储罐、4个8m</w:t>
                  </w:r>
                  <w:r>
                    <w:rPr>
                      <w:rFonts w:hint="eastAsia" w:cs="Times New Roman"/>
                      <w:sz w:val="21"/>
                      <w:szCs w:val="21"/>
                      <w:highlight w:val="none"/>
                      <w:vertAlign w:val="superscript"/>
                      <w:lang w:val="en-US" w:eastAsia="zh-CN"/>
                    </w:rPr>
                    <w:t>3</w:t>
                  </w:r>
                  <w:r>
                    <w:rPr>
                      <w:rFonts w:hint="eastAsia" w:cs="Times New Roman"/>
                      <w:sz w:val="21"/>
                      <w:szCs w:val="21"/>
                      <w:highlight w:val="none"/>
                      <w:lang w:val="en-US" w:eastAsia="zh-CN"/>
                    </w:rPr>
                    <w:t>储罐</w:t>
                  </w:r>
                </w:p>
              </w:tc>
              <w:tc>
                <w:tcPr>
                  <w:tcW w:w="688" w:type="pct"/>
                  <w:tcBorders>
                    <w:tl2br w:val="nil"/>
                    <w:tr2bl w:val="nil"/>
                  </w:tcBorders>
                  <w:shd w:val="clear" w:color="auto" w:fill="auto"/>
                  <w:noWrap w:val="0"/>
                  <w:vAlign w:val="center"/>
                </w:tcPr>
                <w:p w14:paraId="42EDA83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依托现有</w:t>
                  </w:r>
                </w:p>
              </w:tc>
            </w:tr>
            <w:tr w14:paraId="1AB29C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5448E3D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3D1A52B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仓库</w:t>
                  </w:r>
                </w:p>
              </w:tc>
              <w:tc>
                <w:tcPr>
                  <w:tcW w:w="2672" w:type="pct"/>
                  <w:tcBorders>
                    <w:tl2br w:val="nil"/>
                    <w:tr2bl w:val="nil"/>
                  </w:tcBorders>
                  <w:shd w:val="clear" w:color="auto" w:fill="auto"/>
                  <w:noWrap w:val="0"/>
                  <w:vAlign w:val="center"/>
                </w:tcPr>
                <w:p w14:paraId="2355185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rPr>
                    <w:t>本项目不另设</w:t>
                  </w:r>
                  <w:r>
                    <w:rPr>
                      <w:rFonts w:hint="eastAsia" w:cs="Times New Roman"/>
                      <w:sz w:val="21"/>
                      <w:szCs w:val="21"/>
                      <w:highlight w:val="none"/>
                      <w:lang w:val="en-US" w:eastAsia="zh-CN"/>
                    </w:rPr>
                    <w:t>仓库，依托厂区已建仓库</w:t>
                  </w:r>
                  <w:r>
                    <w:rPr>
                      <w:rFonts w:hint="eastAsia"/>
                      <w:lang w:eastAsia="zh-CN"/>
                    </w:rPr>
                    <w:t>，</w:t>
                  </w:r>
                  <w:r>
                    <w:rPr>
                      <w:rFonts w:hint="eastAsia"/>
                      <w:lang w:val="en-US" w:eastAsia="zh-CN"/>
                    </w:rPr>
                    <w:t>厂区已建一个180m</w:t>
                  </w:r>
                  <w:r>
                    <w:rPr>
                      <w:rFonts w:hint="eastAsia"/>
                      <w:vertAlign w:val="superscript"/>
                      <w:lang w:val="en-US" w:eastAsia="zh-CN"/>
                    </w:rPr>
                    <w:t>2</w:t>
                  </w:r>
                  <w:r>
                    <w:rPr>
                      <w:rFonts w:hint="eastAsia"/>
                      <w:lang w:val="en-US" w:eastAsia="zh-CN"/>
                    </w:rPr>
                    <w:t>辅料仓库、300m</w:t>
                  </w:r>
                  <w:r>
                    <w:rPr>
                      <w:rFonts w:hint="eastAsia"/>
                      <w:vertAlign w:val="superscript"/>
                      <w:lang w:val="en-US" w:eastAsia="zh-CN"/>
                    </w:rPr>
                    <w:t>2</w:t>
                  </w:r>
                  <w:r>
                    <w:rPr>
                      <w:rFonts w:hint="eastAsia"/>
                      <w:lang w:val="en-US" w:eastAsia="zh-CN"/>
                    </w:rPr>
                    <w:t>包材仓库、2500m</w:t>
                  </w:r>
                  <w:r>
                    <w:rPr>
                      <w:rFonts w:hint="eastAsia"/>
                      <w:vertAlign w:val="superscript"/>
                      <w:lang w:val="en-US" w:eastAsia="zh-CN"/>
                    </w:rPr>
                    <w:t>2</w:t>
                  </w:r>
                  <w:r>
                    <w:rPr>
                      <w:rFonts w:hint="eastAsia"/>
                      <w:lang w:val="en-US" w:eastAsia="zh-CN"/>
                    </w:rPr>
                    <w:t>成品仓库、120m</w:t>
                  </w:r>
                  <w:r>
                    <w:rPr>
                      <w:rFonts w:hint="eastAsia"/>
                      <w:vertAlign w:val="superscript"/>
                      <w:lang w:val="en-US" w:eastAsia="zh-CN"/>
                    </w:rPr>
                    <w:t>2</w:t>
                  </w:r>
                  <w:r>
                    <w:rPr>
                      <w:rFonts w:hint="eastAsia"/>
                      <w:lang w:val="en-US" w:eastAsia="zh-CN"/>
                    </w:rPr>
                    <w:t>的生物质燃料仓库</w:t>
                  </w:r>
                </w:p>
              </w:tc>
              <w:tc>
                <w:tcPr>
                  <w:tcW w:w="688" w:type="pct"/>
                  <w:tcBorders>
                    <w:tl2br w:val="nil"/>
                    <w:tr2bl w:val="nil"/>
                  </w:tcBorders>
                  <w:shd w:val="clear" w:color="auto" w:fill="auto"/>
                  <w:noWrap w:val="0"/>
                  <w:vAlign w:val="center"/>
                </w:tcPr>
                <w:p w14:paraId="5F7A2B9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依托现有</w:t>
                  </w:r>
                </w:p>
              </w:tc>
            </w:tr>
            <w:tr w14:paraId="221AA0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restart"/>
                  <w:tcBorders>
                    <w:tl2br w:val="nil"/>
                    <w:tr2bl w:val="nil"/>
                  </w:tcBorders>
                  <w:shd w:val="clear" w:color="auto" w:fill="auto"/>
                  <w:noWrap w:val="0"/>
                  <w:vAlign w:val="center"/>
                </w:tcPr>
                <w:p w14:paraId="7FBFF86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环保工程</w:t>
                  </w:r>
                </w:p>
              </w:tc>
              <w:tc>
                <w:tcPr>
                  <w:tcW w:w="1118" w:type="pct"/>
                  <w:tcBorders>
                    <w:tl2br w:val="nil"/>
                    <w:tr2bl w:val="nil"/>
                  </w:tcBorders>
                  <w:shd w:val="clear" w:color="auto" w:fill="auto"/>
                  <w:noWrap w:val="0"/>
                  <w:vAlign w:val="center"/>
                </w:tcPr>
                <w:p w14:paraId="60EE2D8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w:t>
                  </w:r>
                </w:p>
              </w:tc>
              <w:tc>
                <w:tcPr>
                  <w:tcW w:w="2672" w:type="pct"/>
                  <w:tcBorders>
                    <w:tl2br w:val="nil"/>
                    <w:tr2bl w:val="nil"/>
                  </w:tcBorders>
                  <w:shd w:val="clear" w:color="auto" w:fill="auto"/>
                  <w:noWrap w:val="0"/>
                  <w:vAlign w:val="center"/>
                </w:tcPr>
                <w:p w14:paraId="03685DB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生产废水经</w:t>
                  </w:r>
                  <w:r>
                    <w:rPr>
                      <w:rFonts w:hint="eastAsia" w:cs="Times New Roman"/>
                      <w:sz w:val="21"/>
                      <w:szCs w:val="21"/>
                      <w:lang w:val="en-US" w:eastAsia="zh-CN"/>
                    </w:rPr>
                    <w:t>隔油</w:t>
                  </w:r>
                  <w:r>
                    <w:rPr>
                      <w:rFonts w:hint="default" w:ascii="Times New Roman" w:hAnsi="Times New Roman" w:eastAsia="宋体" w:cs="Times New Roman"/>
                      <w:sz w:val="21"/>
                      <w:szCs w:val="21"/>
                      <w:lang w:val="en-US" w:eastAsia="zh-CN"/>
                    </w:rPr>
                    <w:t>沉淀池处理后与经化粪池预处理后的生活污水满足君山第二污水处理厂预处理中心废水接纳标准后排入园区污水管网进入君山区第二污水处理厂预处理中心</w:t>
                  </w:r>
                  <w:r>
                    <w:rPr>
                      <w:rFonts w:hint="eastAsia" w:cs="Times New Roman"/>
                      <w:sz w:val="21"/>
                      <w:szCs w:val="21"/>
                      <w:lang w:val="en-US" w:eastAsia="zh-CN"/>
                    </w:rPr>
                    <w:t>处理</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再</w:t>
                  </w:r>
                  <w:r>
                    <w:rPr>
                      <w:rFonts w:hint="default" w:ascii="Times New Roman" w:hAnsi="Times New Roman" w:eastAsia="宋体" w:cs="Times New Roman"/>
                      <w:sz w:val="21"/>
                      <w:szCs w:val="21"/>
                      <w:lang w:val="en-US" w:eastAsia="zh-CN"/>
                    </w:rPr>
                    <w:t>排入君山区第二污水处理厂进行深度处理</w:t>
                  </w:r>
                  <w:r>
                    <w:rPr>
                      <w:rFonts w:hint="eastAsia" w:cs="Times New Roman"/>
                      <w:sz w:val="21"/>
                      <w:szCs w:val="21"/>
                      <w:lang w:val="en-US" w:eastAsia="zh-CN"/>
                    </w:rPr>
                    <w:t>，</w:t>
                  </w:r>
                  <w:r>
                    <w:rPr>
                      <w:rFonts w:hint="default" w:ascii="Times New Roman" w:hAnsi="Times New Roman" w:eastAsia="宋体" w:cs="Times New Roman"/>
                      <w:sz w:val="21"/>
                      <w:szCs w:val="21"/>
                      <w:lang w:val="en-US" w:eastAsia="zh-CN"/>
                    </w:rPr>
                    <w:t>达到《城镇污水处理厂污染物排放标准》（GB18918-2002）一级A标准</w:t>
                  </w:r>
                  <w:r>
                    <w:rPr>
                      <w:rFonts w:hint="eastAsia" w:cs="Times New Roman"/>
                      <w:sz w:val="21"/>
                      <w:szCs w:val="21"/>
                      <w:lang w:val="en-US" w:eastAsia="zh-CN"/>
                    </w:rPr>
                    <w:t>后</w:t>
                  </w:r>
                  <w:r>
                    <w:rPr>
                      <w:rFonts w:hint="default" w:ascii="Times New Roman" w:hAnsi="Times New Roman" w:eastAsia="宋体" w:cs="Times New Roman"/>
                      <w:sz w:val="21"/>
                      <w:szCs w:val="21"/>
                      <w:lang w:val="en-US" w:eastAsia="zh-CN"/>
                    </w:rPr>
                    <w:t>沿柳毅西路铺设的污水管网排入长江</w:t>
                  </w:r>
                </w:p>
              </w:tc>
              <w:tc>
                <w:tcPr>
                  <w:tcW w:w="688" w:type="pct"/>
                  <w:tcBorders>
                    <w:tl2br w:val="nil"/>
                    <w:tr2bl w:val="nil"/>
                  </w:tcBorders>
                  <w:shd w:val="clear" w:color="auto" w:fill="auto"/>
                  <w:noWrap w:val="0"/>
                  <w:vAlign w:val="center"/>
                </w:tcPr>
                <w:p w14:paraId="4668B38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依托</w:t>
                  </w:r>
                  <w:r>
                    <w:rPr>
                      <w:rFonts w:hint="eastAsia" w:cs="Times New Roman"/>
                      <w:sz w:val="21"/>
                      <w:szCs w:val="21"/>
                      <w:lang w:val="en-US" w:eastAsia="zh-CN"/>
                    </w:rPr>
                    <w:t>现有</w:t>
                  </w:r>
                </w:p>
              </w:tc>
            </w:tr>
            <w:tr w14:paraId="22AC76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23C3041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vMerge w:val="restart"/>
                  <w:tcBorders>
                    <w:tl2br w:val="nil"/>
                    <w:tr2bl w:val="nil"/>
                  </w:tcBorders>
                  <w:shd w:val="clear" w:color="auto" w:fill="auto"/>
                  <w:noWrap w:val="0"/>
                  <w:vAlign w:val="center"/>
                </w:tcPr>
                <w:p w14:paraId="4D22545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2672" w:type="pct"/>
                  <w:tcBorders>
                    <w:tl2br w:val="nil"/>
                    <w:tr2bl w:val="nil"/>
                  </w:tcBorders>
                  <w:shd w:val="clear" w:color="auto" w:fill="auto"/>
                  <w:noWrap w:val="0"/>
                  <w:vAlign w:val="center"/>
                </w:tcPr>
                <w:p w14:paraId="1BD8827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生产油炸车间有组织废气通过</w:t>
                  </w:r>
                  <w:r>
                    <w:rPr>
                      <w:rFonts w:hint="eastAsia" w:cs="Times New Roman"/>
                      <w:sz w:val="21"/>
                      <w:szCs w:val="21"/>
                      <w:lang w:val="en-US" w:eastAsia="zh-CN"/>
                    </w:rPr>
                    <w:t>工业静电</w:t>
                  </w:r>
                  <w:r>
                    <w:rPr>
                      <w:rFonts w:hint="eastAsia" w:ascii="Times New Roman" w:hAnsi="Times New Roman" w:eastAsia="宋体" w:cs="Times New Roman"/>
                      <w:sz w:val="21"/>
                      <w:szCs w:val="21"/>
                      <w:lang w:val="en-US" w:eastAsia="zh-CN"/>
                    </w:rPr>
                    <w:t>油烟净化设备处理后</w:t>
                  </w:r>
                  <w:r>
                    <w:rPr>
                      <w:rFonts w:hint="eastAsia" w:cs="Times New Roman"/>
                      <w:sz w:val="21"/>
                      <w:szCs w:val="21"/>
                      <w:lang w:val="en-US" w:eastAsia="zh-CN"/>
                    </w:rPr>
                    <w:t>通过21</w:t>
                  </w:r>
                  <w:r>
                    <w:rPr>
                      <w:rFonts w:hint="eastAsia" w:ascii="Times New Roman" w:hAnsi="Times New Roman" w:eastAsia="宋体" w:cs="Times New Roman"/>
                      <w:sz w:val="21"/>
                      <w:szCs w:val="21"/>
                      <w:lang w:val="en-US" w:eastAsia="zh-CN"/>
                    </w:rPr>
                    <w:t>m</w:t>
                  </w:r>
                  <w:r>
                    <w:rPr>
                      <w:rFonts w:hint="eastAsia" w:cs="Times New Roman"/>
                      <w:sz w:val="21"/>
                      <w:szCs w:val="21"/>
                      <w:lang w:val="en-US" w:eastAsia="zh-CN"/>
                    </w:rPr>
                    <w:t>高DA002排气筒排放</w:t>
                  </w:r>
                </w:p>
              </w:tc>
              <w:tc>
                <w:tcPr>
                  <w:tcW w:w="688" w:type="pct"/>
                  <w:tcBorders>
                    <w:tl2br w:val="nil"/>
                    <w:tr2bl w:val="nil"/>
                  </w:tcBorders>
                  <w:shd w:val="clear" w:color="auto" w:fill="auto"/>
                  <w:noWrap w:val="0"/>
                  <w:vAlign w:val="center"/>
                </w:tcPr>
                <w:p w14:paraId="3EF3B74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排气筒依托，本项目新增废气处理设施一套</w:t>
                  </w:r>
                </w:p>
              </w:tc>
            </w:tr>
            <w:tr w14:paraId="3FC462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5AFC2AD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vMerge w:val="continue"/>
                  <w:tcBorders>
                    <w:tl2br w:val="nil"/>
                    <w:tr2bl w:val="nil"/>
                  </w:tcBorders>
                  <w:shd w:val="clear" w:color="auto" w:fill="auto"/>
                  <w:noWrap w:val="0"/>
                  <w:vAlign w:val="center"/>
                </w:tcPr>
                <w:p w14:paraId="122AC2B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2672" w:type="pct"/>
                  <w:tcBorders>
                    <w:tl2br w:val="nil"/>
                    <w:tr2bl w:val="nil"/>
                  </w:tcBorders>
                  <w:shd w:val="clear" w:color="auto" w:fill="auto"/>
                  <w:noWrap w:val="0"/>
                  <w:vAlign w:val="center"/>
                </w:tcPr>
                <w:p w14:paraId="6B8F6B8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锅炉废气通过</w:t>
                  </w:r>
                  <w:r>
                    <w:rPr>
                      <w:rFonts w:hint="eastAsia" w:cs="Times New Roman"/>
                      <w:sz w:val="21"/>
                      <w:szCs w:val="21"/>
                      <w:lang w:val="en-US" w:eastAsia="zh-CN"/>
                    </w:rPr>
                    <w:t>单管旋风除尘器和布袋除尘器</w:t>
                  </w:r>
                  <w:r>
                    <w:rPr>
                      <w:rFonts w:hint="eastAsia" w:ascii="Times New Roman" w:hAnsi="Times New Roman" w:eastAsia="宋体" w:cs="Times New Roman"/>
                      <w:sz w:val="21"/>
                      <w:szCs w:val="21"/>
                      <w:lang w:val="en-US" w:eastAsia="zh-CN"/>
                    </w:rPr>
                    <w:t>后</w:t>
                  </w:r>
                  <w:r>
                    <w:rPr>
                      <w:rFonts w:hint="eastAsia" w:cs="Times New Roman"/>
                      <w:sz w:val="21"/>
                      <w:szCs w:val="21"/>
                      <w:lang w:val="en-US" w:eastAsia="zh-CN"/>
                    </w:rPr>
                    <w:t>通过</w:t>
                  </w:r>
                  <w:r>
                    <w:rPr>
                      <w:rFonts w:hint="eastAsia" w:ascii="Times New Roman" w:hAnsi="Times New Roman" w:eastAsia="宋体" w:cs="Times New Roman"/>
                      <w:sz w:val="21"/>
                      <w:szCs w:val="21"/>
                      <w:lang w:val="en-US" w:eastAsia="zh-CN"/>
                    </w:rPr>
                    <w:t>35m</w:t>
                  </w:r>
                  <w:r>
                    <w:rPr>
                      <w:rFonts w:hint="eastAsia" w:cs="Times New Roman"/>
                      <w:sz w:val="21"/>
                      <w:szCs w:val="21"/>
                      <w:lang w:val="en-US" w:eastAsia="zh-CN"/>
                    </w:rPr>
                    <w:t>高DA001排气筒排放</w:t>
                  </w:r>
                </w:p>
              </w:tc>
              <w:tc>
                <w:tcPr>
                  <w:tcW w:w="688" w:type="pct"/>
                  <w:tcBorders>
                    <w:tl2br w:val="nil"/>
                    <w:tr2bl w:val="nil"/>
                  </w:tcBorders>
                  <w:shd w:val="clear" w:color="auto" w:fill="auto"/>
                  <w:noWrap w:val="0"/>
                  <w:vAlign w:val="center"/>
                </w:tcPr>
                <w:p w14:paraId="21225BD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sz w:val="21"/>
                      <w:szCs w:val="21"/>
                      <w:lang w:val="en-US" w:eastAsia="zh-CN"/>
                    </w:rPr>
                    <w:t>新建</w:t>
                  </w:r>
                </w:p>
              </w:tc>
            </w:tr>
            <w:tr w14:paraId="54BA02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31B55AF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72EDC3ED">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固体废物</w:t>
                  </w:r>
                </w:p>
              </w:tc>
              <w:tc>
                <w:tcPr>
                  <w:tcW w:w="2672" w:type="pct"/>
                  <w:tcBorders>
                    <w:tl2br w:val="nil"/>
                    <w:tr2bl w:val="nil"/>
                  </w:tcBorders>
                  <w:shd w:val="clear" w:color="auto" w:fill="auto"/>
                  <w:noWrap w:val="0"/>
                  <w:vAlign w:val="center"/>
                </w:tcPr>
                <w:p w14:paraId="39C780E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420" w:firstLineChars="200"/>
                    <w:jc w:val="both"/>
                    <w:textAlignment w:val="auto"/>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厂区建有一个22</w:t>
                  </w:r>
                  <w:r>
                    <w:rPr>
                      <w:rFonts w:hint="default" w:ascii="Times New Roman" w:hAnsi="Times New Roman" w:eastAsia="宋体" w:cs="Times New Roman"/>
                      <w:sz w:val="21"/>
                      <w:szCs w:val="21"/>
                      <w:highlight w:val="none"/>
                      <w:lang w:val="en-US" w:eastAsia="zh-CN"/>
                    </w:rPr>
                    <w:t>m</w:t>
                  </w:r>
                  <w:r>
                    <w:rPr>
                      <w:rFonts w:hint="default" w:ascii="Times New Roman" w:hAnsi="Times New Roman" w:eastAsia="宋体" w:cs="Times New Roman"/>
                      <w:sz w:val="21"/>
                      <w:szCs w:val="21"/>
                      <w:highlight w:val="none"/>
                      <w:vertAlign w:val="superscript"/>
                      <w:lang w:val="en-US" w:eastAsia="zh-CN"/>
                    </w:rPr>
                    <w:t>2</w:t>
                  </w:r>
                  <w:r>
                    <w:rPr>
                      <w:rFonts w:hint="default" w:ascii="Times New Roman" w:hAnsi="Times New Roman" w:eastAsia="宋体" w:cs="Times New Roman"/>
                      <w:sz w:val="21"/>
                      <w:szCs w:val="21"/>
                      <w:highlight w:val="none"/>
                      <w:lang w:val="en-US" w:eastAsia="zh-CN"/>
                    </w:rPr>
                    <w:t>的一般固废暂存</w:t>
                  </w:r>
                  <w:r>
                    <w:rPr>
                      <w:rFonts w:hint="eastAsia" w:cs="Times New Roman"/>
                      <w:sz w:val="21"/>
                      <w:szCs w:val="21"/>
                      <w:highlight w:val="none"/>
                      <w:lang w:val="en-US" w:eastAsia="zh-CN"/>
                    </w:rPr>
                    <w:t>间</w:t>
                  </w:r>
                  <w:r>
                    <w:rPr>
                      <w:rFonts w:hint="default" w:ascii="Times New Roman" w:hAnsi="Times New Roman" w:eastAsia="宋体" w:cs="Times New Roman"/>
                      <w:sz w:val="21"/>
                      <w:szCs w:val="21"/>
                      <w:highlight w:val="none"/>
                      <w:lang w:val="en-US" w:eastAsia="zh-CN"/>
                    </w:rPr>
                    <w:t>，用于暂存一般固</w:t>
                  </w:r>
                  <w:r>
                    <w:rPr>
                      <w:rFonts w:hint="eastAsia" w:cs="Times New Roman"/>
                      <w:sz w:val="21"/>
                      <w:szCs w:val="21"/>
                      <w:highlight w:val="none"/>
                      <w:lang w:val="en-US" w:eastAsia="zh-CN"/>
                    </w:rPr>
                    <w:t>体废物</w:t>
                  </w:r>
                  <w:r>
                    <w:rPr>
                      <w:rFonts w:hint="default" w:ascii="Times New Roman" w:hAnsi="Times New Roman" w:eastAsia="宋体" w:cs="Times New Roman"/>
                      <w:sz w:val="21"/>
                      <w:szCs w:val="21"/>
                      <w:highlight w:val="none"/>
                      <w:lang w:val="en-US" w:eastAsia="zh-CN"/>
                    </w:rPr>
                    <w:t>；建</w:t>
                  </w:r>
                  <w:r>
                    <w:rPr>
                      <w:rFonts w:hint="eastAsia" w:cs="Times New Roman"/>
                      <w:sz w:val="21"/>
                      <w:szCs w:val="21"/>
                      <w:highlight w:val="none"/>
                      <w:lang w:val="en-US" w:eastAsia="zh-CN"/>
                    </w:rPr>
                    <w:t>有</w:t>
                  </w:r>
                  <w:r>
                    <w:rPr>
                      <w:rFonts w:hint="default" w:ascii="Times New Roman" w:hAnsi="Times New Roman" w:eastAsia="宋体" w:cs="Times New Roman"/>
                      <w:sz w:val="21"/>
                      <w:szCs w:val="21"/>
                      <w:highlight w:val="none"/>
                      <w:lang w:val="en-US" w:eastAsia="zh-CN"/>
                    </w:rPr>
                    <w:t>一个</w:t>
                  </w:r>
                  <w:r>
                    <w:rPr>
                      <w:rFonts w:hint="eastAsia" w:cs="Times New Roman"/>
                      <w:sz w:val="21"/>
                      <w:szCs w:val="21"/>
                      <w:highlight w:val="none"/>
                      <w:lang w:val="en-US" w:eastAsia="zh-CN"/>
                    </w:rPr>
                    <w:t>22</w:t>
                  </w:r>
                  <w:r>
                    <w:rPr>
                      <w:rFonts w:hint="default" w:ascii="Times New Roman" w:hAnsi="Times New Roman" w:eastAsia="宋体" w:cs="Times New Roman"/>
                      <w:sz w:val="21"/>
                      <w:szCs w:val="21"/>
                      <w:highlight w:val="none"/>
                      <w:lang w:val="en-US" w:eastAsia="zh-CN"/>
                    </w:rPr>
                    <w:t>m</w:t>
                  </w:r>
                  <w:r>
                    <w:rPr>
                      <w:rFonts w:hint="default" w:ascii="Times New Roman" w:hAnsi="Times New Roman" w:eastAsia="宋体" w:cs="Times New Roman"/>
                      <w:sz w:val="21"/>
                      <w:szCs w:val="21"/>
                      <w:highlight w:val="none"/>
                      <w:vertAlign w:val="superscript"/>
                      <w:lang w:val="en-US" w:eastAsia="zh-CN"/>
                    </w:rPr>
                    <w:t>2</w:t>
                  </w:r>
                  <w:r>
                    <w:rPr>
                      <w:rFonts w:hint="default" w:ascii="Times New Roman" w:hAnsi="Times New Roman" w:eastAsia="宋体" w:cs="Times New Roman"/>
                      <w:sz w:val="21"/>
                      <w:szCs w:val="21"/>
                      <w:highlight w:val="none"/>
                      <w:lang w:val="en-US" w:eastAsia="zh-CN"/>
                    </w:rPr>
                    <w:t>危废暂存库暂存危险废物；生活垃圾收集后交环卫部门处理</w:t>
                  </w:r>
                  <w:r>
                    <w:rPr>
                      <w:rFonts w:hint="eastAsia" w:cs="Times New Roman"/>
                      <w:sz w:val="21"/>
                      <w:szCs w:val="21"/>
                      <w:highlight w:val="none"/>
                      <w:lang w:val="en-US" w:eastAsia="zh-CN"/>
                    </w:rPr>
                    <w:t>；废食用油储存在废食用油收集罐，由岳阳耀臣废油回收有限公司收购</w:t>
                  </w:r>
                </w:p>
              </w:tc>
              <w:tc>
                <w:tcPr>
                  <w:tcW w:w="688" w:type="pct"/>
                  <w:tcBorders>
                    <w:tl2br w:val="nil"/>
                    <w:tr2bl w:val="nil"/>
                  </w:tcBorders>
                  <w:shd w:val="clear" w:color="auto" w:fill="auto"/>
                  <w:noWrap w:val="0"/>
                  <w:vAlign w:val="center"/>
                </w:tcPr>
                <w:p w14:paraId="5BE1839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sz w:val="21"/>
                      <w:szCs w:val="21"/>
                      <w:lang w:val="en-US" w:eastAsia="zh-CN"/>
                    </w:rPr>
                    <w:t>依托现有</w:t>
                  </w:r>
                </w:p>
              </w:tc>
            </w:tr>
            <w:tr w14:paraId="7C7202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21" w:type="pct"/>
                  <w:gridSpan w:val="2"/>
                  <w:vMerge w:val="continue"/>
                  <w:tcBorders>
                    <w:tl2br w:val="nil"/>
                    <w:tr2bl w:val="nil"/>
                  </w:tcBorders>
                  <w:shd w:val="clear" w:color="auto" w:fill="auto"/>
                  <w:noWrap w:val="0"/>
                  <w:vAlign w:val="center"/>
                </w:tcPr>
                <w:p w14:paraId="06BCBFD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p>
              </w:tc>
              <w:tc>
                <w:tcPr>
                  <w:tcW w:w="1118" w:type="pct"/>
                  <w:tcBorders>
                    <w:tl2br w:val="nil"/>
                    <w:tr2bl w:val="nil"/>
                  </w:tcBorders>
                  <w:shd w:val="clear" w:color="auto" w:fill="auto"/>
                  <w:noWrap w:val="0"/>
                  <w:vAlign w:val="center"/>
                </w:tcPr>
                <w:p w14:paraId="39D3708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噪声</w:t>
                  </w:r>
                </w:p>
              </w:tc>
              <w:tc>
                <w:tcPr>
                  <w:tcW w:w="2672" w:type="pct"/>
                  <w:tcBorders>
                    <w:tl2br w:val="nil"/>
                    <w:tr2bl w:val="nil"/>
                  </w:tcBorders>
                  <w:shd w:val="clear" w:color="auto" w:fill="auto"/>
                  <w:noWrap w:val="0"/>
                  <w:vAlign w:val="center"/>
                </w:tcPr>
                <w:p w14:paraId="7C9EE80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基础减振，厂房隔声等</w:t>
                  </w:r>
                </w:p>
              </w:tc>
              <w:tc>
                <w:tcPr>
                  <w:tcW w:w="688" w:type="pct"/>
                  <w:tcBorders>
                    <w:tl2br w:val="nil"/>
                    <w:tr2bl w:val="nil"/>
                  </w:tcBorders>
                  <w:shd w:val="clear" w:color="auto" w:fill="auto"/>
                  <w:noWrap w:val="0"/>
                  <w:vAlign w:val="center"/>
                </w:tcPr>
                <w:p w14:paraId="680EA8E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highlight w:val="none"/>
                      <w:lang w:val="en-US" w:eastAsia="zh-CN"/>
                    </w:rPr>
                  </w:pPr>
                  <w:r>
                    <w:rPr>
                      <w:rFonts w:hint="eastAsia" w:cs="Times New Roman"/>
                      <w:sz w:val="21"/>
                      <w:szCs w:val="21"/>
                      <w:highlight w:val="none"/>
                      <w:lang w:val="en-US" w:eastAsia="zh-CN"/>
                    </w:rPr>
                    <w:t>新建</w:t>
                  </w:r>
                </w:p>
              </w:tc>
            </w:tr>
          </w:tbl>
          <w:p w14:paraId="6355A784">
            <w:pPr>
              <w:keepNext w:val="0"/>
              <w:keepLines w:val="0"/>
              <w:numPr>
                <w:ilvl w:val="0"/>
                <w:numId w:val="5"/>
              </w:numPr>
              <w:suppressLineNumbers w:val="0"/>
              <w:adjustRightInd w:val="0"/>
              <w:snapToGrid w:val="0"/>
              <w:spacing w:before="120" w:beforeLines="50" w:beforeAutospacing="0" w:after="0" w:afterAutospacing="0" w:line="360" w:lineRule="auto"/>
              <w:ind w:left="0" w:right="0"/>
              <w:rPr>
                <w:rFonts w:hint="default"/>
                <w:b/>
                <w:sz w:val="28"/>
                <w:szCs w:val="28"/>
                <w:highlight w:val="none"/>
                <w:u w:val="single"/>
              </w:rPr>
            </w:pPr>
            <w:r>
              <w:rPr>
                <w:rFonts w:hint="eastAsia"/>
                <w:b/>
                <w:sz w:val="28"/>
                <w:szCs w:val="28"/>
                <w:highlight w:val="none"/>
                <w:u w:val="single"/>
                <w:lang w:val="en-US" w:eastAsia="zh-CN"/>
              </w:rPr>
              <w:t>依托工程</w:t>
            </w:r>
          </w:p>
          <w:p w14:paraId="65325E33">
            <w:pPr>
              <w:keepNext w:val="0"/>
              <w:keepLines w:val="0"/>
              <w:numPr>
                <w:ilvl w:val="-1"/>
                <w:numId w:val="0"/>
              </w:numPr>
              <w:suppressLineNumbers w:val="0"/>
              <w:adjustRightInd w:val="0"/>
              <w:snapToGrid w:val="0"/>
              <w:spacing w:before="0" w:beforeLines="0" w:beforeAutospacing="0" w:after="0" w:afterAutospacing="0" w:line="360" w:lineRule="auto"/>
              <w:ind w:left="0" w:right="0" w:firstLine="480" w:firstLineChars="200"/>
              <w:rPr>
                <w:rFonts w:hint="default"/>
                <w:b w:val="0"/>
                <w:bCs/>
                <w:sz w:val="24"/>
                <w:szCs w:val="24"/>
                <w:highlight w:val="none"/>
                <w:u w:val="single"/>
              </w:rPr>
            </w:pPr>
            <w:r>
              <w:rPr>
                <w:rFonts w:hint="default"/>
                <w:b w:val="0"/>
                <w:bCs/>
                <w:sz w:val="24"/>
                <w:szCs w:val="24"/>
                <w:highlight w:val="none"/>
                <w:u w:val="single"/>
              </w:rPr>
              <w:t>本项目主要依托</w:t>
            </w:r>
            <w:r>
              <w:rPr>
                <w:rFonts w:hint="eastAsia"/>
                <w:b w:val="0"/>
                <w:bCs/>
                <w:sz w:val="24"/>
                <w:szCs w:val="24"/>
                <w:highlight w:val="none"/>
                <w:u w:val="single"/>
                <w:lang w:val="en-US" w:eastAsia="zh-CN"/>
              </w:rPr>
              <w:t>厂区原有</w:t>
            </w:r>
            <w:r>
              <w:rPr>
                <w:rFonts w:hint="default"/>
                <w:b w:val="0"/>
                <w:bCs/>
                <w:sz w:val="24"/>
                <w:szCs w:val="24"/>
                <w:highlight w:val="none"/>
                <w:u w:val="single"/>
              </w:rPr>
              <w:t>相关环保设施</w:t>
            </w:r>
            <w:r>
              <w:rPr>
                <w:rFonts w:hint="eastAsia"/>
                <w:b w:val="0"/>
                <w:bCs/>
                <w:sz w:val="24"/>
                <w:szCs w:val="24"/>
                <w:highlight w:val="none"/>
                <w:u w:val="single"/>
                <w:lang w:val="en-US" w:eastAsia="zh-CN"/>
              </w:rPr>
              <w:t>及储运设施</w:t>
            </w:r>
            <w:r>
              <w:rPr>
                <w:rFonts w:hint="default"/>
                <w:b w:val="0"/>
                <w:bCs/>
                <w:sz w:val="24"/>
                <w:szCs w:val="24"/>
                <w:highlight w:val="none"/>
                <w:u w:val="single"/>
              </w:rPr>
              <w:t>，相关依托情况及依托的可行性见下表：</w:t>
            </w:r>
          </w:p>
          <w:p w14:paraId="784C50FC">
            <w:pPr>
              <w:pStyle w:val="33"/>
              <w:keepNext w:val="0"/>
              <w:keepLines w:val="0"/>
              <w:numPr>
                <w:ilvl w:val="0"/>
                <w:numId w:val="7"/>
              </w:numPr>
              <w:suppressLineNumbers w:val="0"/>
              <w:spacing w:before="0" w:beforeAutospacing="0" w:after="0" w:afterAutospacing="0"/>
              <w:ind w:right="0" w:firstLineChars="0"/>
              <w:jc w:val="center"/>
              <w:rPr>
                <w:rFonts w:hint="default"/>
                <w:b/>
                <w:bCs w:val="0"/>
                <w:sz w:val="24"/>
                <w:szCs w:val="24"/>
                <w:highlight w:val="none"/>
                <w:u w:val="single"/>
              </w:rPr>
            </w:pPr>
            <w:r>
              <w:rPr>
                <w:rFonts w:hint="default"/>
                <w:b/>
                <w:bCs w:val="0"/>
                <w:sz w:val="24"/>
                <w:szCs w:val="24"/>
                <w:highlight w:val="none"/>
                <w:u w:val="single"/>
              </w:rPr>
              <w:t>本项目与厂区现有相关设施的依托情况一览表</w:t>
            </w:r>
          </w:p>
          <w:tbl>
            <w:tblPr>
              <w:tblStyle w:val="2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0"/>
              <w:gridCol w:w="1226"/>
              <w:gridCol w:w="1356"/>
              <w:gridCol w:w="1938"/>
              <w:gridCol w:w="1848"/>
              <w:gridCol w:w="1384"/>
            </w:tblGrid>
            <w:tr w14:paraId="52C39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331" w:type="pct"/>
                  <w:tcBorders>
                    <w:tl2br w:val="nil"/>
                    <w:tr2bl w:val="nil"/>
                  </w:tcBorders>
                  <w:vAlign w:val="center"/>
                </w:tcPr>
                <w:p w14:paraId="19BB262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highlight w:val="none"/>
                      <w:u w:val="single"/>
                    </w:rPr>
                  </w:pPr>
                  <w:r>
                    <w:rPr>
                      <w:rFonts w:hint="default" w:ascii="Times New Roman" w:hAnsi="Times New Roman" w:cs="Times New Roman"/>
                      <w:b/>
                      <w:bCs/>
                      <w:sz w:val="21"/>
                      <w:szCs w:val="21"/>
                      <w:highlight w:val="none"/>
                      <w:u w:val="single"/>
                    </w:rPr>
                    <w:t>序号</w:t>
                  </w:r>
                </w:p>
              </w:tc>
              <w:tc>
                <w:tcPr>
                  <w:tcW w:w="738" w:type="pct"/>
                  <w:tcBorders>
                    <w:tl2br w:val="nil"/>
                    <w:tr2bl w:val="nil"/>
                  </w:tcBorders>
                  <w:vAlign w:val="center"/>
                </w:tcPr>
                <w:p w14:paraId="3F40B987">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highlight w:val="none"/>
                      <w:u w:val="single"/>
                    </w:rPr>
                  </w:pPr>
                  <w:r>
                    <w:rPr>
                      <w:rFonts w:hint="default" w:ascii="Times New Roman" w:hAnsi="Times New Roman" w:cs="Times New Roman"/>
                      <w:b/>
                      <w:bCs/>
                      <w:sz w:val="21"/>
                      <w:szCs w:val="21"/>
                      <w:highlight w:val="none"/>
                      <w:u w:val="single"/>
                    </w:rPr>
                    <w:t>项目</w:t>
                  </w:r>
                </w:p>
              </w:tc>
              <w:tc>
                <w:tcPr>
                  <w:tcW w:w="816" w:type="pct"/>
                  <w:tcBorders>
                    <w:tl2br w:val="nil"/>
                    <w:tr2bl w:val="nil"/>
                  </w:tcBorders>
                  <w:vAlign w:val="center"/>
                </w:tcPr>
                <w:p w14:paraId="5FA26E0B">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highlight w:val="none"/>
                      <w:u w:val="single"/>
                    </w:rPr>
                  </w:pPr>
                  <w:r>
                    <w:rPr>
                      <w:rFonts w:hint="default" w:ascii="Times New Roman" w:hAnsi="Times New Roman" w:cs="Times New Roman"/>
                      <w:b/>
                      <w:bCs/>
                      <w:sz w:val="21"/>
                      <w:szCs w:val="21"/>
                      <w:highlight w:val="none"/>
                      <w:u w:val="single"/>
                    </w:rPr>
                    <w:t>规模</w:t>
                  </w:r>
                </w:p>
              </w:tc>
              <w:tc>
                <w:tcPr>
                  <w:tcW w:w="1166" w:type="pct"/>
                  <w:tcBorders>
                    <w:tl2br w:val="nil"/>
                    <w:tr2bl w:val="nil"/>
                  </w:tcBorders>
                  <w:vAlign w:val="center"/>
                </w:tcPr>
                <w:p w14:paraId="7C580385">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highlight w:val="none"/>
                      <w:u w:val="single"/>
                    </w:rPr>
                  </w:pPr>
                  <w:r>
                    <w:rPr>
                      <w:rFonts w:hint="default" w:ascii="Times New Roman" w:hAnsi="Times New Roman" w:cs="Times New Roman"/>
                      <w:b/>
                      <w:bCs/>
                      <w:sz w:val="21"/>
                      <w:szCs w:val="21"/>
                      <w:highlight w:val="none"/>
                      <w:u w:val="single"/>
                    </w:rPr>
                    <w:t>富余能力</w:t>
                  </w:r>
                </w:p>
              </w:tc>
              <w:tc>
                <w:tcPr>
                  <w:tcW w:w="1112" w:type="pct"/>
                  <w:tcBorders>
                    <w:tl2br w:val="nil"/>
                    <w:tr2bl w:val="nil"/>
                  </w:tcBorders>
                  <w:vAlign w:val="center"/>
                </w:tcPr>
                <w:p w14:paraId="612830D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highlight w:val="none"/>
                      <w:u w:val="single"/>
                    </w:rPr>
                  </w:pPr>
                  <w:r>
                    <w:rPr>
                      <w:rFonts w:hint="default" w:ascii="Times New Roman" w:hAnsi="Times New Roman" w:cs="Times New Roman"/>
                      <w:b/>
                      <w:bCs/>
                      <w:sz w:val="21"/>
                      <w:szCs w:val="21"/>
                      <w:highlight w:val="none"/>
                      <w:u w:val="single"/>
                    </w:rPr>
                    <w:t>本项目使用情况</w:t>
                  </w:r>
                </w:p>
              </w:tc>
              <w:tc>
                <w:tcPr>
                  <w:tcW w:w="833" w:type="pct"/>
                  <w:tcBorders>
                    <w:tl2br w:val="nil"/>
                    <w:tr2bl w:val="nil"/>
                  </w:tcBorders>
                  <w:vAlign w:val="center"/>
                </w:tcPr>
                <w:p w14:paraId="5EF97C33">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b/>
                      <w:bCs/>
                      <w:sz w:val="21"/>
                      <w:szCs w:val="21"/>
                      <w:highlight w:val="none"/>
                      <w:u w:val="single"/>
                    </w:rPr>
                  </w:pPr>
                  <w:r>
                    <w:rPr>
                      <w:rFonts w:hint="default" w:ascii="Times New Roman" w:hAnsi="Times New Roman" w:cs="Times New Roman"/>
                      <w:b/>
                      <w:bCs/>
                      <w:sz w:val="21"/>
                      <w:szCs w:val="21"/>
                      <w:highlight w:val="none"/>
                      <w:u w:val="single"/>
                    </w:rPr>
                    <w:t>依托可行性</w:t>
                  </w:r>
                </w:p>
              </w:tc>
            </w:tr>
            <w:tr w14:paraId="29A01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tcBorders>
                    <w:tl2br w:val="nil"/>
                    <w:tr2bl w:val="nil"/>
                  </w:tcBorders>
                  <w:vAlign w:val="center"/>
                </w:tcPr>
                <w:p w14:paraId="79BF634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1</w:t>
                  </w:r>
                </w:p>
              </w:tc>
              <w:tc>
                <w:tcPr>
                  <w:tcW w:w="738" w:type="pct"/>
                  <w:tcBorders>
                    <w:tl2br w:val="nil"/>
                    <w:tr2bl w:val="nil"/>
                  </w:tcBorders>
                  <w:vAlign w:val="center"/>
                </w:tcPr>
                <w:p w14:paraId="701A31BE">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highlight w:val="none"/>
                      <w:u w:val="single"/>
                      <w:lang w:eastAsia="zh-CN"/>
                    </w:rPr>
                  </w:pPr>
                  <w:r>
                    <w:rPr>
                      <w:rFonts w:hint="default" w:ascii="Times New Roman" w:hAnsi="Times New Roman" w:cs="Times New Roman"/>
                      <w:sz w:val="21"/>
                      <w:szCs w:val="21"/>
                      <w:highlight w:val="none"/>
                      <w:u w:val="single"/>
                    </w:rPr>
                    <w:t>污水处理</w:t>
                  </w:r>
                  <w:r>
                    <w:rPr>
                      <w:rFonts w:hint="default" w:ascii="Times New Roman" w:hAnsi="Times New Roman" w:cs="Times New Roman"/>
                      <w:sz w:val="21"/>
                      <w:szCs w:val="21"/>
                      <w:highlight w:val="none"/>
                      <w:u w:val="single"/>
                      <w:lang w:val="en-US" w:eastAsia="zh-CN"/>
                    </w:rPr>
                    <w:t>设施</w:t>
                  </w:r>
                </w:p>
              </w:tc>
              <w:tc>
                <w:tcPr>
                  <w:tcW w:w="816" w:type="pct"/>
                  <w:tcBorders>
                    <w:tl2br w:val="nil"/>
                    <w:tr2bl w:val="nil"/>
                  </w:tcBorders>
                  <w:vAlign w:val="center"/>
                </w:tcPr>
                <w:p w14:paraId="17CEA1C8">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highlight w:val="none"/>
                      <w:u w:val="single"/>
                      <w:lang w:val="en-US" w:eastAsia="zh-CN"/>
                    </w:rPr>
                  </w:pPr>
                  <w:r>
                    <w:rPr>
                      <w:rFonts w:hint="default" w:ascii="Times New Roman" w:hAnsi="Times New Roman" w:cs="Times New Roman"/>
                      <w:sz w:val="21"/>
                      <w:szCs w:val="21"/>
                      <w:highlight w:val="none"/>
                      <w:u w:val="single"/>
                      <w:lang w:val="en-US" w:eastAsia="zh-CN"/>
                    </w:rPr>
                    <w:t>本项目隔油沉淀池规模共720m</w:t>
                  </w:r>
                  <w:r>
                    <w:rPr>
                      <w:rFonts w:hint="default" w:ascii="Times New Roman" w:hAnsi="Times New Roman" w:cs="Times New Roman"/>
                      <w:sz w:val="21"/>
                      <w:szCs w:val="21"/>
                      <w:highlight w:val="none"/>
                      <w:u w:val="single"/>
                      <w:vertAlign w:val="superscript"/>
                      <w:lang w:val="en-US" w:eastAsia="zh-CN"/>
                    </w:rPr>
                    <w:t>3</w:t>
                  </w:r>
                </w:p>
              </w:tc>
              <w:tc>
                <w:tcPr>
                  <w:tcW w:w="1166" w:type="pct"/>
                  <w:tcBorders>
                    <w:tl2br w:val="nil"/>
                    <w:tr2bl w:val="nil"/>
                  </w:tcBorders>
                  <w:vAlign w:val="center"/>
                </w:tcPr>
                <w:p w14:paraId="13EC3C15">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highlight w:val="none"/>
                      <w:u w:val="single"/>
                      <w:lang w:val="en-US" w:eastAsia="zh-CN"/>
                    </w:rPr>
                  </w:pPr>
                  <w:r>
                    <w:rPr>
                      <w:rFonts w:hint="default" w:ascii="Times New Roman" w:hAnsi="Times New Roman" w:cs="Times New Roman"/>
                      <w:sz w:val="21"/>
                      <w:szCs w:val="21"/>
                      <w:highlight w:val="none"/>
                      <w:u w:val="single"/>
                    </w:rPr>
                    <w:t>目前</w:t>
                  </w:r>
                  <w:r>
                    <w:rPr>
                      <w:rFonts w:hint="default" w:ascii="Times New Roman" w:hAnsi="Times New Roman" w:cs="Times New Roman"/>
                      <w:sz w:val="21"/>
                      <w:szCs w:val="21"/>
                      <w:highlight w:val="none"/>
                      <w:u w:val="single"/>
                      <w:lang w:val="en-US" w:eastAsia="zh-CN"/>
                    </w:rPr>
                    <w:t>厂区现有鱼制品生产线产生废水量为</w:t>
                  </w:r>
                  <w:r>
                    <w:rPr>
                      <w:rFonts w:hint="eastAsia" w:cs="Times New Roman"/>
                      <w:sz w:val="21"/>
                      <w:szCs w:val="21"/>
                      <w:highlight w:val="none"/>
                      <w:u w:val="single"/>
                      <w:lang w:val="en-US" w:eastAsia="zh-CN"/>
                    </w:rPr>
                    <w:t>160m</w:t>
                  </w:r>
                  <w:r>
                    <w:rPr>
                      <w:rFonts w:hint="eastAsia" w:cs="Times New Roman"/>
                      <w:sz w:val="21"/>
                      <w:szCs w:val="21"/>
                      <w:highlight w:val="none"/>
                      <w:u w:val="single"/>
                      <w:vertAlign w:val="superscript"/>
                      <w:lang w:val="en-US" w:eastAsia="zh-CN"/>
                    </w:rPr>
                    <w:t>3</w:t>
                  </w:r>
                  <w:r>
                    <w:rPr>
                      <w:rFonts w:hint="eastAsia" w:cs="Times New Roman"/>
                      <w:sz w:val="21"/>
                      <w:szCs w:val="21"/>
                      <w:highlight w:val="none"/>
                      <w:u w:val="single"/>
                      <w:lang w:val="en-US" w:eastAsia="zh-CN"/>
                    </w:rPr>
                    <w:t>/d</w:t>
                  </w:r>
                  <w:r>
                    <w:rPr>
                      <w:rFonts w:hint="default" w:ascii="Times New Roman" w:hAnsi="Times New Roman" w:cs="Times New Roman"/>
                      <w:sz w:val="21"/>
                      <w:szCs w:val="21"/>
                      <w:highlight w:val="none"/>
                      <w:u w:val="single"/>
                      <w:lang w:val="en-US" w:eastAsia="zh-CN"/>
                    </w:rPr>
                    <w:t>，占隔油沉淀池规模的</w:t>
                  </w:r>
                  <w:r>
                    <w:rPr>
                      <w:rFonts w:hint="eastAsia" w:cs="Times New Roman"/>
                      <w:sz w:val="21"/>
                      <w:szCs w:val="21"/>
                      <w:highlight w:val="none"/>
                      <w:u w:val="single"/>
                      <w:lang w:val="en-US" w:eastAsia="zh-CN"/>
                    </w:rPr>
                    <w:t>22.2%</w:t>
                  </w:r>
                </w:p>
              </w:tc>
              <w:tc>
                <w:tcPr>
                  <w:tcW w:w="1112" w:type="pct"/>
                  <w:tcBorders>
                    <w:tl2br w:val="nil"/>
                    <w:tr2bl w:val="nil"/>
                  </w:tcBorders>
                  <w:vAlign w:val="center"/>
                </w:tcPr>
                <w:p w14:paraId="72E7A36D">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lang w:val="en-US"/>
                    </w:rPr>
                  </w:pPr>
                  <w:r>
                    <w:rPr>
                      <w:rFonts w:hint="default" w:ascii="Times New Roman" w:hAnsi="Times New Roman" w:cs="Times New Roman"/>
                      <w:sz w:val="21"/>
                      <w:szCs w:val="21"/>
                      <w:highlight w:val="none"/>
                      <w:u w:val="single"/>
                    </w:rPr>
                    <w:t>本项目</w:t>
                  </w:r>
                  <w:r>
                    <w:rPr>
                      <w:rFonts w:hint="eastAsia" w:cs="Times New Roman"/>
                      <w:sz w:val="21"/>
                      <w:szCs w:val="21"/>
                      <w:highlight w:val="none"/>
                      <w:u w:val="single"/>
                      <w:lang w:val="en-US" w:eastAsia="zh-CN"/>
                    </w:rPr>
                    <w:t>生产</w:t>
                  </w:r>
                  <w:r>
                    <w:rPr>
                      <w:rFonts w:hint="default" w:ascii="Times New Roman" w:hAnsi="Times New Roman" w:cs="Times New Roman"/>
                      <w:sz w:val="21"/>
                      <w:szCs w:val="21"/>
                      <w:highlight w:val="none"/>
                      <w:u w:val="single"/>
                    </w:rPr>
                    <w:t>废水排放量为</w:t>
                  </w:r>
                  <w:r>
                    <w:rPr>
                      <w:rFonts w:hint="eastAsia" w:cs="Times New Roman"/>
                      <w:sz w:val="21"/>
                      <w:szCs w:val="21"/>
                      <w:highlight w:val="none"/>
                      <w:u w:val="single"/>
                      <w:lang w:val="en-US" w:eastAsia="zh-CN"/>
                    </w:rPr>
                    <w:t>276.68m</w:t>
                  </w:r>
                  <w:r>
                    <w:rPr>
                      <w:rFonts w:hint="eastAsia" w:cs="Times New Roman"/>
                      <w:sz w:val="21"/>
                      <w:szCs w:val="21"/>
                      <w:highlight w:val="none"/>
                      <w:u w:val="single"/>
                      <w:vertAlign w:val="superscript"/>
                      <w:lang w:val="en-US" w:eastAsia="zh-CN"/>
                    </w:rPr>
                    <w:t>3</w:t>
                  </w:r>
                  <w:r>
                    <w:rPr>
                      <w:rFonts w:hint="eastAsia" w:cs="Times New Roman"/>
                      <w:sz w:val="21"/>
                      <w:szCs w:val="21"/>
                      <w:highlight w:val="none"/>
                      <w:u w:val="single"/>
                      <w:lang w:val="en-US" w:eastAsia="zh-CN"/>
                    </w:rPr>
                    <w:t>/d</w:t>
                  </w:r>
                  <w:r>
                    <w:rPr>
                      <w:rFonts w:hint="default" w:ascii="Times New Roman" w:hAnsi="Times New Roman" w:cs="Times New Roman"/>
                      <w:sz w:val="21"/>
                      <w:szCs w:val="21"/>
                      <w:highlight w:val="none"/>
                      <w:u w:val="single"/>
                    </w:rPr>
                    <w:t>，未超过</w:t>
                  </w:r>
                  <w:r>
                    <w:rPr>
                      <w:rFonts w:hint="default" w:ascii="Times New Roman" w:hAnsi="Times New Roman" w:cs="Times New Roman"/>
                      <w:sz w:val="21"/>
                      <w:szCs w:val="21"/>
                      <w:highlight w:val="none"/>
                      <w:u w:val="single"/>
                      <w:lang w:val="en-US" w:eastAsia="zh-CN"/>
                    </w:rPr>
                    <w:t>隔油沉淀池规模</w:t>
                  </w:r>
                </w:p>
              </w:tc>
              <w:tc>
                <w:tcPr>
                  <w:tcW w:w="833" w:type="pct"/>
                  <w:tcBorders>
                    <w:tl2br w:val="nil"/>
                    <w:tr2bl w:val="nil"/>
                  </w:tcBorders>
                  <w:vAlign w:val="center"/>
                </w:tcPr>
                <w:p w14:paraId="2CC37CD8">
                  <w:pPr>
                    <w:pStyle w:val="11"/>
                    <w:keepNext w:val="0"/>
                    <w:keepLines w:val="0"/>
                    <w:suppressLineNumbers w:val="0"/>
                    <w:spacing w:before="0" w:beforeAutospacing="0" w:after="0" w:afterAutospacing="0" w:line="240" w:lineRule="auto"/>
                    <w:ind w:lef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可依托</w:t>
                  </w:r>
                </w:p>
              </w:tc>
            </w:tr>
            <w:tr w14:paraId="67A8AC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tcBorders>
                    <w:tl2br w:val="nil"/>
                    <w:tr2bl w:val="nil"/>
                  </w:tcBorders>
                  <w:vAlign w:val="center"/>
                </w:tcPr>
                <w:p w14:paraId="3D99F17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trike/>
                      <w:sz w:val="21"/>
                      <w:szCs w:val="21"/>
                      <w:highlight w:val="none"/>
                      <w:u w:val="single"/>
                    </w:rPr>
                  </w:pPr>
                  <w:r>
                    <w:rPr>
                      <w:rFonts w:hint="default" w:ascii="Times New Roman" w:hAnsi="Times New Roman" w:cs="Times New Roman"/>
                      <w:sz w:val="21"/>
                      <w:szCs w:val="21"/>
                      <w:highlight w:val="none"/>
                      <w:u w:val="single"/>
                    </w:rPr>
                    <w:t>3</w:t>
                  </w:r>
                </w:p>
              </w:tc>
              <w:tc>
                <w:tcPr>
                  <w:tcW w:w="738" w:type="pct"/>
                  <w:tcBorders>
                    <w:tl2br w:val="nil"/>
                    <w:tr2bl w:val="nil"/>
                  </w:tcBorders>
                  <w:vAlign w:val="center"/>
                </w:tcPr>
                <w:p w14:paraId="79C8E23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危险废物暂存间</w:t>
                  </w:r>
                </w:p>
              </w:tc>
              <w:tc>
                <w:tcPr>
                  <w:tcW w:w="816" w:type="pct"/>
                  <w:tcBorders>
                    <w:tl2br w:val="nil"/>
                    <w:tr2bl w:val="nil"/>
                  </w:tcBorders>
                  <w:vAlign w:val="center"/>
                </w:tcPr>
                <w:p w14:paraId="5BC8F844">
                  <w:pPr>
                    <w:pStyle w:val="22"/>
                    <w:keepNext w:val="0"/>
                    <w:keepLines w:val="0"/>
                    <w:widowControl w:val="0"/>
                    <w:suppressLineNumbers w:val="0"/>
                    <w:spacing w:before="0" w:beforeAutospacing="0" w:after="0" w:afterAutospacing="0" w:line="240" w:lineRule="auto"/>
                    <w:ind w:lef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面积约为</w:t>
                  </w:r>
                  <w:r>
                    <w:rPr>
                      <w:rFonts w:hint="default" w:ascii="Times New Roman" w:hAnsi="Times New Roman" w:cs="Times New Roman"/>
                      <w:sz w:val="21"/>
                      <w:szCs w:val="21"/>
                      <w:highlight w:val="none"/>
                      <w:u w:val="single"/>
                      <w:lang w:val="en-US" w:eastAsia="zh-CN"/>
                    </w:rPr>
                    <w:t>22</w:t>
                  </w:r>
                  <w:r>
                    <w:rPr>
                      <w:rFonts w:hint="default" w:ascii="Times New Roman" w:hAnsi="Times New Roman" w:cs="Times New Roman"/>
                      <w:sz w:val="21"/>
                      <w:szCs w:val="21"/>
                      <w:highlight w:val="none"/>
                      <w:u w:val="single"/>
                    </w:rPr>
                    <w:t>m</w:t>
                  </w:r>
                  <w:r>
                    <w:rPr>
                      <w:rFonts w:hint="default" w:ascii="Times New Roman" w:hAnsi="Times New Roman" w:cs="Times New Roman"/>
                      <w:sz w:val="21"/>
                      <w:szCs w:val="21"/>
                      <w:highlight w:val="none"/>
                      <w:u w:val="single"/>
                      <w:vertAlign w:val="superscript"/>
                    </w:rPr>
                    <w:t>2</w:t>
                  </w:r>
                </w:p>
              </w:tc>
              <w:tc>
                <w:tcPr>
                  <w:tcW w:w="1166" w:type="pct"/>
                  <w:tcBorders>
                    <w:tl2br w:val="nil"/>
                    <w:tr2bl w:val="nil"/>
                  </w:tcBorders>
                  <w:vAlign w:val="center"/>
                </w:tcPr>
                <w:p w14:paraId="10F4BE3F">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危废暂存库总占地面积约</w:t>
                  </w:r>
                  <w:r>
                    <w:rPr>
                      <w:rFonts w:hint="default" w:ascii="Times New Roman" w:hAnsi="Times New Roman" w:cs="Times New Roman"/>
                      <w:sz w:val="21"/>
                      <w:szCs w:val="21"/>
                      <w:highlight w:val="none"/>
                      <w:u w:val="single"/>
                      <w:lang w:val="en-US" w:eastAsia="zh-CN"/>
                    </w:rPr>
                    <w:t>22</w:t>
                  </w:r>
                  <w:r>
                    <w:rPr>
                      <w:rFonts w:hint="default" w:ascii="Times New Roman" w:hAnsi="Times New Roman" w:cs="Times New Roman"/>
                      <w:sz w:val="21"/>
                      <w:szCs w:val="21"/>
                      <w:highlight w:val="none"/>
                      <w:u w:val="single"/>
                    </w:rPr>
                    <w:t>m</w:t>
                  </w:r>
                  <w:r>
                    <w:rPr>
                      <w:rFonts w:hint="default" w:ascii="Times New Roman" w:hAnsi="Times New Roman" w:cs="Times New Roman"/>
                      <w:sz w:val="21"/>
                      <w:szCs w:val="21"/>
                      <w:highlight w:val="none"/>
                      <w:u w:val="single"/>
                      <w:vertAlign w:val="superscript"/>
                    </w:rPr>
                    <w:t>2</w:t>
                  </w:r>
                  <w:r>
                    <w:rPr>
                      <w:rFonts w:hint="default" w:ascii="Times New Roman" w:hAnsi="Times New Roman" w:cs="Times New Roman"/>
                      <w:sz w:val="21"/>
                      <w:szCs w:val="21"/>
                      <w:highlight w:val="none"/>
                      <w:u w:val="single"/>
                    </w:rPr>
                    <w:t>，暂存危险废物包括废润滑油、废含油抹布、手套等。危险废物分区存放</w:t>
                  </w:r>
                </w:p>
              </w:tc>
              <w:tc>
                <w:tcPr>
                  <w:tcW w:w="1112" w:type="pct"/>
                  <w:tcBorders>
                    <w:tl2br w:val="nil"/>
                    <w:tr2bl w:val="nil"/>
                  </w:tcBorders>
                  <w:vAlign w:val="center"/>
                </w:tcPr>
                <w:p w14:paraId="5CB1152E">
                  <w:pPr>
                    <w:keepNext w:val="0"/>
                    <w:keepLines w:val="0"/>
                    <w:suppressLineNumbers w:val="0"/>
                    <w:snapToGrid w:val="0"/>
                    <w:spacing w:before="0" w:beforeAutospacing="0" w:after="0" w:afterAutospacing="0" w:line="240" w:lineRule="auto"/>
                    <w:ind w:left="0" w:right="0" w:firstLine="420"/>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本项目危废本项目危废为废润滑油、废油桶和废含油抹布手套</w:t>
                  </w:r>
                  <w:r>
                    <w:rPr>
                      <w:rFonts w:hint="default" w:ascii="Times New Roman" w:hAnsi="Times New Roman" w:cs="Times New Roman"/>
                      <w:sz w:val="21"/>
                      <w:szCs w:val="21"/>
                      <w:highlight w:val="none"/>
                      <w:u w:val="single"/>
                      <w:lang w:eastAsia="zh-CN"/>
                    </w:rPr>
                    <w:t>，</w:t>
                  </w:r>
                  <w:r>
                    <w:rPr>
                      <w:rFonts w:hint="default" w:ascii="Times New Roman" w:hAnsi="Times New Roman" w:cs="Times New Roman"/>
                      <w:sz w:val="21"/>
                      <w:szCs w:val="21"/>
                      <w:highlight w:val="none"/>
                      <w:u w:val="single"/>
                    </w:rPr>
                    <w:t>产生量分别为0.1t/a、0.06t/a、0.005t/a不新增危废类别，可依托现有危废暂存库</w:t>
                  </w:r>
                </w:p>
              </w:tc>
              <w:tc>
                <w:tcPr>
                  <w:tcW w:w="833" w:type="pct"/>
                  <w:tcBorders>
                    <w:tl2br w:val="nil"/>
                    <w:tr2bl w:val="nil"/>
                  </w:tcBorders>
                  <w:vAlign w:val="center"/>
                </w:tcPr>
                <w:p w14:paraId="3725374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可依托</w:t>
                  </w:r>
                </w:p>
              </w:tc>
            </w:tr>
            <w:tr w14:paraId="17BD99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tcBorders>
                    <w:tl2br w:val="nil"/>
                    <w:tr2bl w:val="nil"/>
                  </w:tcBorders>
                  <w:vAlign w:val="center"/>
                </w:tcPr>
                <w:p w14:paraId="0F451886">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trike/>
                      <w:sz w:val="21"/>
                      <w:szCs w:val="21"/>
                      <w:highlight w:val="none"/>
                      <w:u w:val="single"/>
                      <w:lang w:val="en-US" w:eastAsia="zh-CN"/>
                    </w:rPr>
                  </w:pPr>
                  <w:r>
                    <w:rPr>
                      <w:rFonts w:hint="default" w:ascii="Times New Roman" w:hAnsi="Times New Roman" w:cs="Times New Roman"/>
                      <w:strike w:val="0"/>
                      <w:sz w:val="21"/>
                      <w:szCs w:val="21"/>
                      <w:highlight w:val="none"/>
                      <w:u w:val="single"/>
                      <w:lang w:val="en-US" w:eastAsia="zh-CN"/>
                    </w:rPr>
                    <w:t>3</w:t>
                  </w:r>
                </w:p>
              </w:tc>
              <w:tc>
                <w:tcPr>
                  <w:tcW w:w="738" w:type="pct"/>
                  <w:tcBorders>
                    <w:tl2br w:val="nil"/>
                    <w:tr2bl w:val="nil"/>
                  </w:tcBorders>
                  <w:vAlign w:val="center"/>
                </w:tcPr>
                <w:p w14:paraId="0DFEE44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固废暂存间</w:t>
                  </w:r>
                </w:p>
              </w:tc>
              <w:tc>
                <w:tcPr>
                  <w:tcW w:w="816" w:type="pct"/>
                  <w:tcBorders>
                    <w:tl2br w:val="nil"/>
                    <w:tr2bl w:val="nil"/>
                  </w:tcBorders>
                  <w:vAlign w:val="center"/>
                </w:tcPr>
                <w:p w14:paraId="03ECD2BF">
                  <w:pPr>
                    <w:pStyle w:val="22"/>
                    <w:keepNext w:val="0"/>
                    <w:keepLines w:val="0"/>
                    <w:widowControl w:val="0"/>
                    <w:suppressLineNumbers w:val="0"/>
                    <w:spacing w:before="0" w:beforeAutospacing="0" w:after="0" w:afterAutospacing="0" w:line="240" w:lineRule="auto"/>
                    <w:ind w:lef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面积约为</w:t>
                  </w:r>
                  <w:r>
                    <w:rPr>
                      <w:rFonts w:hint="default" w:ascii="Times New Roman" w:hAnsi="Times New Roman" w:cs="Times New Roman"/>
                      <w:sz w:val="21"/>
                      <w:szCs w:val="21"/>
                      <w:highlight w:val="none"/>
                      <w:u w:val="single"/>
                      <w:lang w:val="en-US" w:eastAsia="zh-CN"/>
                    </w:rPr>
                    <w:t>22</w:t>
                  </w:r>
                  <w:r>
                    <w:rPr>
                      <w:rFonts w:hint="default" w:ascii="Times New Roman" w:hAnsi="Times New Roman" w:cs="Times New Roman"/>
                      <w:sz w:val="21"/>
                      <w:szCs w:val="21"/>
                      <w:highlight w:val="none"/>
                      <w:u w:val="single"/>
                    </w:rPr>
                    <w:t>m</w:t>
                  </w:r>
                  <w:r>
                    <w:rPr>
                      <w:rFonts w:hint="default" w:ascii="Times New Roman" w:hAnsi="Times New Roman" w:cs="Times New Roman"/>
                      <w:sz w:val="21"/>
                      <w:szCs w:val="21"/>
                      <w:highlight w:val="none"/>
                      <w:u w:val="single"/>
                      <w:vertAlign w:val="superscript"/>
                    </w:rPr>
                    <w:t>2</w:t>
                  </w:r>
                </w:p>
              </w:tc>
              <w:tc>
                <w:tcPr>
                  <w:tcW w:w="1166" w:type="pct"/>
                  <w:tcBorders>
                    <w:tl2br w:val="nil"/>
                    <w:tr2bl w:val="nil"/>
                  </w:tcBorders>
                  <w:vAlign w:val="center"/>
                </w:tcPr>
                <w:p w14:paraId="10D34F4A">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w:t>
                  </w:r>
                </w:p>
              </w:tc>
              <w:tc>
                <w:tcPr>
                  <w:tcW w:w="1112" w:type="pct"/>
                  <w:tcBorders>
                    <w:tl2br w:val="nil"/>
                    <w:tr2bl w:val="nil"/>
                  </w:tcBorders>
                  <w:vAlign w:val="center"/>
                </w:tcPr>
                <w:p w14:paraId="4C61AE96">
                  <w:pPr>
                    <w:keepNext w:val="0"/>
                    <w:keepLines w:val="0"/>
                    <w:suppressLineNumbers w:val="0"/>
                    <w:snapToGrid w:val="0"/>
                    <w:spacing w:before="0" w:beforeAutospacing="0" w:after="0" w:afterAutospacing="0" w:line="240" w:lineRule="auto"/>
                    <w:ind w:left="0" w:right="0" w:firstLine="420"/>
                    <w:rPr>
                      <w:rFonts w:hint="default" w:ascii="Times New Roman" w:hAnsi="Times New Roman" w:eastAsia="宋体" w:cs="Times New Roman"/>
                      <w:sz w:val="21"/>
                      <w:szCs w:val="21"/>
                      <w:highlight w:val="none"/>
                      <w:u w:val="single"/>
                      <w:lang w:val="en-US" w:eastAsia="zh-CN"/>
                    </w:rPr>
                  </w:pPr>
                  <w:r>
                    <w:rPr>
                      <w:rFonts w:hint="default" w:ascii="Times New Roman" w:hAnsi="Times New Roman" w:cs="Times New Roman"/>
                      <w:sz w:val="21"/>
                      <w:szCs w:val="21"/>
                      <w:highlight w:val="none"/>
                      <w:u w:val="single"/>
                    </w:rPr>
                    <w:t>本项目一般固废来源于</w:t>
                  </w:r>
                  <w:r>
                    <w:rPr>
                      <w:rFonts w:hint="default" w:ascii="Times New Roman" w:hAnsi="Times New Roman" w:cs="Times New Roman"/>
                      <w:sz w:val="21"/>
                      <w:szCs w:val="21"/>
                      <w:highlight w:val="none"/>
                      <w:u w:val="single"/>
                      <w:lang w:val="en-US" w:eastAsia="zh-CN"/>
                    </w:rPr>
                    <w:t>废边角料、不合格产品等生产固废，定期由第三方收购清运，可依托现有固废暂存</w:t>
                  </w:r>
                  <w:r>
                    <w:rPr>
                      <w:rFonts w:hint="eastAsia" w:cs="Times New Roman"/>
                      <w:sz w:val="21"/>
                      <w:szCs w:val="21"/>
                      <w:highlight w:val="none"/>
                      <w:u w:val="single"/>
                      <w:lang w:val="en-US" w:eastAsia="zh-CN"/>
                    </w:rPr>
                    <w:t>间暂存</w:t>
                  </w:r>
                </w:p>
              </w:tc>
              <w:tc>
                <w:tcPr>
                  <w:tcW w:w="833" w:type="pct"/>
                  <w:tcBorders>
                    <w:tl2br w:val="nil"/>
                    <w:tr2bl w:val="nil"/>
                  </w:tcBorders>
                  <w:vAlign w:val="center"/>
                </w:tcPr>
                <w:p w14:paraId="175ACEE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cs="Times New Roman"/>
                      <w:sz w:val="21"/>
                      <w:szCs w:val="21"/>
                      <w:highlight w:val="none"/>
                      <w:u w:val="single"/>
                    </w:rPr>
                  </w:pPr>
                  <w:r>
                    <w:rPr>
                      <w:rFonts w:hint="default" w:ascii="Times New Roman" w:hAnsi="Times New Roman" w:cs="Times New Roman"/>
                      <w:sz w:val="21"/>
                      <w:szCs w:val="21"/>
                      <w:highlight w:val="none"/>
                      <w:u w:val="single"/>
                    </w:rPr>
                    <w:t>可依托</w:t>
                  </w:r>
                </w:p>
              </w:tc>
            </w:tr>
            <w:tr w14:paraId="39A68B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1" w:type="pct"/>
                  <w:tcBorders>
                    <w:tl2br w:val="nil"/>
                    <w:tr2bl w:val="nil"/>
                  </w:tcBorders>
                  <w:vAlign w:val="center"/>
                </w:tcPr>
                <w:p w14:paraId="2A2F24F5">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trike w:val="0"/>
                      <w:sz w:val="21"/>
                      <w:szCs w:val="21"/>
                      <w:highlight w:val="none"/>
                      <w:u w:val="single"/>
                      <w:lang w:val="en-US" w:eastAsia="zh-CN"/>
                    </w:rPr>
                  </w:pPr>
                  <w:r>
                    <w:rPr>
                      <w:rFonts w:hint="default" w:ascii="Times New Roman" w:hAnsi="Times New Roman" w:cs="Times New Roman"/>
                      <w:strike w:val="0"/>
                      <w:sz w:val="21"/>
                      <w:szCs w:val="21"/>
                      <w:highlight w:val="none"/>
                      <w:u w:val="single"/>
                      <w:lang w:val="en-US" w:eastAsia="zh-CN"/>
                    </w:rPr>
                    <w:t>4</w:t>
                  </w:r>
                </w:p>
              </w:tc>
              <w:tc>
                <w:tcPr>
                  <w:tcW w:w="738" w:type="pct"/>
                  <w:tcBorders>
                    <w:tl2br w:val="nil"/>
                    <w:tr2bl w:val="nil"/>
                  </w:tcBorders>
                  <w:vAlign w:val="center"/>
                </w:tcPr>
                <w:p w14:paraId="6C6FFFE0">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trike w:val="0"/>
                      <w:sz w:val="21"/>
                      <w:szCs w:val="21"/>
                      <w:highlight w:val="none"/>
                      <w:u w:val="single"/>
                      <w:lang w:val="en-US" w:eastAsia="zh-CN"/>
                    </w:rPr>
                  </w:pPr>
                  <w:r>
                    <w:rPr>
                      <w:rFonts w:hint="default" w:ascii="Times New Roman" w:hAnsi="Times New Roman" w:cs="Times New Roman"/>
                      <w:strike w:val="0"/>
                      <w:sz w:val="21"/>
                      <w:szCs w:val="21"/>
                      <w:highlight w:val="none"/>
                      <w:u w:val="single"/>
                      <w:lang w:val="en-US" w:eastAsia="zh-CN"/>
                    </w:rPr>
                    <w:t>生物质燃料暂存库</w:t>
                  </w:r>
                </w:p>
              </w:tc>
              <w:tc>
                <w:tcPr>
                  <w:tcW w:w="816" w:type="pct"/>
                  <w:tcBorders>
                    <w:tl2br w:val="nil"/>
                    <w:tr2bl w:val="nil"/>
                  </w:tcBorders>
                  <w:vAlign w:val="center"/>
                </w:tcPr>
                <w:p w14:paraId="43B4588E">
                  <w:pPr>
                    <w:pStyle w:val="22"/>
                    <w:keepNext w:val="0"/>
                    <w:keepLines w:val="0"/>
                    <w:widowControl w:val="0"/>
                    <w:suppressLineNumbers w:val="0"/>
                    <w:spacing w:before="0" w:beforeAutospacing="0" w:after="0" w:afterAutospacing="0" w:line="240" w:lineRule="auto"/>
                    <w:ind w:left="0" w:firstLine="0" w:firstLineChars="0"/>
                    <w:jc w:val="center"/>
                    <w:rPr>
                      <w:rFonts w:hint="default" w:ascii="Times New Roman" w:hAnsi="Times New Roman" w:cs="Times New Roman"/>
                      <w:strike w:val="0"/>
                      <w:sz w:val="21"/>
                      <w:szCs w:val="21"/>
                      <w:highlight w:val="none"/>
                      <w:u w:val="single"/>
                    </w:rPr>
                  </w:pPr>
                  <w:r>
                    <w:rPr>
                      <w:rFonts w:hint="default" w:ascii="Times New Roman" w:hAnsi="Times New Roman" w:cs="Times New Roman"/>
                      <w:strike w:val="0"/>
                      <w:sz w:val="21"/>
                      <w:szCs w:val="21"/>
                      <w:highlight w:val="none"/>
                      <w:u w:val="single"/>
                      <w:lang w:val="en-US" w:eastAsia="zh-CN"/>
                    </w:rPr>
                    <w:t>面积约120m</w:t>
                  </w:r>
                  <w:r>
                    <w:rPr>
                      <w:rFonts w:hint="default" w:ascii="Times New Roman" w:hAnsi="Times New Roman" w:cs="Times New Roman"/>
                      <w:strike w:val="0"/>
                      <w:sz w:val="21"/>
                      <w:szCs w:val="21"/>
                      <w:highlight w:val="none"/>
                      <w:u w:val="single"/>
                      <w:vertAlign w:val="superscript"/>
                      <w:lang w:val="en-US" w:eastAsia="zh-CN"/>
                    </w:rPr>
                    <w:t>2</w:t>
                  </w:r>
                </w:p>
              </w:tc>
              <w:tc>
                <w:tcPr>
                  <w:tcW w:w="1166" w:type="pct"/>
                  <w:tcBorders>
                    <w:tl2br w:val="nil"/>
                    <w:tr2bl w:val="nil"/>
                  </w:tcBorders>
                  <w:vAlign w:val="center"/>
                </w:tcPr>
                <w:p w14:paraId="672CE2A1">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trike w:val="0"/>
                      <w:sz w:val="21"/>
                      <w:szCs w:val="21"/>
                      <w:highlight w:val="none"/>
                      <w:u w:val="single"/>
                      <w:lang w:val="en-US" w:eastAsia="zh-CN"/>
                    </w:rPr>
                  </w:pPr>
                  <w:r>
                    <w:rPr>
                      <w:rFonts w:hint="eastAsia" w:ascii="Times New Roman" w:hAnsi="Times New Roman" w:cs="Times New Roman"/>
                      <w:strike w:val="0"/>
                      <w:sz w:val="21"/>
                      <w:szCs w:val="21"/>
                      <w:highlight w:val="none"/>
                      <w:u w:val="single"/>
                      <w:lang w:val="en-US" w:eastAsia="zh-CN"/>
                    </w:rPr>
                    <w:t>/</w:t>
                  </w:r>
                </w:p>
              </w:tc>
              <w:tc>
                <w:tcPr>
                  <w:tcW w:w="1112" w:type="pct"/>
                  <w:tcBorders>
                    <w:tl2br w:val="nil"/>
                    <w:tr2bl w:val="nil"/>
                  </w:tcBorders>
                  <w:vAlign w:val="center"/>
                </w:tcPr>
                <w:p w14:paraId="1E33511C">
                  <w:pPr>
                    <w:keepNext w:val="0"/>
                    <w:keepLines w:val="0"/>
                    <w:suppressLineNumbers w:val="0"/>
                    <w:snapToGrid w:val="0"/>
                    <w:spacing w:before="0" w:beforeAutospacing="0" w:after="0" w:afterAutospacing="0" w:line="240" w:lineRule="auto"/>
                    <w:ind w:left="0" w:right="0" w:firstLine="420"/>
                    <w:rPr>
                      <w:rFonts w:hint="default" w:ascii="Times New Roman" w:hAnsi="Times New Roman" w:eastAsia="宋体" w:cs="Times New Roman"/>
                      <w:strike w:val="0"/>
                      <w:sz w:val="21"/>
                      <w:szCs w:val="21"/>
                      <w:highlight w:val="none"/>
                      <w:u w:val="single"/>
                      <w:lang w:val="en-US" w:eastAsia="zh-CN"/>
                    </w:rPr>
                  </w:pPr>
                  <w:r>
                    <w:rPr>
                      <w:rFonts w:hint="eastAsia" w:cs="Times New Roman"/>
                      <w:strike w:val="0"/>
                      <w:sz w:val="21"/>
                      <w:szCs w:val="21"/>
                      <w:highlight w:val="none"/>
                      <w:u w:val="single"/>
                      <w:lang w:val="en-US" w:eastAsia="zh-CN"/>
                    </w:rPr>
                    <w:t>原导热油锅炉使用燃料为生物质成型燃料，本项目替换锅炉不更换燃料种类</w:t>
                  </w:r>
                </w:p>
              </w:tc>
              <w:tc>
                <w:tcPr>
                  <w:tcW w:w="833" w:type="pct"/>
                  <w:tcBorders>
                    <w:tl2br w:val="nil"/>
                    <w:tr2bl w:val="nil"/>
                  </w:tcBorders>
                  <w:vAlign w:val="center"/>
                </w:tcPr>
                <w:p w14:paraId="288C1402">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strike w:val="0"/>
                      <w:sz w:val="21"/>
                      <w:szCs w:val="21"/>
                      <w:highlight w:val="none"/>
                      <w:u w:val="single"/>
                      <w:lang w:val="en-US" w:eastAsia="zh-CN"/>
                    </w:rPr>
                  </w:pPr>
                  <w:r>
                    <w:rPr>
                      <w:rFonts w:hint="eastAsia" w:cs="Times New Roman"/>
                      <w:strike w:val="0"/>
                      <w:sz w:val="21"/>
                      <w:szCs w:val="21"/>
                      <w:highlight w:val="none"/>
                      <w:u w:val="single"/>
                      <w:lang w:val="en-US" w:eastAsia="zh-CN"/>
                    </w:rPr>
                    <w:t>可依托</w:t>
                  </w:r>
                </w:p>
              </w:tc>
            </w:tr>
          </w:tbl>
          <w:p w14:paraId="7BBD34E2">
            <w:pPr>
              <w:keepNext w:val="0"/>
              <w:keepLines w:val="0"/>
              <w:numPr>
                <w:ilvl w:val="0"/>
                <w:numId w:val="5"/>
              </w:numPr>
              <w:suppressLineNumbers w:val="0"/>
              <w:adjustRightInd w:val="0"/>
              <w:snapToGrid w:val="0"/>
              <w:spacing w:before="120" w:beforeLines="50" w:beforeAutospacing="0" w:after="0" w:afterAutospacing="0" w:line="360" w:lineRule="auto"/>
              <w:ind w:left="0" w:right="0"/>
              <w:rPr>
                <w:rFonts w:hint="default"/>
                <w:b/>
                <w:sz w:val="28"/>
                <w:szCs w:val="28"/>
                <w:u w:val="single"/>
              </w:rPr>
            </w:pPr>
            <w:r>
              <w:rPr>
                <w:rFonts w:hint="default"/>
                <w:b/>
                <w:sz w:val="28"/>
                <w:szCs w:val="28"/>
                <w:u w:val="single"/>
              </w:rPr>
              <w:t>产品方案</w:t>
            </w:r>
          </w:p>
          <w:p w14:paraId="36A19137">
            <w:pPr>
              <w:pStyle w:val="11"/>
              <w:keepNext w:val="0"/>
              <w:keepLines w:val="0"/>
              <w:suppressLineNumbers w:val="0"/>
              <w:bidi w:val="0"/>
              <w:spacing w:before="0" w:beforeAutospacing="0" w:after="0" w:afterAutospacing="0"/>
              <w:ind w:left="0"/>
              <w:rPr>
                <w:rFonts w:hint="eastAsia"/>
                <w:u w:val="single"/>
                <w:lang w:val="en-US" w:eastAsia="zh-CN"/>
              </w:rPr>
            </w:pPr>
            <w:r>
              <w:rPr>
                <w:rFonts w:hint="eastAsia"/>
                <w:u w:val="single"/>
                <w:lang w:val="en-US" w:eastAsia="zh-CN"/>
              </w:rPr>
              <w:t>本项目新增一条肉制品加工生产线，一条鹌鹑蛋卤制品加工生产线，根据建设单位提供相关资料，本项目主要产品方案见下表：</w:t>
            </w:r>
          </w:p>
          <w:p w14:paraId="3A1E68B6">
            <w:pPr>
              <w:pStyle w:val="33"/>
              <w:keepNext w:val="0"/>
              <w:keepLines w:val="0"/>
              <w:numPr>
                <w:ilvl w:val="0"/>
                <w:numId w:val="7"/>
              </w:numPr>
              <w:suppressLineNumbers w:val="0"/>
              <w:spacing w:before="0" w:beforeAutospacing="0" w:after="0" w:afterAutospacing="0"/>
              <w:ind w:right="0" w:firstLineChars="0"/>
              <w:jc w:val="center"/>
              <w:rPr>
                <w:rFonts w:hint="default" w:eastAsia="宋体"/>
                <w:sz w:val="24"/>
                <w:u w:val="single"/>
                <w:lang w:val="en-US" w:eastAsia="zh-CN"/>
              </w:rPr>
            </w:pPr>
            <w:r>
              <w:rPr>
                <w:rFonts w:hint="eastAsia"/>
                <w:b/>
                <w:sz w:val="24"/>
                <w:szCs w:val="24"/>
                <w:u w:val="single"/>
                <w:lang w:val="en-US" w:eastAsia="zh-CN"/>
              </w:rPr>
              <w:t>产品方案一览表</w:t>
            </w:r>
          </w:p>
          <w:tbl>
            <w:tblPr>
              <w:tblStyle w:val="24"/>
              <w:tblW w:w="4995"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875"/>
              <w:gridCol w:w="913"/>
              <w:gridCol w:w="961"/>
              <w:gridCol w:w="1142"/>
              <w:gridCol w:w="1172"/>
              <w:gridCol w:w="1263"/>
              <w:gridCol w:w="1179"/>
            </w:tblGrid>
            <w:tr w14:paraId="598C9A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shd w:val="clear" w:color="auto" w:fill="auto"/>
                  <w:noWrap w:val="0"/>
                  <w:vAlign w:val="center"/>
                </w:tcPr>
                <w:p w14:paraId="0499CF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
                      <w:bCs/>
                      <w:snapToGrid w:val="0"/>
                      <w:sz w:val="21"/>
                      <w:szCs w:val="21"/>
                      <w:u w:val="single"/>
                    </w:rPr>
                  </w:pPr>
                  <w:bookmarkStart w:id="15" w:name="_Hlk176766785"/>
                  <w:r>
                    <w:rPr>
                      <w:rFonts w:hint="eastAsia"/>
                      <w:b/>
                      <w:bCs/>
                      <w:sz w:val="21"/>
                      <w:szCs w:val="21"/>
                      <w:u w:val="single"/>
                    </w:rPr>
                    <w:t>序号</w:t>
                  </w:r>
                </w:p>
              </w:tc>
              <w:tc>
                <w:tcPr>
                  <w:tcW w:w="1077" w:type="pct"/>
                  <w:gridSpan w:val="2"/>
                  <w:tcBorders>
                    <w:tl2br w:val="nil"/>
                    <w:tr2bl w:val="nil"/>
                  </w:tcBorders>
                  <w:shd w:val="clear" w:color="auto" w:fill="auto"/>
                  <w:noWrap w:val="0"/>
                  <w:vAlign w:val="center"/>
                </w:tcPr>
                <w:p w14:paraId="32BF62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
                      <w:bCs/>
                      <w:snapToGrid w:val="0"/>
                      <w:sz w:val="21"/>
                      <w:szCs w:val="21"/>
                      <w:u w:val="single"/>
                    </w:rPr>
                  </w:pPr>
                  <w:r>
                    <w:rPr>
                      <w:rFonts w:hint="eastAsia"/>
                      <w:b/>
                      <w:bCs/>
                      <w:sz w:val="21"/>
                      <w:szCs w:val="21"/>
                      <w:u w:val="single"/>
                    </w:rPr>
                    <w:t>产品名称</w:t>
                  </w:r>
                </w:p>
              </w:tc>
              <w:tc>
                <w:tcPr>
                  <w:tcW w:w="579" w:type="pct"/>
                  <w:tcBorders>
                    <w:tl2br w:val="nil"/>
                    <w:tr2bl w:val="nil"/>
                  </w:tcBorders>
                  <w:shd w:val="clear" w:color="auto" w:fill="auto"/>
                  <w:noWrap w:val="0"/>
                  <w:vAlign w:val="center"/>
                </w:tcPr>
                <w:p w14:paraId="73F1CC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
                      <w:bCs/>
                      <w:snapToGrid w:val="0"/>
                      <w:sz w:val="21"/>
                      <w:szCs w:val="21"/>
                      <w:u w:val="single"/>
                    </w:rPr>
                  </w:pPr>
                  <w:r>
                    <w:rPr>
                      <w:rFonts w:hint="eastAsia"/>
                      <w:b/>
                      <w:bCs/>
                      <w:sz w:val="21"/>
                      <w:szCs w:val="21"/>
                      <w:u w:val="single"/>
                    </w:rPr>
                    <w:t>单位</w:t>
                  </w:r>
                </w:p>
              </w:tc>
              <w:tc>
                <w:tcPr>
                  <w:tcW w:w="688" w:type="pct"/>
                  <w:tcBorders>
                    <w:tl2br w:val="nil"/>
                    <w:tr2bl w:val="nil"/>
                  </w:tcBorders>
                  <w:shd w:val="clear" w:color="auto" w:fill="auto"/>
                  <w:noWrap w:val="0"/>
                  <w:vAlign w:val="center"/>
                </w:tcPr>
                <w:p w14:paraId="7FF4B7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
                      <w:bCs/>
                      <w:sz w:val="21"/>
                      <w:szCs w:val="21"/>
                      <w:u w:val="single"/>
                    </w:rPr>
                  </w:pPr>
                  <w:r>
                    <w:rPr>
                      <w:rFonts w:hint="eastAsia"/>
                      <w:b/>
                      <w:bCs/>
                      <w:sz w:val="21"/>
                      <w:szCs w:val="21"/>
                      <w:u w:val="single"/>
                    </w:rPr>
                    <w:t>现有产量</w:t>
                  </w:r>
                </w:p>
              </w:tc>
              <w:tc>
                <w:tcPr>
                  <w:tcW w:w="706" w:type="pct"/>
                  <w:tcBorders>
                    <w:tl2br w:val="nil"/>
                    <w:tr2bl w:val="nil"/>
                  </w:tcBorders>
                  <w:shd w:val="clear" w:color="auto" w:fill="auto"/>
                  <w:noWrap w:val="0"/>
                  <w:vAlign w:val="center"/>
                </w:tcPr>
                <w:p w14:paraId="7910EF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eastAsia="宋体"/>
                      <w:b/>
                      <w:bCs/>
                      <w:sz w:val="21"/>
                      <w:szCs w:val="21"/>
                      <w:u w:val="single"/>
                      <w:lang w:eastAsia="zh-CN"/>
                    </w:rPr>
                  </w:pPr>
                  <w:r>
                    <w:rPr>
                      <w:rFonts w:hint="eastAsia"/>
                      <w:b/>
                      <w:bCs/>
                      <w:sz w:val="21"/>
                      <w:szCs w:val="21"/>
                      <w:u w:val="single"/>
                    </w:rPr>
                    <w:t>本项目新增产量</w:t>
                  </w:r>
                  <w:r>
                    <w:rPr>
                      <w:rFonts w:hint="eastAsia"/>
                      <w:b/>
                      <w:bCs/>
                      <w:sz w:val="21"/>
                      <w:szCs w:val="21"/>
                      <w:u w:val="single"/>
                      <w:lang w:eastAsia="zh-CN"/>
                    </w:rPr>
                    <w:t>（</w:t>
                  </w:r>
                  <w:r>
                    <w:rPr>
                      <w:rFonts w:hint="eastAsia"/>
                      <w:b/>
                      <w:bCs/>
                      <w:sz w:val="21"/>
                      <w:szCs w:val="21"/>
                      <w:u w:val="single"/>
                      <w:lang w:val="en-US" w:eastAsia="zh-CN"/>
                    </w:rPr>
                    <w:t>t/a</w:t>
                  </w:r>
                  <w:r>
                    <w:rPr>
                      <w:rFonts w:hint="eastAsia"/>
                      <w:b/>
                      <w:bCs/>
                      <w:sz w:val="21"/>
                      <w:szCs w:val="21"/>
                      <w:u w:val="single"/>
                      <w:lang w:eastAsia="zh-CN"/>
                    </w:rPr>
                    <w:t>）</w:t>
                  </w:r>
                </w:p>
              </w:tc>
              <w:tc>
                <w:tcPr>
                  <w:tcW w:w="761" w:type="pct"/>
                  <w:tcBorders>
                    <w:tl2br w:val="nil"/>
                    <w:tr2bl w:val="nil"/>
                  </w:tcBorders>
                  <w:shd w:val="clear" w:color="auto" w:fill="auto"/>
                  <w:noWrap w:val="0"/>
                  <w:vAlign w:val="center"/>
                </w:tcPr>
                <w:p w14:paraId="6E6BDC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eastAsia="宋体"/>
                      <w:b/>
                      <w:bCs/>
                      <w:snapToGrid w:val="0"/>
                      <w:sz w:val="21"/>
                      <w:szCs w:val="21"/>
                      <w:u w:val="single"/>
                      <w:lang w:eastAsia="zh-CN"/>
                    </w:rPr>
                  </w:pPr>
                  <w:r>
                    <w:rPr>
                      <w:rFonts w:hint="eastAsia"/>
                      <w:b/>
                      <w:bCs/>
                      <w:snapToGrid w:val="0"/>
                      <w:sz w:val="21"/>
                      <w:szCs w:val="21"/>
                      <w:u w:val="single"/>
                    </w:rPr>
                    <w:t>本项目建成后全厂产量</w:t>
                  </w:r>
                  <w:r>
                    <w:rPr>
                      <w:rFonts w:hint="eastAsia"/>
                      <w:b/>
                      <w:bCs/>
                      <w:snapToGrid w:val="0"/>
                      <w:sz w:val="21"/>
                      <w:szCs w:val="21"/>
                      <w:u w:val="single"/>
                      <w:lang w:eastAsia="zh-CN"/>
                    </w:rPr>
                    <w:t>（</w:t>
                  </w:r>
                  <w:r>
                    <w:rPr>
                      <w:rFonts w:hint="eastAsia"/>
                      <w:b/>
                      <w:bCs/>
                      <w:snapToGrid w:val="0"/>
                      <w:sz w:val="21"/>
                      <w:szCs w:val="21"/>
                      <w:u w:val="single"/>
                      <w:lang w:val="en-US" w:eastAsia="zh-CN"/>
                    </w:rPr>
                    <w:t>t/a</w:t>
                  </w:r>
                  <w:r>
                    <w:rPr>
                      <w:rFonts w:hint="eastAsia"/>
                      <w:b/>
                      <w:bCs/>
                      <w:snapToGrid w:val="0"/>
                      <w:sz w:val="21"/>
                      <w:szCs w:val="21"/>
                      <w:u w:val="single"/>
                      <w:lang w:eastAsia="zh-CN"/>
                    </w:rPr>
                    <w:t>）</w:t>
                  </w:r>
                </w:p>
              </w:tc>
              <w:tc>
                <w:tcPr>
                  <w:tcW w:w="710" w:type="pct"/>
                  <w:tcBorders>
                    <w:tl2br w:val="nil"/>
                    <w:tr2bl w:val="nil"/>
                  </w:tcBorders>
                  <w:shd w:val="clear" w:color="auto" w:fill="auto"/>
                  <w:noWrap w:val="0"/>
                  <w:vAlign w:val="center"/>
                </w:tcPr>
                <w:p w14:paraId="75CAC2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
                      <w:bCs/>
                      <w:snapToGrid w:val="0"/>
                      <w:sz w:val="21"/>
                      <w:szCs w:val="21"/>
                      <w:u w:val="single"/>
                    </w:rPr>
                  </w:pPr>
                  <w:r>
                    <w:rPr>
                      <w:rFonts w:hint="eastAsia"/>
                      <w:b/>
                      <w:bCs/>
                      <w:sz w:val="21"/>
                      <w:szCs w:val="21"/>
                      <w:u w:val="single"/>
                    </w:rPr>
                    <w:t>备注</w:t>
                  </w:r>
                </w:p>
              </w:tc>
            </w:tr>
            <w:tr w14:paraId="5C72EC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tcBorders>
                    <w:tl2br w:val="nil"/>
                    <w:tr2bl w:val="nil"/>
                  </w:tcBorders>
                  <w:shd w:val="clear" w:color="auto" w:fill="auto"/>
                  <w:noWrap w:val="0"/>
                  <w:vAlign w:val="center"/>
                </w:tcPr>
                <w:p w14:paraId="33D5DA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Cs/>
                      <w:snapToGrid w:val="0"/>
                      <w:sz w:val="21"/>
                      <w:szCs w:val="21"/>
                      <w:u w:val="single"/>
                    </w:rPr>
                  </w:pPr>
                  <w:r>
                    <w:rPr>
                      <w:rFonts w:hint="eastAsia"/>
                      <w:sz w:val="21"/>
                      <w:szCs w:val="21"/>
                      <w:u w:val="single"/>
                    </w:rPr>
                    <w:t>1</w:t>
                  </w:r>
                </w:p>
              </w:tc>
              <w:tc>
                <w:tcPr>
                  <w:tcW w:w="1077" w:type="pct"/>
                  <w:gridSpan w:val="2"/>
                  <w:tcBorders>
                    <w:tl2br w:val="nil"/>
                    <w:tr2bl w:val="nil"/>
                  </w:tcBorders>
                  <w:shd w:val="clear" w:color="auto" w:fill="auto"/>
                  <w:noWrap w:val="0"/>
                  <w:vAlign w:val="center"/>
                </w:tcPr>
                <w:p w14:paraId="1738AC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Cs/>
                      <w:snapToGrid w:val="0"/>
                      <w:sz w:val="21"/>
                      <w:szCs w:val="21"/>
                      <w:u w:val="single"/>
                    </w:rPr>
                  </w:pPr>
                  <w:r>
                    <w:rPr>
                      <w:rFonts w:hint="eastAsia"/>
                      <w:sz w:val="21"/>
                      <w:szCs w:val="21"/>
                      <w:u w:val="single"/>
                    </w:rPr>
                    <w:t>鹌鹑蛋</w:t>
                  </w:r>
                  <w:r>
                    <w:rPr>
                      <w:rFonts w:hint="eastAsia"/>
                      <w:sz w:val="21"/>
                      <w:szCs w:val="21"/>
                      <w:u w:val="single"/>
                      <w:lang w:val="en-US" w:eastAsia="zh-CN"/>
                    </w:rPr>
                    <w:t>卤</w:t>
                  </w:r>
                  <w:r>
                    <w:rPr>
                      <w:rFonts w:hint="eastAsia"/>
                      <w:sz w:val="21"/>
                      <w:szCs w:val="21"/>
                      <w:u w:val="single"/>
                    </w:rPr>
                    <w:t>制品</w:t>
                  </w:r>
                </w:p>
              </w:tc>
              <w:tc>
                <w:tcPr>
                  <w:tcW w:w="579" w:type="pct"/>
                  <w:tcBorders>
                    <w:tl2br w:val="nil"/>
                    <w:tr2bl w:val="nil"/>
                  </w:tcBorders>
                  <w:shd w:val="clear" w:color="auto" w:fill="auto"/>
                  <w:noWrap w:val="0"/>
                  <w:vAlign w:val="center"/>
                </w:tcPr>
                <w:p w14:paraId="0CF8A2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Cs/>
                      <w:snapToGrid w:val="0"/>
                      <w:sz w:val="21"/>
                      <w:szCs w:val="21"/>
                      <w:u w:val="single"/>
                    </w:rPr>
                  </w:pPr>
                  <w:r>
                    <w:rPr>
                      <w:rFonts w:hint="eastAsia"/>
                      <w:sz w:val="21"/>
                      <w:szCs w:val="21"/>
                      <w:u w:val="single"/>
                    </w:rPr>
                    <w:t>t/a</w:t>
                  </w:r>
                </w:p>
              </w:tc>
              <w:tc>
                <w:tcPr>
                  <w:tcW w:w="688" w:type="pct"/>
                  <w:tcBorders>
                    <w:tl2br w:val="nil"/>
                    <w:tr2bl w:val="nil"/>
                  </w:tcBorders>
                  <w:shd w:val="clear" w:color="auto" w:fill="auto"/>
                  <w:noWrap w:val="0"/>
                  <w:vAlign w:val="center"/>
                </w:tcPr>
                <w:p w14:paraId="02E29F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eastAsia="宋体"/>
                      <w:sz w:val="21"/>
                      <w:szCs w:val="21"/>
                      <w:u w:val="single"/>
                      <w:lang w:val="en-US" w:eastAsia="zh-CN"/>
                    </w:rPr>
                  </w:pPr>
                  <w:r>
                    <w:rPr>
                      <w:rFonts w:hint="eastAsia"/>
                      <w:sz w:val="21"/>
                      <w:szCs w:val="21"/>
                      <w:u w:val="single"/>
                      <w:lang w:val="en-US" w:eastAsia="zh-CN"/>
                    </w:rPr>
                    <w:t>/</w:t>
                  </w:r>
                </w:p>
              </w:tc>
              <w:tc>
                <w:tcPr>
                  <w:tcW w:w="706" w:type="pct"/>
                  <w:tcBorders>
                    <w:tl2br w:val="nil"/>
                    <w:tr2bl w:val="nil"/>
                  </w:tcBorders>
                  <w:shd w:val="clear" w:color="auto" w:fill="auto"/>
                  <w:noWrap w:val="0"/>
                  <w:vAlign w:val="center"/>
                </w:tcPr>
                <w:p w14:paraId="2D3FF3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sz w:val="21"/>
                      <w:szCs w:val="21"/>
                      <w:u w:val="single"/>
                      <w:lang w:val="en-US" w:eastAsia="zh-CN"/>
                    </w:rPr>
                  </w:pPr>
                  <w:r>
                    <w:rPr>
                      <w:rFonts w:hint="eastAsia"/>
                      <w:sz w:val="21"/>
                      <w:szCs w:val="21"/>
                      <w:u w:val="single"/>
                      <w:lang w:val="en-US" w:eastAsia="zh-CN"/>
                    </w:rPr>
                    <w:t>3000</w:t>
                  </w:r>
                </w:p>
              </w:tc>
              <w:tc>
                <w:tcPr>
                  <w:tcW w:w="761" w:type="pct"/>
                  <w:tcBorders>
                    <w:tl2br w:val="nil"/>
                    <w:tr2bl w:val="nil"/>
                  </w:tcBorders>
                  <w:shd w:val="clear" w:color="auto" w:fill="auto"/>
                  <w:noWrap w:val="0"/>
                  <w:vAlign w:val="center"/>
                </w:tcPr>
                <w:p w14:paraId="4C8CB4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kern w:val="2"/>
                      <w:sz w:val="21"/>
                      <w:szCs w:val="21"/>
                      <w:u w:val="single"/>
                      <w:lang w:val="en-US" w:eastAsia="zh-CN" w:bidi="ar-SA"/>
                    </w:rPr>
                  </w:pPr>
                  <w:r>
                    <w:rPr>
                      <w:rFonts w:hint="eastAsia"/>
                      <w:sz w:val="21"/>
                      <w:szCs w:val="21"/>
                      <w:u w:val="single"/>
                    </w:rPr>
                    <w:t>3000</w:t>
                  </w:r>
                </w:p>
              </w:tc>
              <w:tc>
                <w:tcPr>
                  <w:tcW w:w="710" w:type="pct"/>
                  <w:tcBorders>
                    <w:tl2br w:val="nil"/>
                    <w:tr2bl w:val="nil"/>
                  </w:tcBorders>
                  <w:shd w:val="clear" w:color="auto" w:fill="auto"/>
                  <w:noWrap w:val="0"/>
                  <w:vAlign w:val="center"/>
                </w:tcPr>
                <w:p w14:paraId="659BDD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Cs/>
                      <w:snapToGrid w:val="0"/>
                      <w:sz w:val="21"/>
                      <w:szCs w:val="21"/>
                      <w:u w:val="single"/>
                    </w:rPr>
                  </w:pPr>
                  <w:r>
                    <w:rPr>
                      <w:rFonts w:hint="eastAsia"/>
                      <w:sz w:val="21"/>
                      <w:szCs w:val="21"/>
                      <w:u w:val="single"/>
                    </w:rPr>
                    <w:t>/</w:t>
                  </w:r>
                </w:p>
              </w:tc>
            </w:tr>
            <w:tr w14:paraId="20EF80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vMerge w:val="restart"/>
                  <w:tcBorders>
                    <w:tl2br w:val="nil"/>
                    <w:tr2bl w:val="nil"/>
                  </w:tcBorders>
                  <w:shd w:val="clear" w:color="auto" w:fill="auto"/>
                  <w:noWrap w:val="0"/>
                  <w:vAlign w:val="center"/>
                </w:tcPr>
                <w:p w14:paraId="25BE30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Cs/>
                      <w:snapToGrid w:val="0"/>
                      <w:sz w:val="21"/>
                      <w:szCs w:val="21"/>
                      <w:u w:val="single"/>
                    </w:rPr>
                  </w:pPr>
                  <w:r>
                    <w:rPr>
                      <w:rFonts w:hint="eastAsia"/>
                      <w:sz w:val="21"/>
                      <w:szCs w:val="21"/>
                      <w:u w:val="single"/>
                    </w:rPr>
                    <w:t>2</w:t>
                  </w:r>
                </w:p>
              </w:tc>
              <w:tc>
                <w:tcPr>
                  <w:tcW w:w="527" w:type="pct"/>
                  <w:vMerge w:val="restart"/>
                  <w:tcBorders>
                    <w:tl2br w:val="nil"/>
                    <w:tr2bl w:val="nil"/>
                  </w:tcBorders>
                  <w:shd w:val="clear" w:color="auto" w:fill="auto"/>
                  <w:noWrap w:val="0"/>
                  <w:vAlign w:val="center"/>
                </w:tcPr>
                <w:p w14:paraId="045E8C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sz w:val="21"/>
                      <w:szCs w:val="21"/>
                      <w:u w:val="single"/>
                      <w:lang w:val="en-US" w:eastAsia="zh-CN"/>
                    </w:rPr>
                  </w:pPr>
                  <w:r>
                    <w:rPr>
                      <w:rFonts w:hint="eastAsia"/>
                      <w:sz w:val="21"/>
                      <w:szCs w:val="21"/>
                      <w:u w:val="single"/>
                      <w:lang w:val="en-US" w:eastAsia="zh-CN"/>
                    </w:rPr>
                    <w:t>肉制品</w:t>
                  </w:r>
                </w:p>
              </w:tc>
              <w:tc>
                <w:tcPr>
                  <w:tcW w:w="550" w:type="pct"/>
                  <w:tcBorders>
                    <w:tl2br w:val="nil"/>
                    <w:tr2bl w:val="nil"/>
                  </w:tcBorders>
                  <w:shd w:val="clear" w:color="auto" w:fill="auto"/>
                  <w:noWrap w:val="0"/>
                  <w:vAlign w:val="center"/>
                </w:tcPr>
                <w:p w14:paraId="2A6A47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sz w:val="21"/>
                      <w:szCs w:val="21"/>
                      <w:u w:val="single"/>
                      <w:lang w:val="en-US" w:eastAsia="zh-CN"/>
                    </w:rPr>
                  </w:pPr>
                  <w:r>
                    <w:rPr>
                      <w:rFonts w:hint="eastAsia"/>
                      <w:sz w:val="21"/>
                      <w:szCs w:val="21"/>
                      <w:u w:val="single"/>
                      <w:lang w:val="en-US" w:eastAsia="zh-CN"/>
                    </w:rPr>
                    <w:t>卤鸭腿</w:t>
                  </w:r>
                </w:p>
              </w:tc>
              <w:tc>
                <w:tcPr>
                  <w:tcW w:w="579" w:type="pct"/>
                  <w:tcBorders>
                    <w:tl2br w:val="nil"/>
                    <w:tr2bl w:val="nil"/>
                  </w:tcBorders>
                  <w:shd w:val="clear" w:color="auto" w:fill="auto"/>
                  <w:noWrap w:val="0"/>
                  <w:vAlign w:val="center"/>
                </w:tcPr>
                <w:p w14:paraId="07FFD6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Cs/>
                      <w:snapToGrid w:val="0"/>
                      <w:sz w:val="21"/>
                      <w:szCs w:val="21"/>
                      <w:u w:val="single"/>
                    </w:rPr>
                  </w:pPr>
                  <w:r>
                    <w:rPr>
                      <w:rFonts w:hint="eastAsia"/>
                      <w:sz w:val="21"/>
                      <w:szCs w:val="21"/>
                      <w:u w:val="single"/>
                    </w:rPr>
                    <w:t>t/a</w:t>
                  </w:r>
                </w:p>
              </w:tc>
              <w:tc>
                <w:tcPr>
                  <w:tcW w:w="688" w:type="pct"/>
                  <w:tcBorders>
                    <w:tl2br w:val="nil"/>
                    <w:tr2bl w:val="nil"/>
                  </w:tcBorders>
                  <w:shd w:val="clear" w:color="auto" w:fill="auto"/>
                  <w:noWrap w:val="0"/>
                  <w:vAlign w:val="center"/>
                </w:tcPr>
                <w:p w14:paraId="6C3A44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bCs/>
                      <w:snapToGrid w:val="0"/>
                      <w:sz w:val="21"/>
                      <w:szCs w:val="21"/>
                      <w:u w:val="single"/>
                      <w:lang w:val="en-US" w:eastAsia="zh-CN"/>
                    </w:rPr>
                  </w:pPr>
                  <w:r>
                    <w:rPr>
                      <w:rFonts w:hint="eastAsia"/>
                      <w:bCs/>
                      <w:snapToGrid w:val="0"/>
                      <w:sz w:val="21"/>
                      <w:szCs w:val="21"/>
                      <w:u w:val="single"/>
                      <w:lang w:val="en-US" w:eastAsia="zh-CN"/>
                    </w:rPr>
                    <w:t>/</w:t>
                  </w:r>
                </w:p>
              </w:tc>
              <w:tc>
                <w:tcPr>
                  <w:tcW w:w="706" w:type="pct"/>
                  <w:tcBorders>
                    <w:tl2br w:val="nil"/>
                    <w:tr2bl w:val="nil"/>
                  </w:tcBorders>
                  <w:shd w:val="clear" w:color="auto" w:fill="auto"/>
                  <w:noWrap w:val="0"/>
                  <w:vAlign w:val="center"/>
                </w:tcPr>
                <w:p w14:paraId="2AF259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bCs/>
                      <w:snapToGrid w:val="0"/>
                      <w:sz w:val="21"/>
                      <w:szCs w:val="21"/>
                      <w:u w:val="single"/>
                      <w:lang w:val="en-US" w:eastAsia="zh-CN"/>
                    </w:rPr>
                  </w:pPr>
                  <w:r>
                    <w:rPr>
                      <w:rFonts w:hint="eastAsia"/>
                      <w:bCs/>
                      <w:snapToGrid w:val="0"/>
                      <w:sz w:val="21"/>
                      <w:szCs w:val="21"/>
                      <w:u w:val="single"/>
                      <w:lang w:val="en-US" w:eastAsia="zh-CN"/>
                    </w:rPr>
                    <w:t>2000</w:t>
                  </w:r>
                </w:p>
              </w:tc>
              <w:tc>
                <w:tcPr>
                  <w:tcW w:w="761" w:type="pct"/>
                  <w:tcBorders>
                    <w:tl2br w:val="nil"/>
                    <w:tr2bl w:val="nil"/>
                  </w:tcBorders>
                  <w:shd w:val="clear" w:color="auto" w:fill="auto"/>
                  <w:noWrap w:val="0"/>
                  <w:vAlign w:val="center"/>
                </w:tcPr>
                <w:p w14:paraId="47A8A7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bCs/>
                      <w:snapToGrid w:val="0"/>
                      <w:kern w:val="2"/>
                      <w:sz w:val="21"/>
                      <w:szCs w:val="21"/>
                      <w:u w:val="single"/>
                      <w:lang w:val="en-US" w:eastAsia="zh-CN" w:bidi="ar-SA"/>
                    </w:rPr>
                  </w:pPr>
                  <w:r>
                    <w:rPr>
                      <w:rFonts w:hint="eastAsia"/>
                      <w:bCs/>
                      <w:snapToGrid w:val="0"/>
                      <w:sz w:val="21"/>
                      <w:szCs w:val="21"/>
                      <w:u w:val="single"/>
                      <w:lang w:val="en-US" w:eastAsia="zh-CN"/>
                    </w:rPr>
                    <w:t>2000</w:t>
                  </w:r>
                </w:p>
              </w:tc>
              <w:tc>
                <w:tcPr>
                  <w:tcW w:w="710" w:type="pct"/>
                  <w:tcBorders>
                    <w:tl2br w:val="nil"/>
                    <w:tr2bl w:val="nil"/>
                  </w:tcBorders>
                  <w:shd w:val="clear" w:color="auto" w:fill="auto"/>
                  <w:noWrap w:val="0"/>
                  <w:vAlign w:val="center"/>
                </w:tcPr>
                <w:p w14:paraId="51DDF6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bCs/>
                      <w:snapToGrid w:val="0"/>
                      <w:sz w:val="21"/>
                      <w:szCs w:val="21"/>
                      <w:u w:val="single"/>
                    </w:rPr>
                  </w:pPr>
                  <w:r>
                    <w:rPr>
                      <w:rFonts w:hint="eastAsia"/>
                      <w:sz w:val="21"/>
                      <w:szCs w:val="21"/>
                      <w:u w:val="single"/>
                    </w:rPr>
                    <w:t>/</w:t>
                  </w:r>
                </w:p>
              </w:tc>
            </w:tr>
            <w:tr w14:paraId="277ACB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pct"/>
                  <w:vMerge w:val="continue"/>
                  <w:tcBorders>
                    <w:tl2br w:val="nil"/>
                    <w:tr2bl w:val="nil"/>
                  </w:tcBorders>
                  <w:shd w:val="clear" w:color="auto" w:fill="auto"/>
                  <w:noWrap w:val="0"/>
                  <w:vAlign w:val="center"/>
                </w:tcPr>
                <w:p w14:paraId="7B513F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eastAsia="宋体"/>
                      <w:sz w:val="21"/>
                      <w:szCs w:val="21"/>
                      <w:u w:val="single"/>
                      <w:lang w:val="en-US" w:eastAsia="zh-CN"/>
                    </w:rPr>
                  </w:pPr>
                </w:p>
              </w:tc>
              <w:tc>
                <w:tcPr>
                  <w:tcW w:w="527" w:type="pct"/>
                  <w:vMerge w:val="continue"/>
                  <w:tcBorders>
                    <w:tl2br w:val="nil"/>
                    <w:tr2bl w:val="nil"/>
                  </w:tcBorders>
                  <w:shd w:val="clear" w:color="auto" w:fill="auto"/>
                  <w:noWrap w:val="0"/>
                  <w:vAlign w:val="center"/>
                </w:tcPr>
                <w:p w14:paraId="3E5E42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sz w:val="21"/>
                      <w:szCs w:val="21"/>
                      <w:u w:val="single"/>
                      <w:lang w:val="en-US" w:eastAsia="zh-CN"/>
                    </w:rPr>
                  </w:pPr>
                </w:p>
              </w:tc>
              <w:tc>
                <w:tcPr>
                  <w:tcW w:w="550" w:type="pct"/>
                  <w:tcBorders>
                    <w:tl2br w:val="nil"/>
                    <w:tr2bl w:val="nil"/>
                  </w:tcBorders>
                  <w:shd w:val="clear" w:color="auto" w:fill="auto"/>
                  <w:noWrap w:val="0"/>
                  <w:vAlign w:val="center"/>
                </w:tcPr>
                <w:p w14:paraId="125C74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sz w:val="21"/>
                      <w:szCs w:val="21"/>
                      <w:u w:val="single"/>
                      <w:lang w:val="en-US" w:eastAsia="zh-CN"/>
                    </w:rPr>
                  </w:pPr>
                  <w:r>
                    <w:rPr>
                      <w:rFonts w:hint="eastAsia"/>
                      <w:sz w:val="21"/>
                      <w:szCs w:val="21"/>
                      <w:u w:val="single"/>
                      <w:lang w:val="en-US" w:eastAsia="zh-CN"/>
                    </w:rPr>
                    <w:t>卤鸭脖</w:t>
                  </w:r>
                </w:p>
              </w:tc>
              <w:tc>
                <w:tcPr>
                  <w:tcW w:w="579" w:type="pct"/>
                  <w:tcBorders>
                    <w:tl2br w:val="nil"/>
                    <w:tr2bl w:val="nil"/>
                  </w:tcBorders>
                  <w:shd w:val="clear" w:color="auto" w:fill="auto"/>
                  <w:noWrap w:val="0"/>
                  <w:vAlign w:val="center"/>
                </w:tcPr>
                <w:p w14:paraId="57B867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eastAsia="宋体"/>
                      <w:sz w:val="21"/>
                      <w:szCs w:val="21"/>
                      <w:u w:val="single"/>
                      <w:lang w:val="en-US" w:eastAsia="zh-CN"/>
                    </w:rPr>
                  </w:pPr>
                  <w:r>
                    <w:rPr>
                      <w:rFonts w:hint="eastAsia"/>
                      <w:sz w:val="21"/>
                      <w:szCs w:val="21"/>
                      <w:u w:val="single"/>
                      <w:lang w:val="en-US" w:eastAsia="zh-CN"/>
                    </w:rPr>
                    <w:t>t/a</w:t>
                  </w:r>
                </w:p>
              </w:tc>
              <w:tc>
                <w:tcPr>
                  <w:tcW w:w="688" w:type="pct"/>
                  <w:tcBorders>
                    <w:tl2br w:val="nil"/>
                    <w:tr2bl w:val="nil"/>
                  </w:tcBorders>
                  <w:shd w:val="clear" w:color="auto" w:fill="auto"/>
                  <w:noWrap w:val="0"/>
                  <w:vAlign w:val="center"/>
                </w:tcPr>
                <w:p w14:paraId="0DF80A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bCs/>
                      <w:snapToGrid w:val="0"/>
                      <w:sz w:val="21"/>
                      <w:szCs w:val="21"/>
                      <w:u w:val="single"/>
                      <w:lang w:val="en-US" w:eastAsia="zh-CN"/>
                    </w:rPr>
                  </w:pPr>
                  <w:r>
                    <w:rPr>
                      <w:rFonts w:hint="eastAsia"/>
                      <w:bCs/>
                      <w:snapToGrid w:val="0"/>
                      <w:sz w:val="21"/>
                      <w:szCs w:val="21"/>
                      <w:u w:val="single"/>
                      <w:lang w:val="en-US" w:eastAsia="zh-CN"/>
                    </w:rPr>
                    <w:t>/</w:t>
                  </w:r>
                </w:p>
              </w:tc>
              <w:tc>
                <w:tcPr>
                  <w:tcW w:w="706" w:type="pct"/>
                  <w:tcBorders>
                    <w:tl2br w:val="nil"/>
                    <w:tr2bl w:val="nil"/>
                  </w:tcBorders>
                  <w:shd w:val="clear" w:color="auto" w:fill="auto"/>
                  <w:noWrap w:val="0"/>
                  <w:vAlign w:val="center"/>
                </w:tcPr>
                <w:p w14:paraId="143144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bCs/>
                      <w:snapToGrid w:val="0"/>
                      <w:sz w:val="21"/>
                      <w:szCs w:val="21"/>
                      <w:u w:val="single"/>
                      <w:lang w:val="en-US" w:eastAsia="zh-CN"/>
                    </w:rPr>
                  </w:pPr>
                  <w:r>
                    <w:rPr>
                      <w:rFonts w:hint="eastAsia"/>
                      <w:bCs/>
                      <w:snapToGrid w:val="0"/>
                      <w:sz w:val="21"/>
                      <w:szCs w:val="21"/>
                      <w:u w:val="single"/>
                      <w:lang w:val="en-US" w:eastAsia="zh-CN"/>
                    </w:rPr>
                    <w:t>3000</w:t>
                  </w:r>
                </w:p>
              </w:tc>
              <w:tc>
                <w:tcPr>
                  <w:tcW w:w="761" w:type="pct"/>
                  <w:tcBorders>
                    <w:tl2br w:val="nil"/>
                    <w:tr2bl w:val="nil"/>
                  </w:tcBorders>
                  <w:shd w:val="clear" w:color="auto" w:fill="auto"/>
                  <w:noWrap w:val="0"/>
                  <w:vAlign w:val="center"/>
                </w:tcPr>
                <w:p w14:paraId="2882D7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bCs/>
                      <w:snapToGrid w:val="0"/>
                      <w:sz w:val="21"/>
                      <w:szCs w:val="21"/>
                      <w:u w:val="single"/>
                      <w:lang w:val="en-US" w:eastAsia="zh-CN"/>
                    </w:rPr>
                  </w:pPr>
                  <w:r>
                    <w:rPr>
                      <w:rFonts w:hint="eastAsia"/>
                      <w:bCs/>
                      <w:snapToGrid w:val="0"/>
                      <w:sz w:val="21"/>
                      <w:szCs w:val="21"/>
                      <w:u w:val="single"/>
                      <w:lang w:val="en-US" w:eastAsia="zh-CN"/>
                    </w:rPr>
                    <w:t>3000</w:t>
                  </w:r>
                </w:p>
              </w:tc>
              <w:tc>
                <w:tcPr>
                  <w:tcW w:w="710" w:type="pct"/>
                  <w:tcBorders>
                    <w:tl2br w:val="nil"/>
                    <w:tr2bl w:val="nil"/>
                  </w:tcBorders>
                  <w:shd w:val="clear" w:color="auto" w:fill="auto"/>
                  <w:noWrap w:val="0"/>
                  <w:vAlign w:val="center"/>
                </w:tcPr>
                <w:p w14:paraId="451BFD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sz w:val="21"/>
                      <w:szCs w:val="21"/>
                      <w:u w:val="single"/>
                      <w:lang w:val="en-US" w:eastAsia="zh-CN"/>
                    </w:rPr>
                  </w:pPr>
                  <w:r>
                    <w:rPr>
                      <w:rFonts w:hint="eastAsia"/>
                      <w:sz w:val="21"/>
                      <w:szCs w:val="21"/>
                      <w:u w:val="single"/>
                      <w:lang w:val="en-US" w:eastAsia="zh-CN"/>
                    </w:rPr>
                    <w:t>/</w:t>
                  </w:r>
                </w:p>
              </w:tc>
            </w:tr>
            <w:bookmarkEnd w:id="15"/>
          </w:tbl>
          <w:p w14:paraId="6FFA01DB">
            <w:pPr>
              <w:keepNext w:val="0"/>
              <w:keepLines w:val="0"/>
              <w:numPr>
                <w:ilvl w:val="0"/>
                <w:numId w:val="5"/>
              </w:numPr>
              <w:suppressLineNumbers w:val="0"/>
              <w:adjustRightInd w:val="0"/>
              <w:snapToGrid w:val="0"/>
              <w:spacing w:before="120" w:beforeLines="50" w:beforeAutospacing="0" w:after="0" w:afterAutospacing="0" w:line="360" w:lineRule="auto"/>
              <w:ind w:left="0" w:right="0"/>
              <w:rPr>
                <w:rFonts w:hint="default"/>
                <w:b/>
                <w:sz w:val="28"/>
                <w:szCs w:val="28"/>
              </w:rPr>
            </w:pPr>
            <w:r>
              <w:rPr>
                <w:rFonts w:hint="default"/>
                <w:b/>
                <w:sz w:val="28"/>
                <w:szCs w:val="28"/>
                <w:u w:val="single"/>
              </w:rPr>
              <w:t>主要原辅材料</w:t>
            </w:r>
          </w:p>
          <w:p w14:paraId="27EB4CAA">
            <w:pPr>
              <w:pStyle w:val="41"/>
              <w:keepNext w:val="0"/>
              <w:keepLines w:val="0"/>
              <w:suppressLineNumbers w:val="0"/>
              <w:spacing w:before="0" w:beforeAutospacing="0" w:after="0" w:afterAutospacing="0" w:line="360" w:lineRule="auto"/>
              <w:ind w:left="0" w:right="0" w:firstLine="480" w:firstLineChars="200"/>
              <w:rPr>
                <w:rFonts w:hint="default"/>
                <w:color w:val="auto"/>
                <w:highlight w:val="none"/>
                <w:u w:val="single"/>
              </w:rPr>
            </w:pPr>
            <w:r>
              <w:rPr>
                <w:rFonts w:hint="default"/>
                <w:color w:val="auto"/>
                <w:highlight w:val="none"/>
                <w:u w:val="single"/>
              </w:rPr>
              <w:t>本项目主要原辅材料见下表。</w:t>
            </w:r>
          </w:p>
          <w:p w14:paraId="14B0245E">
            <w:pPr>
              <w:pStyle w:val="33"/>
              <w:keepNext w:val="0"/>
              <w:keepLines w:val="0"/>
              <w:numPr>
                <w:ilvl w:val="0"/>
                <w:numId w:val="7"/>
              </w:numPr>
              <w:suppressLineNumbers w:val="0"/>
              <w:spacing w:before="0" w:beforeAutospacing="0" w:after="0" w:afterAutospacing="0"/>
              <w:ind w:right="0" w:firstLineChars="0"/>
              <w:jc w:val="center"/>
              <w:rPr>
                <w:rFonts w:hint="default"/>
                <w:b/>
                <w:sz w:val="24"/>
                <w:highlight w:val="none"/>
                <w:u w:val="single"/>
              </w:rPr>
            </w:pPr>
            <w:r>
              <w:rPr>
                <w:rFonts w:hint="default"/>
                <w:b/>
                <w:sz w:val="24"/>
                <w:szCs w:val="24"/>
                <w:highlight w:val="none"/>
                <w:u w:val="single"/>
              </w:rPr>
              <w:t>主要原辅材料消耗一览表</w:t>
            </w:r>
          </w:p>
          <w:tbl>
            <w:tblPr>
              <w:tblStyle w:val="24"/>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93"/>
              <w:gridCol w:w="2079"/>
              <w:gridCol w:w="1483"/>
              <w:gridCol w:w="781"/>
              <w:gridCol w:w="666"/>
              <w:gridCol w:w="1277"/>
              <w:gridCol w:w="1423"/>
            </w:tblGrid>
            <w:tr w14:paraId="580A91C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6" w:hRule="atLeast"/>
                <w:tblHeader/>
                <w:jc w:val="center"/>
              </w:trPr>
              <w:tc>
                <w:tcPr>
                  <w:tcW w:w="357" w:type="pct"/>
                  <w:vAlign w:val="center"/>
                </w:tcPr>
                <w:p w14:paraId="7F9CB603">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序号</w:t>
                  </w:r>
                </w:p>
              </w:tc>
              <w:tc>
                <w:tcPr>
                  <w:tcW w:w="1252" w:type="pct"/>
                  <w:vAlign w:val="center"/>
                </w:tcPr>
                <w:p w14:paraId="421322C1">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原料名称</w:t>
                  </w:r>
                </w:p>
              </w:tc>
              <w:tc>
                <w:tcPr>
                  <w:tcW w:w="893" w:type="pct"/>
                  <w:vAlign w:val="center"/>
                </w:tcPr>
                <w:p w14:paraId="0D6AD153">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年用量t/a</w:t>
                  </w:r>
                </w:p>
              </w:tc>
              <w:tc>
                <w:tcPr>
                  <w:tcW w:w="470" w:type="pct"/>
                  <w:vAlign w:val="center"/>
                </w:tcPr>
                <w:p w14:paraId="18DAABF0">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最大储存量t</w:t>
                  </w:r>
                </w:p>
              </w:tc>
              <w:tc>
                <w:tcPr>
                  <w:tcW w:w="401" w:type="pct"/>
                  <w:vAlign w:val="center"/>
                </w:tcPr>
                <w:p w14:paraId="044BFB51">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形态</w:t>
                  </w:r>
                </w:p>
              </w:tc>
              <w:tc>
                <w:tcPr>
                  <w:tcW w:w="769" w:type="pct"/>
                  <w:vAlign w:val="center"/>
                </w:tcPr>
                <w:p w14:paraId="3172C79F">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储存方式</w:t>
                  </w:r>
                </w:p>
              </w:tc>
              <w:tc>
                <w:tcPr>
                  <w:tcW w:w="857" w:type="pct"/>
                  <w:vAlign w:val="center"/>
                </w:tcPr>
                <w:p w14:paraId="383CEC2C">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来源</w:t>
                  </w:r>
                </w:p>
              </w:tc>
            </w:tr>
            <w:tr w14:paraId="37654D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34079191">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b/>
                      <w:bCs/>
                      <w:szCs w:val="21"/>
                      <w:highlight w:val="none"/>
                      <w:u w:val="single"/>
                    </w:rPr>
                    <w:t>一</w:t>
                  </w:r>
                </w:p>
              </w:tc>
              <w:tc>
                <w:tcPr>
                  <w:tcW w:w="4642" w:type="pct"/>
                  <w:gridSpan w:val="6"/>
                  <w:vAlign w:val="center"/>
                </w:tcPr>
                <w:p w14:paraId="5F4FD838">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原辅材料消耗</w:t>
                  </w:r>
                </w:p>
              </w:tc>
            </w:tr>
            <w:tr w14:paraId="3CB60F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116E0798">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1</w:t>
                  </w:r>
                </w:p>
              </w:tc>
              <w:tc>
                <w:tcPr>
                  <w:tcW w:w="1252" w:type="pct"/>
                  <w:shd w:val="clear" w:color="auto" w:fill="auto"/>
                  <w:vAlign w:val="center"/>
                </w:tcPr>
                <w:p w14:paraId="743B0889">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sz w:val="21"/>
                      <w:szCs w:val="21"/>
                      <w:highlight w:val="none"/>
                      <w:u w:val="single"/>
                      <w:lang w:val="en-US" w:eastAsia="zh-CN"/>
                    </w:rPr>
                    <w:t>鹌鹑蛋</w:t>
                  </w:r>
                </w:p>
              </w:tc>
              <w:tc>
                <w:tcPr>
                  <w:tcW w:w="893" w:type="pct"/>
                  <w:shd w:val="clear" w:color="auto" w:fill="auto"/>
                  <w:vAlign w:val="center"/>
                </w:tcPr>
                <w:p w14:paraId="03F3525F">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sz w:val="21"/>
                      <w:szCs w:val="21"/>
                      <w:highlight w:val="none"/>
                      <w:u w:val="single"/>
                      <w:lang w:val="en-US" w:eastAsia="zh-CN"/>
                    </w:rPr>
                    <w:t>3</w:t>
                  </w:r>
                  <w:r>
                    <w:rPr>
                      <w:rFonts w:hint="eastAsia" w:cs="Times New Roman"/>
                      <w:sz w:val="21"/>
                      <w:szCs w:val="21"/>
                      <w:highlight w:val="none"/>
                      <w:u w:val="single"/>
                      <w:lang w:val="en-US" w:eastAsia="zh-CN"/>
                    </w:rPr>
                    <w:t>110</w:t>
                  </w:r>
                </w:p>
              </w:tc>
              <w:tc>
                <w:tcPr>
                  <w:tcW w:w="470" w:type="pct"/>
                  <w:shd w:val="clear" w:color="auto" w:fill="auto"/>
                  <w:vAlign w:val="center"/>
                </w:tcPr>
                <w:p w14:paraId="57D236C1">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sz w:val="21"/>
                      <w:szCs w:val="21"/>
                      <w:highlight w:val="none"/>
                      <w:u w:val="single"/>
                      <w:lang w:val="en-US" w:eastAsia="zh-CN"/>
                    </w:rPr>
                    <w:t>10</w:t>
                  </w:r>
                </w:p>
              </w:tc>
              <w:tc>
                <w:tcPr>
                  <w:tcW w:w="401" w:type="pct"/>
                  <w:shd w:val="clear" w:color="auto" w:fill="auto"/>
                  <w:vAlign w:val="center"/>
                </w:tcPr>
                <w:p w14:paraId="7DD55DEC">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sz w:val="21"/>
                      <w:szCs w:val="21"/>
                      <w:highlight w:val="none"/>
                      <w:u w:val="single"/>
                      <w:lang w:eastAsia="zh-CN"/>
                    </w:rPr>
                    <w:t>固体</w:t>
                  </w:r>
                </w:p>
              </w:tc>
              <w:tc>
                <w:tcPr>
                  <w:tcW w:w="769" w:type="pct"/>
                  <w:shd w:val="clear" w:color="auto" w:fill="auto"/>
                  <w:vAlign w:val="center"/>
                </w:tcPr>
                <w:p w14:paraId="23031F93">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sz w:val="21"/>
                      <w:szCs w:val="21"/>
                      <w:highlight w:val="none"/>
                      <w:u w:val="single"/>
                      <w:lang w:eastAsia="zh-CN"/>
                    </w:rPr>
                    <w:t>冷藏</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冷库</w:t>
                  </w:r>
                </w:p>
              </w:tc>
              <w:tc>
                <w:tcPr>
                  <w:tcW w:w="857" w:type="pct"/>
                  <w:shd w:val="clear" w:color="auto" w:fill="auto"/>
                  <w:vAlign w:val="center"/>
                </w:tcPr>
                <w:p w14:paraId="42041077">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kern w:val="2"/>
                      <w:sz w:val="21"/>
                      <w:szCs w:val="21"/>
                      <w:highlight w:val="none"/>
                      <w:u w:val="single"/>
                      <w:lang w:val="en-US" w:eastAsia="zh-CN" w:bidi="ar-SA"/>
                      <w14:ligatures w14:val="standardContextual"/>
                    </w:rPr>
                    <w:t>外购</w:t>
                  </w:r>
                </w:p>
              </w:tc>
            </w:tr>
            <w:tr w14:paraId="722F6D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6373EF19">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2</w:t>
                  </w:r>
                </w:p>
              </w:tc>
              <w:tc>
                <w:tcPr>
                  <w:tcW w:w="1252" w:type="pct"/>
                  <w:shd w:val="clear" w:color="auto" w:fill="auto"/>
                  <w:vAlign w:val="center"/>
                </w:tcPr>
                <w:p w14:paraId="6997F98E">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sz w:val="21"/>
                      <w:szCs w:val="21"/>
                      <w:highlight w:val="none"/>
                      <w:u w:val="single"/>
                      <w:lang w:val="en-US" w:eastAsia="zh-CN"/>
                    </w:rPr>
                    <w:t>鸭腿</w:t>
                  </w:r>
                </w:p>
              </w:tc>
              <w:tc>
                <w:tcPr>
                  <w:tcW w:w="893" w:type="pct"/>
                  <w:shd w:val="clear" w:color="auto" w:fill="auto"/>
                  <w:vAlign w:val="center"/>
                </w:tcPr>
                <w:p w14:paraId="13EF323C">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sz w:val="21"/>
                      <w:szCs w:val="21"/>
                      <w:highlight w:val="none"/>
                      <w:u w:val="single"/>
                      <w:lang w:val="en-US" w:eastAsia="zh-CN"/>
                    </w:rPr>
                    <w:t>2060</w:t>
                  </w:r>
                </w:p>
              </w:tc>
              <w:tc>
                <w:tcPr>
                  <w:tcW w:w="470" w:type="pct"/>
                  <w:vMerge w:val="restart"/>
                  <w:shd w:val="clear" w:color="auto" w:fill="auto"/>
                  <w:vAlign w:val="center"/>
                </w:tcPr>
                <w:p w14:paraId="485FC879">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single"/>
                      <w:lang w:val="en-US" w:eastAsia="zh-CN"/>
                    </w:rPr>
                  </w:pPr>
                  <w:r>
                    <w:rPr>
                      <w:rFonts w:hint="eastAsia" w:cs="Times New Roman"/>
                      <w:sz w:val="21"/>
                      <w:szCs w:val="21"/>
                      <w:highlight w:val="none"/>
                      <w:u w:val="single"/>
                      <w:lang w:val="en-US" w:eastAsia="zh-CN"/>
                    </w:rPr>
                    <w:t>70</w:t>
                  </w:r>
                </w:p>
              </w:tc>
              <w:tc>
                <w:tcPr>
                  <w:tcW w:w="401" w:type="pct"/>
                  <w:vMerge w:val="restart"/>
                  <w:shd w:val="clear" w:color="auto" w:fill="auto"/>
                  <w:vAlign w:val="center"/>
                </w:tcPr>
                <w:p w14:paraId="39E05762">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sz w:val="21"/>
                      <w:szCs w:val="21"/>
                      <w:highlight w:val="none"/>
                      <w:u w:val="single"/>
                      <w:lang w:eastAsia="zh-CN"/>
                    </w:rPr>
                    <w:t>固体</w:t>
                  </w:r>
                </w:p>
              </w:tc>
              <w:tc>
                <w:tcPr>
                  <w:tcW w:w="769" w:type="pct"/>
                  <w:vMerge w:val="restart"/>
                  <w:shd w:val="clear" w:color="auto" w:fill="auto"/>
                  <w:vAlign w:val="center"/>
                </w:tcPr>
                <w:p w14:paraId="5E2FC59B">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sz w:val="21"/>
                      <w:szCs w:val="21"/>
                      <w:highlight w:val="none"/>
                      <w:u w:val="single"/>
                      <w:lang w:eastAsia="zh-CN"/>
                    </w:rPr>
                    <w:t>冷冻</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冷库</w:t>
                  </w:r>
                </w:p>
              </w:tc>
              <w:tc>
                <w:tcPr>
                  <w:tcW w:w="857" w:type="pct"/>
                  <w:vMerge w:val="restart"/>
                  <w:shd w:val="clear" w:color="auto" w:fill="auto"/>
                  <w:vAlign w:val="center"/>
                </w:tcPr>
                <w:p w14:paraId="0AFF0758">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cs="Times New Roman"/>
                      <w:sz w:val="21"/>
                      <w:szCs w:val="21"/>
                      <w:highlight w:val="none"/>
                      <w:u w:val="single"/>
                      <w:lang w:val="en-US" w:eastAsia="zh-CN"/>
                    </w:rPr>
                  </w:pPr>
                  <w:r>
                    <w:rPr>
                      <w:rFonts w:hint="eastAsia" w:cs="Times New Roman"/>
                      <w:sz w:val="21"/>
                      <w:szCs w:val="21"/>
                      <w:highlight w:val="none"/>
                      <w:u w:val="single"/>
                      <w:lang w:val="en-US" w:eastAsia="zh-CN"/>
                    </w:rPr>
                    <w:t>外购冷冻</w:t>
                  </w:r>
                </w:p>
                <w:p w14:paraId="47C47548">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kern w:val="2"/>
                      <w:sz w:val="21"/>
                      <w:szCs w:val="21"/>
                      <w:highlight w:val="none"/>
                      <w:u w:val="single"/>
                      <w:lang w:val="en-US" w:eastAsia="zh-CN" w:bidi="ar-SA"/>
                      <w14:ligatures w14:val="standardContextual"/>
                    </w:rPr>
                    <w:t>半成品</w:t>
                  </w:r>
                </w:p>
              </w:tc>
            </w:tr>
            <w:tr w14:paraId="689136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1F7444B5">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3</w:t>
                  </w:r>
                </w:p>
              </w:tc>
              <w:tc>
                <w:tcPr>
                  <w:tcW w:w="1252" w:type="pct"/>
                  <w:shd w:val="clear" w:color="auto" w:fill="auto"/>
                  <w:vAlign w:val="center"/>
                </w:tcPr>
                <w:p w14:paraId="6CBF9384">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val="en-US" w:eastAsia="zh-CN"/>
                    </w:rPr>
                  </w:pPr>
                  <w:r>
                    <w:rPr>
                      <w:rFonts w:hint="eastAsia" w:cs="Times New Roman"/>
                      <w:sz w:val="21"/>
                      <w:szCs w:val="21"/>
                      <w:highlight w:val="none"/>
                      <w:u w:val="single"/>
                      <w:lang w:val="en-US" w:eastAsia="zh-CN"/>
                    </w:rPr>
                    <w:t>鸭脖</w:t>
                  </w:r>
                </w:p>
              </w:tc>
              <w:tc>
                <w:tcPr>
                  <w:tcW w:w="893" w:type="pct"/>
                  <w:shd w:val="clear" w:color="auto" w:fill="auto"/>
                  <w:vAlign w:val="center"/>
                </w:tcPr>
                <w:p w14:paraId="6D3E7928">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val="en-US" w:eastAsia="zh-CN"/>
                    </w:rPr>
                  </w:pPr>
                  <w:r>
                    <w:rPr>
                      <w:rFonts w:hint="eastAsia" w:cs="Times New Roman"/>
                      <w:sz w:val="21"/>
                      <w:szCs w:val="21"/>
                      <w:highlight w:val="none"/>
                      <w:u w:val="single"/>
                      <w:lang w:val="en-US" w:eastAsia="zh-CN"/>
                    </w:rPr>
                    <w:t>3140</w:t>
                  </w:r>
                </w:p>
              </w:tc>
              <w:tc>
                <w:tcPr>
                  <w:tcW w:w="470" w:type="pct"/>
                  <w:vMerge w:val="continue"/>
                  <w:shd w:val="clear" w:color="auto" w:fill="auto"/>
                  <w:vAlign w:val="center"/>
                </w:tcPr>
                <w:p w14:paraId="32A81740">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single"/>
                      <w:lang w:val="en-US" w:eastAsia="zh-CN"/>
                    </w:rPr>
                  </w:pPr>
                </w:p>
              </w:tc>
              <w:tc>
                <w:tcPr>
                  <w:tcW w:w="401" w:type="pct"/>
                  <w:vMerge w:val="continue"/>
                  <w:shd w:val="clear" w:color="auto" w:fill="auto"/>
                  <w:vAlign w:val="center"/>
                </w:tcPr>
                <w:p w14:paraId="0A9696A5">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none"/>
                      <w:u w:val="single"/>
                      <w:lang w:eastAsia="zh-CN"/>
                    </w:rPr>
                  </w:pPr>
                </w:p>
              </w:tc>
              <w:tc>
                <w:tcPr>
                  <w:tcW w:w="769" w:type="pct"/>
                  <w:vMerge w:val="continue"/>
                  <w:shd w:val="clear" w:color="auto" w:fill="auto"/>
                  <w:vAlign w:val="center"/>
                </w:tcPr>
                <w:p w14:paraId="3BEE2950">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none"/>
                      <w:u w:val="single"/>
                      <w:lang w:eastAsia="zh-CN"/>
                    </w:rPr>
                  </w:pPr>
                </w:p>
              </w:tc>
              <w:tc>
                <w:tcPr>
                  <w:tcW w:w="857" w:type="pct"/>
                  <w:vMerge w:val="continue"/>
                  <w:shd w:val="clear" w:color="auto" w:fill="auto"/>
                  <w:vAlign w:val="center"/>
                </w:tcPr>
                <w:p w14:paraId="45BFBB8D">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none"/>
                      <w:u w:val="single"/>
                      <w:lang w:eastAsia="zh-CN"/>
                    </w:rPr>
                  </w:pPr>
                </w:p>
              </w:tc>
            </w:tr>
            <w:tr w14:paraId="74A419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357" w:type="pct"/>
                  <w:vAlign w:val="center"/>
                </w:tcPr>
                <w:p w14:paraId="76EF48EE">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eastAsia"/>
                      <w:szCs w:val="21"/>
                      <w:highlight w:val="none"/>
                      <w:u w:val="single"/>
                      <w:lang w:val="en-US" w:eastAsia="zh-CN"/>
                    </w:rPr>
                    <w:t>4</w:t>
                  </w:r>
                </w:p>
              </w:tc>
              <w:tc>
                <w:tcPr>
                  <w:tcW w:w="1252" w:type="pct"/>
                  <w:shd w:val="clear" w:color="auto" w:fill="auto"/>
                  <w:vAlign w:val="center"/>
                </w:tcPr>
                <w:p w14:paraId="64564631">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食用油</w:t>
                  </w:r>
                </w:p>
              </w:tc>
              <w:tc>
                <w:tcPr>
                  <w:tcW w:w="893" w:type="pct"/>
                  <w:shd w:val="clear" w:color="auto" w:fill="auto"/>
                  <w:vAlign w:val="center"/>
                </w:tcPr>
                <w:p w14:paraId="3BA77F63">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cs="Times New Roman"/>
                      <w:sz w:val="21"/>
                      <w:szCs w:val="21"/>
                      <w:highlight w:val="none"/>
                      <w:u w:val="single"/>
                      <w:lang w:val="en-US" w:eastAsia="zh-CN"/>
                    </w:rPr>
                    <w:t>600m</w:t>
                  </w:r>
                  <w:r>
                    <w:rPr>
                      <w:rFonts w:hint="eastAsia" w:cs="Times New Roman"/>
                      <w:sz w:val="21"/>
                      <w:szCs w:val="21"/>
                      <w:highlight w:val="none"/>
                      <w:u w:val="single"/>
                      <w:vertAlign w:val="superscript"/>
                      <w:lang w:val="en-US" w:eastAsia="zh-CN"/>
                    </w:rPr>
                    <w:t>3</w:t>
                  </w:r>
                </w:p>
              </w:tc>
              <w:tc>
                <w:tcPr>
                  <w:tcW w:w="470" w:type="pct"/>
                  <w:shd w:val="clear" w:color="auto" w:fill="auto"/>
                  <w:vAlign w:val="center"/>
                </w:tcPr>
                <w:p w14:paraId="4741D032">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100</w:t>
                  </w:r>
                  <w:r>
                    <w:rPr>
                      <w:rFonts w:hint="eastAsia" w:cs="Times New Roman"/>
                      <w:sz w:val="21"/>
                      <w:szCs w:val="21"/>
                      <w:highlight w:val="none"/>
                      <w:u w:val="single"/>
                      <w:lang w:val="en-US" w:eastAsia="zh-CN"/>
                    </w:rPr>
                    <w:t>m</w:t>
                  </w:r>
                  <w:r>
                    <w:rPr>
                      <w:rFonts w:hint="eastAsia" w:cs="Times New Roman"/>
                      <w:sz w:val="21"/>
                      <w:szCs w:val="21"/>
                      <w:highlight w:val="none"/>
                      <w:u w:val="single"/>
                      <w:vertAlign w:val="superscript"/>
                      <w:lang w:val="en-US" w:eastAsia="zh-CN"/>
                    </w:rPr>
                    <w:t>3</w:t>
                  </w:r>
                </w:p>
              </w:tc>
              <w:tc>
                <w:tcPr>
                  <w:tcW w:w="401" w:type="pct"/>
                  <w:shd w:val="clear" w:color="auto" w:fill="auto"/>
                  <w:vAlign w:val="center"/>
                </w:tcPr>
                <w:p w14:paraId="1215B5CB">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液体</w:t>
                  </w:r>
                </w:p>
              </w:tc>
              <w:tc>
                <w:tcPr>
                  <w:tcW w:w="769" w:type="pct"/>
                  <w:shd w:val="clear" w:color="auto" w:fill="auto"/>
                  <w:vAlign w:val="center"/>
                </w:tcPr>
                <w:p w14:paraId="04AC9F8B">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常温</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储罐</w:t>
                  </w:r>
                </w:p>
              </w:tc>
              <w:tc>
                <w:tcPr>
                  <w:tcW w:w="857" w:type="pct"/>
                  <w:shd w:val="clear" w:color="auto" w:fill="auto"/>
                  <w:vAlign w:val="center"/>
                </w:tcPr>
                <w:p w14:paraId="3EC92F9F">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外</w:t>
                  </w:r>
                  <w:r>
                    <w:rPr>
                      <w:rFonts w:hint="eastAsia" w:ascii="Times New Roman" w:hAnsi="Times New Roman" w:cs="Times New Roman"/>
                      <w:sz w:val="21"/>
                      <w:szCs w:val="21"/>
                      <w:highlight w:val="none"/>
                      <w:u w:val="single"/>
                      <w:lang w:eastAsia="zh-CN"/>
                    </w:rPr>
                    <w:t>购</w:t>
                  </w:r>
                </w:p>
              </w:tc>
            </w:tr>
            <w:tr w14:paraId="7A9B27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40C39FF9">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5</w:t>
                  </w:r>
                </w:p>
              </w:tc>
              <w:tc>
                <w:tcPr>
                  <w:tcW w:w="1252" w:type="pct"/>
                  <w:shd w:val="clear" w:color="auto" w:fill="auto"/>
                  <w:vAlign w:val="center"/>
                </w:tcPr>
                <w:p w14:paraId="74D0FFF6">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cs="Times New Roman"/>
                      <w:sz w:val="21"/>
                      <w:szCs w:val="21"/>
                      <w:highlight w:val="none"/>
                      <w:u w:val="single"/>
                      <w:lang w:val="en-US" w:eastAsia="zh-CN"/>
                    </w:rPr>
                    <w:t>浓汤鸡膏</w:t>
                  </w:r>
                </w:p>
              </w:tc>
              <w:tc>
                <w:tcPr>
                  <w:tcW w:w="893" w:type="pct"/>
                  <w:vMerge w:val="restart"/>
                  <w:shd w:val="clear" w:color="auto" w:fill="auto"/>
                  <w:vAlign w:val="center"/>
                </w:tcPr>
                <w:p w14:paraId="10FF083E">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sz w:val="21"/>
                      <w:szCs w:val="21"/>
                      <w:highlight w:val="none"/>
                      <w:u w:val="single"/>
                      <w:lang w:val="en-US" w:eastAsia="zh-CN"/>
                    </w:rPr>
                    <w:t>341</w:t>
                  </w:r>
                </w:p>
              </w:tc>
              <w:tc>
                <w:tcPr>
                  <w:tcW w:w="470" w:type="pct"/>
                  <w:vMerge w:val="restart"/>
                  <w:shd w:val="clear" w:color="auto" w:fill="auto"/>
                  <w:vAlign w:val="center"/>
                </w:tcPr>
                <w:p w14:paraId="7A309A74">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cs="Times New Roman"/>
                      <w:sz w:val="21"/>
                      <w:szCs w:val="21"/>
                      <w:highlight w:val="none"/>
                      <w:u w:val="single"/>
                      <w:lang w:val="en-US" w:eastAsia="zh-CN"/>
                    </w:rPr>
                    <w:t>25</w:t>
                  </w:r>
                </w:p>
              </w:tc>
              <w:tc>
                <w:tcPr>
                  <w:tcW w:w="401" w:type="pct"/>
                  <w:vMerge w:val="restart"/>
                  <w:shd w:val="clear" w:color="auto" w:fill="auto"/>
                  <w:vAlign w:val="center"/>
                </w:tcPr>
                <w:p w14:paraId="26D076ED">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cs="Times New Roman"/>
                      <w:sz w:val="21"/>
                      <w:szCs w:val="21"/>
                      <w:highlight w:val="none"/>
                      <w:u w:val="single"/>
                      <w:lang w:val="en-US" w:eastAsia="zh-CN"/>
                    </w:rPr>
                    <w:t>半</w:t>
                  </w:r>
                  <w:r>
                    <w:rPr>
                      <w:rFonts w:hint="eastAsia" w:ascii="Times New Roman" w:hAnsi="Times New Roman" w:cs="Times New Roman"/>
                      <w:sz w:val="21"/>
                      <w:szCs w:val="21"/>
                      <w:highlight w:val="none"/>
                      <w:u w:val="single"/>
                      <w:lang w:eastAsia="zh-CN"/>
                    </w:rPr>
                    <w:t>固体</w:t>
                  </w:r>
                </w:p>
              </w:tc>
              <w:tc>
                <w:tcPr>
                  <w:tcW w:w="769" w:type="pct"/>
                  <w:vMerge w:val="restart"/>
                  <w:shd w:val="clear" w:color="auto" w:fill="auto"/>
                  <w:vAlign w:val="center"/>
                </w:tcPr>
                <w:p w14:paraId="099563E3">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常温</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仓库</w:t>
                  </w:r>
                </w:p>
              </w:tc>
              <w:tc>
                <w:tcPr>
                  <w:tcW w:w="857" w:type="pct"/>
                  <w:vMerge w:val="restart"/>
                  <w:shd w:val="clear" w:color="auto" w:fill="auto"/>
                  <w:vAlign w:val="center"/>
                </w:tcPr>
                <w:p w14:paraId="76D6BDA5">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外</w:t>
                  </w:r>
                  <w:r>
                    <w:rPr>
                      <w:rFonts w:hint="eastAsia" w:ascii="Times New Roman" w:hAnsi="Times New Roman" w:cs="Times New Roman"/>
                      <w:sz w:val="21"/>
                      <w:szCs w:val="21"/>
                      <w:highlight w:val="none"/>
                      <w:u w:val="single"/>
                      <w:lang w:eastAsia="zh-CN"/>
                    </w:rPr>
                    <w:t>购</w:t>
                  </w:r>
                </w:p>
              </w:tc>
            </w:tr>
            <w:tr w14:paraId="343451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6F10A7D0">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lang w:val="en-US" w:eastAsia="zh-CN"/>
                    </w:rPr>
                  </w:pPr>
                  <w:r>
                    <w:rPr>
                      <w:rFonts w:hint="eastAsia"/>
                      <w:szCs w:val="21"/>
                      <w:highlight w:val="none"/>
                      <w:u w:val="single"/>
                      <w:lang w:val="en-US" w:eastAsia="zh-CN"/>
                    </w:rPr>
                    <w:t>6</w:t>
                  </w:r>
                </w:p>
              </w:tc>
              <w:tc>
                <w:tcPr>
                  <w:tcW w:w="1252" w:type="pct"/>
                  <w:shd w:val="clear" w:color="auto" w:fill="auto"/>
                  <w:vAlign w:val="center"/>
                </w:tcPr>
                <w:p w14:paraId="6B847123">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val="en-US" w:eastAsia="zh-CN"/>
                    </w:rPr>
                  </w:pPr>
                  <w:r>
                    <w:rPr>
                      <w:rFonts w:hint="eastAsia" w:cs="Times New Roman"/>
                      <w:sz w:val="21"/>
                      <w:szCs w:val="21"/>
                      <w:highlight w:val="none"/>
                      <w:u w:val="single"/>
                      <w:lang w:val="en-US" w:eastAsia="zh-CN"/>
                    </w:rPr>
                    <w:t>牛骨汤膏</w:t>
                  </w:r>
                </w:p>
              </w:tc>
              <w:tc>
                <w:tcPr>
                  <w:tcW w:w="893" w:type="pct"/>
                  <w:vMerge w:val="continue"/>
                  <w:shd w:val="clear" w:color="auto" w:fill="auto"/>
                  <w:vAlign w:val="center"/>
                </w:tcPr>
                <w:p w14:paraId="6FF81276">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none"/>
                      <w:u w:val="single"/>
                      <w:lang w:val="en-US" w:eastAsia="zh-CN"/>
                    </w:rPr>
                  </w:pPr>
                </w:p>
              </w:tc>
              <w:tc>
                <w:tcPr>
                  <w:tcW w:w="470" w:type="pct"/>
                  <w:vMerge w:val="continue"/>
                  <w:shd w:val="clear" w:color="auto" w:fill="auto"/>
                  <w:vAlign w:val="center"/>
                </w:tcPr>
                <w:p w14:paraId="34612271">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yellow"/>
                      <w:u w:val="single"/>
                      <w:lang w:val="en-US" w:eastAsia="zh-CN"/>
                    </w:rPr>
                  </w:pPr>
                </w:p>
              </w:tc>
              <w:tc>
                <w:tcPr>
                  <w:tcW w:w="401" w:type="pct"/>
                  <w:vMerge w:val="continue"/>
                  <w:shd w:val="clear" w:color="auto" w:fill="auto"/>
                  <w:vAlign w:val="center"/>
                </w:tcPr>
                <w:p w14:paraId="0BC8AD08">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none"/>
                      <w:u w:val="single"/>
                      <w:lang w:eastAsia="zh-CN"/>
                    </w:rPr>
                  </w:pPr>
                </w:p>
              </w:tc>
              <w:tc>
                <w:tcPr>
                  <w:tcW w:w="769" w:type="pct"/>
                  <w:vMerge w:val="continue"/>
                  <w:shd w:val="clear" w:color="auto" w:fill="auto"/>
                  <w:vAlign w:val="center"/>
                </w:tcPr>
                <w:p w14:paraId="39B15E2E">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none"/>
                      <w:u w:val="single"/>
                      <w:lang w:eastAsia="zh-CN"/>
                    </w:rPr>
                  </w:pPr>
                </w:p>
              </w:tc>
              <w:tc>
                <w:tcPr>
                  <w:tcW w:w="857" w:type="pct"/>
                  <w:vMerge w:val="continue"/>
                  <w:shd w:val="clear" w:color="auto" w:fill="auto"/>
                  <w:vAlign w:val="center"/>
                </w:tcPr>
                <w:p w14:paraId="6656EBA1">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cs="Times New Roman"/>
                      <w:sz w:val="21"/>
                      <w:szCs w:val="21"/>
                      <w:highlight w:val="none"/>
                      <w:u w:val="single"/>
                      <w:lang w:val="en-US" w:eastAsia="zh-CN"/>
                    </w:rPr>
                  </w:pPr>
                </w:p>
              </w:tc>
            </w:tr>
            <w:tr w14:paraId="660E64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357" w:type="pct"/>
                  <w:vAlign w:val="center"/>
                </w:tcPr>
                <w:p w14:paraId="168EF2CA">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7</w:t>
                  </w:r>
                </w:p>
              </w:tc>
              <w:tc>
                <w:tcPr>
                  <w:tcW w:w="1252" w:type="pct"/>
                  <w:shd w:val="clear" w:color="auto" w:fill="auto"/>
                  <w:vAlign w:val="center"/>
                </w:tcPr>
                <w:p w14:paraId="0E682C24">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香辛料</w:t>
                  </w:r>
                </w:p>
              </w:tc>
              <w:tc>
                <w:tcPr>
                  <w:tcW w:w="893" w:type="pct"/>
                  <w:shd w:val="clear" w:color="auto" w:fill="auto"/>
                  <w:vAlign w:val="center"/>
                </w:tcPr>
                <w:p w14:paraId="223CC8B9">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kern w:val="2"/>
                      <w:sz w:val="21"/>
                      <w:szCs w:val="21"/>
                      <w:highlight w:val="none"/>
                      <w:u w:val="single"/>
                      <w:lang w:val="en-US" w:eastAsia="zh-CN" w:bidi="ar-SA"/>
                      <w14:ligatures w14:val="standardContextual"/>
                    </w:rPr>
                    <w:t>500</w:t>
                  </w:r>
                </w:p>
              </w:tc>
              <w:tc>
                <w:tcPr>
                  <w:tcW w:w="470" w:type="pct"/>
                  <w:shd w:val="clear" w:color="auto" w:fill="auto"/>
                  <w:vAlign w:val="center"/>
                </w:tcPr>
                <w:p w14:paraId="5283F4FE">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cs="Times New Roman"/>
                      <w:sz w:val="21"/>
                      <w:szCs w:val="21"/>
                      <w:highlight w:val="none"/>
                      <w:u w:val="single"/>
                      <w:lang w:val="en-US" w:eastAsia="zh-CN"/>
                    </w:rPr>
                    <w:t>20</w:t>
                  </w:r>
                </w:p>
              </w:tc>
              <w:tc>
                <w:tcPr>
                  <w:tcW w:w="401" w:type="pct"/>
                  <w:shd w:val="clear" w:color="auto" w:fill="auto"/>
                  <w:vAlign w:val="center"/>
                </w:tcPr>
                <w:p w14:paraId="337606F6">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固体</w:t>
                  </w:r>
                </w:p>
              </w:tc>
              <w:tc>
                <w:tcPr>
                  <w:tcW w:w="769" w:type="pct"/>
                  <w:shd w:val="clear" w:color="auto" w:fill="auto"/>
                  <w:vAlign w:val="center"/>
                </w:tcPr>
                <w:p w14:paraId="42045DAD">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常温</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仓库</w:t>
                  </w:r>
                </w:p>
              </w:tc>
              <w:tc>
                <w:tcPr>
                  <w:tcW w:w="857" w:type="pct"/>
                  <w:shd w:val="clear" w:color="auto" w:fill="auto"/>
                  <w:vAlign w:val="center"/>
                </w:tcPr>
                <w:p w14:paraId="2C4D6D8C">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外</w:t>
                  </w:r>
                  <w:r>
                    <w:rPr>
                      <w:rFonts w:hint="eastAsia" w:ascii="Times New Roman" w:hAnsi="Times New Roman" w:cs="Times New Roman"/>
                      <w:sz w:val="21"/>
                      <w:szCs w:val="21"/>
                      <w:highlight w:val="none"/>
                      <w:u w:val="single"/>
                      <w:lang w:eastAsia="zh-CN"/>
                    </w:rPr>
                    <w:t>购</w:t>
                  </w:r>
                </w:p>
              </w:tc>
            </w:tr>
            <w:tr w14:paraId="678C2C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271BB140">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lang w:val="en-US" w:eastAsia="zh-CN"/>
                    </w:rPr>
                  </w:pPr>
                  <w:r>
                    <w:rPr>
                      <w:rFonts w:hint="eastAsia"/>
                      <w:szCs w:val="21"/>
                      <w:highlight w:val="none"/>
                      <w:u w:val="single"/>
                      <w:lang w:val="en-US" w:eastAsia="zh-CN"/>
                    </w:rPr>
                    <w:t>8</w:t>
                  </w:r>
                </w:p>
              </w:tc>
              <w:tc>
                <w:tcPr>
                  <w:tcW w:w="1252" w:type="pct"/>
                  <w:shd w:val="clear" w:color="auto" w:fill="auto"/>
                  <w:vAlign w:val="center"/>
                </w:tcPr>
                <w:p w14:paraId="18E2BD2F">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val="en-US" w:eastAsia="zh-CN"/>
                    </w:rPr>
                  </w:pPr>
                  <w:r>
                    <w:rPr>
                      <w:rFonts w:hint="eastAsia" w:cs="Times New Roman"/>
                      <w:sz w:val="21"/>
                      <w:szCs w:val="21"/>
                      <w:highlight w:val="none"/>
                      <w:u w:val="single"/>
                      <w:lang w:val="en-US" w:eastAsia="zh-CN"/>
                    </w:rPr>
                    <w:t>食用盐</w:t>
                  </w:r>
                </w:p>
              </w:tc>
              <w:tc>
                <w:tcPr>
                  <w:tcW w:w="893" w:type="pct"/>
                  <w:shd w:val="clear" w:color="auto" w:fill="auto"/>
                  <w:vAlign w:val="center"/>
                </w:tcPr>
                <w:p w14:paraId="5086B21F">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kern w:val="2"/>
                      <w:sz w:val="21"/>
                      <w:szCs w:val="21"/>
                      <w:highlight w:val="none"/>
                      <w:u w:val="single"/>
                      <w:lang w:val="en-US" w:eastAsia="zh-CN" w:bidi="ar-SA"/>
                      <w14:ligatures w14:val="standardContextual"/>
                    </w:rPr>
                  </w:pPr>
                  <w:r>
                    <w:rPr>
                      <w:rFonts w:hint="eastAsia" w:cs="Times New Roman"/>
                      <w:kern w:val="2"/>
                      <w:sz w:val="21"/>
                      <w:szCs w:val="21"/>
                      <w:highlight w:val="none"/>
                      <w:u w:val="single"/>
                      <w:lang w:val="en-US" w:eastAsia="zh-CN" w:bidi="ar-SA"/>
                      <w14:ligatures w14:val="standardContextual"/>
                    </w:rPr>
                    <w:t>40</w:t>
                  </w:r>
                </w:p>
              </w:tc>
              <w:tc>
                <w:tcPr>
                  <w:tcW w:w="470" w:type="pct"/>
                  <w:shd w:val="clear" w:color="auto" w:fill="auto"/>
                  <w:vAlign w:val="center"/>
                </w:tcPr>
                <w:p w14:paraId="4DF6DC3D">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val="en-US" w:eastAsia="zh-CN"/>
                    </w:rPr>
                  </w:pPr>
                  <w:r>
                    <w:rPr>
                      <w:rFonts w:hint="eastAsia" w:cs="Times New Roman"/>
                      <w:sz w:val="21"/>
                      <w:szCs w:val="21"/>
                      <w:highlight w:val="none"/>
                      <w:u w:val="single"/>
                      <w:lang w:val="en-US" w:eastAsia="zh-CN"/>
                    </w:rPr>
                    <w:t>35</w:t>
                  </w:r>
                </w:p>
              </w:tc>
              <w:tc>
                <w:tcPr>
                  <w:tcW w:w="401" w:type="pct"/>
                  <w:shd w:val="clear" w:color="auto" w:fill="auto"/>
                  <w:vAlign w:val="center"/>
                </w:tcPr>
                <w:p w14:paraId="6B4C398B">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val="en-US" w:eastAsia="zh-CN"/>
                    </w:rPr>
                  </w:pPr>
                  <w:r>
                    <w:rPr>
                      <w:rFonts w:hint="eastAsia" w:cs="Times New Roman"/>
                      <w:sz w:val="21"/>
                      <w:szCs w:val="21"/>
                      <w:highlight w:val="none"/>
                      <w:u w:val="single"/>
                      <w:lang w:val="en-US" w:eastAsia="zh-CN"/>
                    </w:rPr>
                    <w:t>固体</w:t>
                  </w:r>
                </w:p>
              </w:tc>
              <w:tc>
                <w:tcPr>
                  <w:tcW w:w="769" w:type="pct"/>
                  <w:shd w:val="clear" w:color="auto" w:fill="auto"/>
                  <w:vAlign w:val="center"/>
                </w:tcPr>
                <w:p w14:paraId="4ADAE4CA">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eastAsia="zh-CN"/>
                    </w:rPr>
                  </w:pPr>
                  <w:r>
                    <w:rPr>
                      <w:rFonts w:hint="eastAsia" w:ascii="Times New Roman" w:hAnsi="Times New Roman" w:cs="Times New Roman"/>
                      <w:sz w:val="21"/>
                      <w:szCs w:val="21"/>
                      <w:highlight w:val="none"/>
                      <w:u w:val="single"/>
                      <w:lang w:eastAsia="zh-CN"/>
                    </w:rPr>
                    <w:t>常温</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仓库</w:t>
                  </w:r>
                </w:p>
              </w:tc>
              <w:tc>
                <w:tcPr>
                  <w:tcW w:w="857" w:type="pct"/>
                  <w:shd w:val="clear" w:color="auto" w:fill="auto"/>
                  <w:vAlign w:val="center"/>
                </w:tcPr>
                <w:p w14:paraId="67CD7DBF">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highlight w:val="none"/>
                      <w:u w:val="single"/>
                      <w:lang w:eastAsia="zh-CN"/>
                    </w:rPr>
                  </w:pPr>
                  <w:r>
                    <w:rPr>
                      <w:rFonts w:hint="eastAsia" w:ascii="Times New Roman" w:hAnsi="Times New Roman" w:cs="Times New Roman"/>
                      <w:sz w:val="21"/>
                      <w:szCs w:val="21"/>
                      <w:highlight w:val="none"/>
                      <w:u w:val="single"/>
                      <w:lang w:val="en-US" w:eastAsia="zh-CN"/>
                    </w:rPr>
                    <w:t>外</w:t>
                  </w:r>
                  <w:r>
                    <w:rPr>
                      <w:rFonts w:hint="eastAsia" w:ascii="Times New Roman" w:hAnsi="Times New Roman" w:cs="Times New Roman"/>
                      <w:sz w:val="21"/>
                      <w:szCs w:val="21"/>
                      <w:highlight w:val="none"/>
                      <w:u w:val="single"/>
                      <w:lang w:eastAsia="zh-CN"/>
                    </w:rPr>
                    <w:t>购</w:t>
                  </w:r>
                </w:p>
              </w:tc>
            </w:tr>
            <w:tr w14:paraId="41F08D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310525F9">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9</w:t>
                  </w:r>
                </w:p>
              </w:tc>
              <w:tc>
                <w:tcPr>
                  <w:tcW w:w="1252" w:type="pct"/>
                  <w:shd w:val="clear" w:color="auto" w:fill="auto"/>
                  <w:vAlign w:val="center"/>
                </w:tcPr>
                <w:p w14:paraId="0625B584">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其他辅料</w:t>
                  </w:r>
                </w:p>
              </w:tc>
              <w:tc>
                <w:tcPr>
                  <w:tcW w:w="893" w:type="pct"/>
                  <w:shd w:val="clear" w:color="auto" w:fill="auto"/>
                  <w:vAlign w:val="center"/>
                </w:tcPr>
                <w:p w14:paraId="625F091C">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ascii="Times New Roman" w:hAnsi="Times New Roman" w:cs="Times New Roman"/>
                      <w:kern w:val="2"/>
                      <w:sz w:val="21"/>
                      <w:szCs w:val="21"/>
                      <w:highlight w:val="none"/>
                      <w:u w:val="single"/>
                      <w:lang w:val="en-US" w:eastAsia="zh-CN" w:bidi="ar-SA"/>
                      <w14:ligatures w14:val="standardContextual"/>
                    </w:rPr>
                    <w:t>300</w:t>
                  </w:r>
                </w:p>
              </w:tc>
              <w:tc>
                <w:tcPr>
                  <w:tcW w:w="470" w:type="pct"/>
                  <w:shd w:val="clear" w:color="auto" w:fill="auto"/>
                  <w:vAlign w:val="center"/>
                </w:tcPr>
                <w:p w14:paraId="4625711E">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150</w:t>
                  </w:r>
                </w:p>
              </w:tc>
              <w:tc>
                <w:tcPr>
                  <w:tcW w:w="401" w:type="pct"/>
                  <w:shd w:val="clear" w:color="auto" w:fill="auto"/>
                  <w:vAlign w:val="center"/>
                </w:tcPr>
                <w:p w14:paraId="34731BFD">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固体</w:t>
                  </w:r>
                </w:p>
              </w:tc>
              <w:tc>
                <w:tcPr>
                  <w:tcW w:w="769" w:type="pct"/>
                  <w:shd w:val="clear" w:color="auto" w:fill="auto"/>
                  <w:vAlign w:val="center"/>
                </w:tcPr>
                <w:p w14:paraId="0D5620F9">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常温</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仓库</w:t>
                  </w:r>
                </w:p>
              </w:tc>
              <w:tc>
                <w:tcPr>
                  <w:tcW w:w="857" w:type="pct"/>
                  <w:shd w:val="clear" w:color="auto" w:fill="auto"/>
                  <w:vAlign w:val="center"/>
                </w:tcPr>
                <w:p w14:paraId="2FAD8A66">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外</w:t>
                  </w:r>
                  <w:r>
                    <w:rPr>
                      <w:rFonts w:hint="eastAsia" w:ascii="Times New Roman" w:hAnsi="Times New Roman" w:cs="Times New Roman"/>
                      <w:sz w:val="21"/>
                      <w:szCs w:val="21"/>
                      <w:highlight w:val="none"/>
                      <w:u w:val="single"/>
                      <w:lang w:eastAsia="zh-CN"/>
                    </w:rPr>
                    <w:t>购</w:t>
                  </w:r>
                </w:p>
              </w:tc>
            </w:tr>
            <w:tr w14:paraId="53FAC3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301A6698">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10</w:t>
                  </w:r>
                </w:p>
              </w:tc>
              <w:tc>
                <w:tcPr>
                  <w:tcW w:w="1252" w:type="pct"/>
                  <w:shd w:val="clear" w:color="auto" w:fill="auto"/>
                  <w:vAlign w:val="center"/>
                </w:tcPr>
                <w:p w14:paraId="1CAFCA29">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包装材料</w:t>
                  </w:r>
                </w:p>
              </w:tc>
              <w:tc>
                <w:tcPr>
                  <w:tcW w:w="893" w:type="pct"/>
                  <w:shd w:val="clear" w:color="auto" w:fill="auto"/>
                  <w:vAlign w:val="center"/>
                </w:tcPr>
                <w:p w14:paraId="34D84A2F">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1500</w:t>
                  </w:r>
                </w:p>
              </w:tc>
              <w:tc>
                <w:tcPr>
                  <w:tcW w:w="470" w:type="pct"/>
                  <w:shd w:val="clear" w:color="auto" w:fill="auto"/>
                  <w:vAlign w:val="center"/>
                </w:tcPr>
                <w:p w14:paraId="7E0539C7">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800</w:t>
                  </w:r>
                </w:p>
              </w:tc>
              <w:tc>
                <w:tcPr>
                  <w:tcW w:w="401" w:type="pct"/>
                  <w:shd w:val="clear" w:color="auto" w:fill="auto"/>
                  <w:vAlign w:val="center"/>
                </w:tcPr>
                <w:p w14:paraId="2A0DF9F6">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固体</w:t>
                  </w:r>
                </w:p>
              </w:tc>
              <w:tc>
                <w:tcPr>
                  <w:tcW w:w="769" w:type="pct"/>
                  <w:shd w:val="clear" w:color="auto" w:fill="auto"/>
                  <w:vAlign w:val="center"/>
                </w:tcPr>
                <w:p w14:paraId="26857972">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eastAsia="zh-CN"/>
                    </w:rPr>
                    <w:t>常温</w:t>
                  </w:r>
                  <w:r>
                    <w:rPr>
                      <w:rFonts w:hint="eastAsia" w:cs="Times New Roman"/>
                      <w:sz w:val="21"/>
                      <w:szCs w:val="21"/>
                      <w:highlight w:val="none"/>
                      <w:u w:val="single"/>
                      <w:lang w:eastAsia="zh-CN"/>
                    </w:rPr>
                    <w:t>，</w:t>
                  </w:r>
                  <w:r>
                    <w:rPr>
                      <w:rFonts w:hint="eastAsia" w:cs="Times New Roman"/>
                      <w:sz w:val="21"/>
                      <w:szCs w:val="21"/>
                      <w:highlight w:val="none"/>
                      <w:u w:val="single"/>
                      <w:lang w:val="en-US" w:eastAsia="zh-CN"/>
                    </w:rPr>
                    <w:t>仓库</w:t>
                  </w:r>
                </w:p>
              </w:tc>
              <w:tc>
                <w:tcPr>
                  <w:tcW w:w="857" w:type="pct"/>
                  <w:shd w:val="clear" w:color="auto" w:fill="auto"/>
                  <w:vAlign w:val="center"/>
                </w:tcPr>
                <w:p w14:paraId="5F913CBD">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rPr>
                  </w:pPr>
                  <w:r>
                    <w:rPr>
                      <w:rFonts w:hint="eastAsia" w:ascii="Times New Roman" w:hAnsi="Times New Roman" w:cs="Times New Roman"/>
                      <w:sz w:val="21"/>
                      <w:szCs w:val="21"/>
                      <w:highlight w:val="none"/>
                      <w:u w:val="single"/>
                      <w:lang w:val="en-US" w:eastAsia="zh-CN"/>
                    </w:rPr>
                    <w:t>外</w:t>
                  </w:r>
                  <w:r>
                    <w:rPr>
                      <w:rFonts w:hint="eastAsia" w:ascii="Times New Roman" w:hAnsi="Times New Roman" w:cs="Times New Roman"/>
                      <w:sz w:val="21"/>
                      <w:szCs w:val="21"/>
                      <w:highlight w:val="none"/>
                      <w:u w:val="single"/>
                      <w:lang w:eastAsia="zh-CN"/>
                    </w:rPr>
                    <w:t>购</w:t>
                  </w:r>
                </w:p>
              </w:tc>
            </w:tr>
            <w:tr w14:paraId="4CA7D1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6F901A72">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b/>
                      <w:bCs/>
                      <w:szCs w:val="21"/>
                      <w:highlight w:val="none"/>
                      <w:u w:val="single"/>
                    </w:rPr>
                    <w:t>二</w:t>
                  </w:r>
                </w:p>
              </w:tc>
              <w:tc>
                <w:tcPr>
                  <w:tcW w:w="4642" w:type="pct"/>
                  <w:gridSpan w:val="6"/>
                  <w:vAlign w:val="center"/>
                </w:tcPr>
                <w:p w14:paraId="7728A107">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highlight w:val="none"/>
                      <w:u w:val="single"/>
                    </w:rPr>
                  </w:pPr>
                  <w:r>
                    <w:rPr>
                      <w:rFonts w:hint="default"/>
                      <w:b/>
                      <w:bCs/>
                      <w:szCs w:val="21"/>
                      <w:highlight w:val="none"/>
                      <w:u w:val="single"/>
                    </w:rPr>
                    <w:t>资源及能源消耗</w:t>
                  </w:r>
                </w:p>
              </w:tc>
            </w:tr>
            <w:tr w14:paraId="407DFE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4F92839D">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1</w:t>
                  </w:r>
                </w:p>
              </w:tc>
              <w:tc>
                <w:tcPr>
                  <w:tcW w:w="1252" w:type="pct"/>
                  <w:vAlign w:val="center"/>
                </w:tcPr>
                <w:p w14:paraId="51EAE617">
                  <w:pPr>
                    <w:keepNext w:val="0"/>
                    <w:keepLines w:val="0"/>
                    <w:suppressLineNumbers w:val="0"/>
                    <w:spacing w:before="0" w:beforeAutospacing="0" w:after="0" w:afterAutospacing="0" w:line="360" w:lineRule="exact"/>
                    <w:ind w:left="0" w:leftChars="0" w:right="0" w:rightChars="0" w:firstLine="0" w:firstLineChars="0"/>
                    <w:jc w:val="center"/>
                    <w:rPr>
                      <w:rFonts w:hint="default"/>
                      <w:szCs w:val="21"/>
                      <w:highlight w:val="none"/>
                      <w:u w:val="single"/>
                    </w:rPr>
                  </w:pPr>
                  <w:r>
                    <w:rPr>
                      <w:rFonts w:hint="default"/>
                      <w:szCs w:val="21"/>
                      <w:highlight w:val="none"/>
                      <w:u w:val="single"/>
                    </w:rPr>
                    <w:t>电</w:t>
                  </w:r>
                </w:p>
              </w:tc>
              <w:tc>
                <w:tcPr>
                  <w:tcW w:w="893" w:type="pct"/>
                  <w:vAlign w:val="center"/>
                </w:tcPr>
                <w:p w14:paraId="63595B4A">
                  <w:pPr>
                    <w:keepNext w:val="0"/>
                    <w:keepLines w:val="0"/>
                    <w:suppressLineNumbers w:val="0"/>
                    <w:spacing w:before="0" w:beforeAutospacing="0" w:after="0" w:afterAutospacing="0" w:line="360" w:lineRule="exact"/>
                    <w:ind w:left="0" w:leftChars="0" w:right="0" w:rightChars="0" w:firstLine="0" w:firstLineChars="0"/>
                    <w:jc w:val="center"/>
                    <w:rPr>
                      <w:rFonts w:hint="default"/>
                      <w:szCs w:val="21"/>
                      <w:highlight w:val="none"/>
                      <w:u w:val="single"/>
                    </w:rPr>
                  </w:pPr>
                  <w:r>
                    <w:rPr>
                      <w:rFonts w:hint="eastAsia"/>
                      <w:szCs w:val="21"/>
                      <w:highlight w:val="none"/>
                      <w:u w:val="single"/>
                    </w:rPr>
                    <w:t>371</w:t>
                  </w:r>
                  <w:r>
                    <w:rPr>
                      <w:rFonts w:hint="eastAsia"/>
                      <w:szCs w:val="21"/>
                      <w:highlight w:val="none"/>
                      <w:u w:val="single"/>
                      <w:lang w:val="en-US" w:eastAsia="zh-CN"/>
                    </w:rPr>
                    <w:t>万</w:t>
                  </w:r>
                  <w:r>
                    <w:rPr>
                      <w:rFonts w:hint="default"/>
                      <w:szCs w:val="21"/>
                      <w:highlight w:val="none"/>
                      <w:u w:val="single"/>
                    </w:rPr>
                    <w:t>Kw</w:t>
                  </w:r>
                  <w:r>
                    <w:rPr>
                      <w:rFonts w:hint="default" w:ascii="Times New Roman" w:hAnsi="Times New Roman" w:cs="Times New Roman"/>
                      <w:szCs w:val="21"/>
                      <w:highlight w:val="none"/>
                      <w:u w:val="single"/>
                    </w:rPr>
                    <w:t>·</w:t>
                  </w:r>
                  <w:r>
                    <w:rPr>
                      <w:rFonts w:hint="default"/>
                      <w:szCs w:val="21"/>
                      <w:highlight w:val="none"/>
                      <w:u w:val="single"/>
                    </w:rPr>
                    <w:t>h</w:t>
                  </w:r>
                </w:p>
              </w:tc>
              <w:tc>
                <w:tcPr>
                  <w:tcW w:w="470" w:type="pct"/>
                  <w:vAlign w:val="center"/>
                </w:tcPr>
                <w:p w14:paraId="7512080E">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w:t>
                  </w:r>
                </w:p>
              </w:tc>
              <w:tc>
                <w:tcPr>
                  <w:tcW w:w="401" w:type="pct"/>
                  <w:vAlign w:val="center"/>
                </w:tcPr>
                <w:p w14:paraId="0317E936">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w:t>
                  </w:r>
                </w:p>
              </w:tc>
              <w:tc>
                <w:tcPr>
                  <w:tcW w:w="769" w:type="pct"/>
                  <w:vAlign w:val="center"/>
                </w:tcPr>
                <w:p w14:paraId="7CF5D6BA">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w:t>
                  </w:r>
                </w:p>
              </w:tc>
              <w:tc>
                <w:tcPr>
                  <w:tcW w:w="857" w:type="pct"/>
                  <w:vAlign w:val="center"/>
                </w:tcPr>
                <w:p w14:paraId="38D717D3">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eastAsia="宋体"/>
                      <w:szCs w:val="21"/>
                      <w:highlight w:val="none"/>
                      <w:u w:val="single"/>
                      <w:lang w:val="en-US" w:eastAsia="zh-CN"/>
                    </w:rPr>
                    <w:t>园区供水管网</w:t>
                  </w:r>
                </w:p>
              </w:tc>
            </w:tr>
            <w:tr w14:paraId="1FD8F2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77D37463">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2</w:t>
                  </w:r>
                </w:p>
              </w:tc>
              <w:tc>
                <w:tcPr>
                  <w:tcW w:w="1252" w:type="pct"/>
                  <w:vAlign w:val="center"/>
                </w:tcPr>
                <w:p w14:paraId="2CCAC7F0">
                  <w:pPr>
                    <w:pStyle w:val="44"/>
                    <w:keepNext w:val="0"/>
                    <w:keepLines w:val="0"/>
                    <w:suppressLineNumbers w:val="0"/>
                    <w:spacing w:beforeAutospacing="0" w:after="0" w:afterAutospacing="0"/>
                    <w:ind w:left="0" w:leftChars="0" w:right="0" w:rightChars="0" w:firstLine="0" w:firstLineChars="0"/>
                    <w:jc w:val="center"/>
                    <w:rPr>
                      <w:rFonts w:hint="default" w:ascii="Times New Roman" w:hAnsi="Times New Roman" w:cs="Times New Roman"/>
                      <w:kern w:val="2"/>
                      <w:sz w:val="21"/>
                      <w:szCs w:val="21"/>
                      <w:highlight w:val="none"/>
                      <w:u w:val="single"/>
                      <w:lang w:val="en-US" w:eastAsia="zh-CN"/>
                    </w:rPr>
                  </w:pPr>
                  <w:r>
                    <w:rPr>
                      <w:rFonts w:hint="eastAsia" w:ascii="Times New Roman" w:hAnsi="Times New Roman" w:cs="Times New Roman"/>
                      <w:kern w:val="2"/>
                      <w:sz w:val="21"/>
                      <w:szCs w:val="21"/>
                      <w:highlight w:val="none"/>
                      <w:u w:val="single"/>
                      <w:lang w:val="en-US" w:eastAsia="zh-CN"/>
                    </w:rPr>
                    <w:t>水</w:t>
                  </w:r>
                </w:p>
              </w:tc>
              <w:tc>
                <w:tcPr>
                  <w:tcW w:w="893" w:type="pct"/>
                  <w:vAlign w:val="center"/>
                </w:tcPr>
                <w:p w14:paraId="56D4D759">
                  <w:pPr>
                    <w:pStyle w:val="44"/>
                    <w:keepNext w:val="0"/>
                    <w:keepLines w:val="0"/>
                    <w:suppressLineNumbers w:val="0"/>
                    <w:spacing w:beforeAutospacing="0" w:after="0" w:afterAutospacing="0"/>
                    <w:ind w:left="0" w:leftChars="0" w:right="0" w:rightChars="0" w:firstLine="0" w:firstLineChars="0"/>
                    <w:jc w:val="center"/>
                    <w:rPr>
                      <w:rFonts w:hint="default" w:ascii="Times New Roman" w:hAnsi="Times New Roman" w:cs="Times New Roman"/>
                      <w:kern w:val="2"/>
                      <w:sz w:val="21"/>
                      <w:szCs w:val="21"/>
                      <w:highlight w:val="none"/>
                      <w:u w:val="single"/>
                      <w:lang w:val="en-US" w:eastAsia="zh-CN"/>
                    </w:rPr>
                  </w:pPr>
                  <w:r>
                    <w:rPr>
                      <w:rFonts w:hint="eastAsia" w:ascii="Times New Roman" w:hAnsi="Times New Roman" w:cs="Times New Roman"/>
                      <w:kern w:val="2"/>
                      <w:sz w:val="21"/>
                      <w:szCs w:val="21"/>
                      <w:highlight w:val="none"/>
                      <w:u w:val="single"/>
                      <w:lang w:val="en-US" w:eastAsia="zh-CN"/>
                    </w:rPr>
                    <w:t>94021.79m</w:t>
                  </w:r>
                  <w:r>
                    <w:rPr>
                      <w:rFonts w:hint="eastAsia" w:ascii="Times New Roman" w:hAnsi="Times New Roman" w:cs="Times New Roman"/>
                      <w:kern w:val="2"/>
                      <w:sz w:val="21"/>
                      <w:szCs w:val="21"/>
                      <w:highlight w:val="none"/>
                      <w:u w:val="single"/>
                      <w:vertAlign w:val="superscript"/>
                      <w:lang w:val="en-US" w:eastAsia="zh-CN"/>
                    </w:rPr>
                    <w:t>3</w:t>
                  </w:r>
                </w:p>
              </w:tc>
              <w:tc>
                <w:tcPr>
                  <w:tcW w:w="470" w:type="pct"/>
                  <w:vAlign w:val="center"/>
                </w:tcPr>
                <w:p w14:paraId="2D6B5182">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w:t>
                  </w:r>
                </w:p>
              </w:tc>
              <w:tc>
                <w:tcPr>
                  <w:tcW w:w="401" w:type="pct"/>
                  <w:vAlign w:val="center"/>
                </w:tcPr>
                <w:p w14:paraId="707A4D83">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液体</w:t>
                  </w:r>
                </w:p>
              </w:tc>
              <w:tc>
                <w:tcPr>
                  <w:tcW w:w="769" w:type="pct"/>
                  <w:vAlign w:val="center"/>
                </w:tcPr>
                <w:p w14:paraId="4D67B64C">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w:t>
                  </w:r>
                </w:p>
              </w:tc>
              <w:tc>
                <w:tcPr>
                  <w:tcW w:w="857" w:type="pct"/>
                  <w:vAlign w:val="center"/>
                </w:tcPr>
                <w:p w14:paraId="1EF46D30">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rPr>
                  </w:pPr>
                  <w:r>
                    <w:rPr>
                      <w:rFonts w:hint="default"/>
                      <w:szCs w:val="21"/>
                      <w:highlight w:val="none"/>
                      <w:u w:val="single"/>
                    </w:rPr>
                    <w:t>园区供</w:t>
                  </w:r>
                  <w:r>
                    <w:rPr>
                      <w:rFonts w:hint="eastAsia"/>
                      <w:szCs w:val="21"/>
                      <w:highlight w:val="none"/>
                      <w:u w:val="single"/>
                      <w:lang w:val="en-US" w:eastAsia="zh-CN"/>
                    </w:rPr>
                    <w:t>电</w:t>
                  </w:r>
                  <w:r>
                    <w:rPr>
                      <w:rFonts w:hint="default"/>
                      <w:szCs w:val="21"/>
                      <w:highlight w:val="none"/>
                      <w:u w:val="single"/>
                    </w:rPr>
                    <w:t>管网</w:t>
                  </w:r>
                </w:p>
              </w:tc>
            </w:tr>
            <w:tr w14:paraId="47726A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4E868EDE">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lang w:val="en-US" w:eastAsia="zh-CN"/>
                    </w:rPr>
                  </w:pPr>
                  <w:r>
                    <w:rPr>
                      <w:rFonts w:hint="eastAsia"/>
                      <w:szCs w:val="21"/>
                      <w:highlight w:val="none"/>
                      <w:u w:val="single"/>
                      <w:lang w:val="en-US" w:eastAsia="zh-CN"/>
                    </w:rPr>
                    <w:t>3</w:t>
                  </w:r>
                </w:p>
              </w:tc>
              <w:tc>
                <w:tcPr>
                  <w:tcW w:w="1252" w:type="pct"/>
                  <w:vAlign w:val="center"/>
                </w:tcPr>
                <w:p w14:paraId="0844D881">
                  <w:pPr>
                    <w:pStyle w:val="44"/>
                    <w:keepNext w:val="0"/>
                    <w:keepLines w:val="0"/>
                    <w:suppressLineNumbers w:val="0"/>
                    <w:spacing w:beforeAutospacing="0" w:after="0" w:afterAutospacing="0"/>
                    <w:ind w:left="0" w:leftChars="0" w:right="0" w:rightChars="0" w:firstLine="0" w:firstLineChars="0"/>
                    <w:jc w:val="center"/>
                    <w:rPr>
                      <w:rFonts w:hint="default" w:ascii="Times New Roman" w:hAnsi="Times New Roman" w:cs="Times New Roman"/>
                      <w:kern w:val="2"/>
                      <w:sz w:val="21"/>
                      <w:szCs w:val="21"/>
                      <w:highlight w:val="none"/>
                      <w:u w:val="single"/>
                      <w:lang w:val="en-US" w:eastAsia="zh-CN"/>
                    </w:rPr>
                  </w:pPr>
                  <w:r>
                    <w:rPr>
                      <w:rFonts w:hint="eastAsia" w:ascii="Times New Roman" w:hAnsi="Times New Roman" w:cs="Times New Roman"/>
                      <w:kern w:val="2"/>
                      <w:sz w:val="21"/>
                      <w:szCs w:val="21"/>
                      <w:highlight w:val="none"/>
                      <w:u w:val="single"/>
                      <w:lang w:val="en-US" w:eastAsia="zh-CN"/>
                    </w:rPr>
                    <w:t>生物质成型燃料</w:t>
                  </w:r>
                </w:p>
              </w:tc>
              <w:tc>
                <w:tcPr>
                  <w:tcW w:w="893" w:type="pct"/>
                  <w:shd w:val="clear" w:color="auto" w:fill="auto"/>
                  <w:vAlign w:val="center"/>
                </w:tcPr>
                <w:p w14:paraId="15B3A4C3">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sz w:val="21"/>
                      <w:szCs w:val="21"/>
                      <w:highlight w:val="none"/>
                      <w:u w:val="single"/>
                      <w:lang w:val="en-US" w:eastAsia="zh-CN"/>
                    </w:rPr>
                    <w:t>3396</w:t>
                  </w:r>
                </w:p>
              </w:tc>
              <w:tc>
                <w:tcPr>
                  <w:tcW w:w="470" w:type="pct"/>
                  <w:shd w:val="clear" w:color="auto" w:fill="auto"/>
                  <w:vAlign w:val="center"/>
                </w:tcPr>
                <w:p w14:paraId="2245A88F">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1"/>
                      <w:highlight w:val="none"/>
                      <w:u w:val="single"/>
                      <w:lang w:val="en-US" w:eastAsia="zh-CN" w:bidi="ar-SA"/>
                      <w14:ligatures w14:val="standardContextual"/>
                    </w:rPr>
                  </w:pPr>
                  <w:r>
                    <w:rPr>
                      <w:rFonts w:hint="eastAsia" w:cs="Times New Roman"/>
                      <w:sz w:val="21"/>
                      <w:szCs w:val="21"/>
                      <w:highlight w:val="none"/>
                      <w:u w:val="single"/>
                      <w:lang w:val="en-US" w:eastAsia="zh-CN"/>
                    </w:rPr>
                    <w:t>20</w:t>
                  </w:r>
                </w:p>
              </w:tc>
              <w:tc>
                <w:tcPr>
                  <w:tcW w:w="401" w:type="pct"/>
                  <w:vAlign w:val="center"/>
                </w:tcPr>
                <w:p w14:paraId="1316DFAD">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固态</w:t>
                  </w:r>
                </w:p>
              </w:tc>
              <w:tc>
                <w:tcPr>
                  <w:tcW w:w="769" w:type="pct"/>
                  <w:vAlign w:val="center"/>
                </w:tcPr>
                <w:p w14:paraId="59EDAD9C">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w:t>
                  </w:r>
                </w:p>
              </w:tc>
              <w:tc>
                <w:tcPr>
                  <w:tcW w:w="857" w:type="pct"/>
                  <w:vAlign w:val="center"/>
                </w:tcPr>
                <w:p w14:paraId="5F9A5BB8">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highlight w:val="none"/>
                      <w:u w:val="single"/>
                      <w:lang w:val="en-US" w:eastAsia="zh-CN"/>
                    </w:rPr>
                  </w:pPr>
                  <w:r>
                    <w:rPr>
                      <w:rFonts w:hint="eastAsia"/>
                      <w:szCs w:val="21"/>
                      <w:highlight w:val="none"/>
                      <w:u w:val="single"/>
                      <w:lang w:val="en-US" w:eastAsia="zh-CN"/>
                    </w:rPr>
                    <w:t>外购</w:t>
                  </w:r>
                </w:p>
              </w:tc>
            </w:tr>
            <w:tr w14:paraId="56019E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57" w:type="pct"/>
                  <w:vAlign w:val="center"/>
                </w:tcPr>
                <w:p w14:paraId="39D93B77">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lang w:val="en-US" w:eastAsia="zh-CN"/>
                    </w:rPr>
                  </w:pPr>
                  <w:r>
                    <w:rPr>
                      <w:rFonts w:hint="eastAsia"/>
                      <w:szCs w:val="21"/>
                      <w:highlight w:val="none"/>
                      <w:u w:val="single"/>
                      <w:lang w:val="en-US" w:eastAsia="zh-CN"/>
                    </w:rPr>
                    <w:t>4</w:t>
                  </w:r>
                </w:p>
              </w:tc>
              <w:tc>
                <w:tcPr>
                  <w:tcW w:w="1252" w:type="pct"/>
                  <w:vAlign w:val="center"/>
                </w:tcPr>
                <w:p w14:paraId="60291E4A">
                  <w:pPr>
                    <w:pStyle w:val="44"/>
                    <w:keepNext w:val="0"/>
                    <w:keepLines w:val="0"/>
                    <w:suppressLineNumbers w:val="0"/>
                    <w:spacing w:beforeAutospacing="0" w:after="0" w:afterAutospacing="0"/>
                    <w:ind w:left="0" w:leftChars="0" w:right="0" w:rightChars="0" w:firstLine="0" w:firstLineChars="0"/>
                    <w:jc w:val="center"/>
                    <w:rPr>
                      <w:rFonts w:hint="default" w:ascii="Times New Roman" w:hAnsi="Times New Roman" w:cs="Times New Roman"/>
                      <w:kern w:val="2"/>
                      <w:sz w:val="21"/>
                      <w:szCs w:val="21"/>
                      <w:highlight w:val="none"/>
                      <w:u w:val="single"/>
                      <w:lang w:val="en-US" w:eastAsia="zh-CN"/>
                    </w:rPr>
                  </w:pPr>
                  <w:r>
                    <w:rPr>
                      <w:rFonts w:hint="eastAsia" w:ascii="Times New Roman" w:hAnsi="Times New Roman" w:cs="Times New Roman"/>
                      <w:kern w:val="2"/>
                      <w:sz w:val="21"/>
                      <w:szCs w:val="21"/>
                      <w:highlight w:val="none"/>
                      <w:u w:val="single"/>
                      <w:lang w:val="en-US" w:eastAsia="zh-CN"/>
                    </w:rPr>
                    <w:t>R32（制冷剂）</w:t>
                  </w:r>
                </w:p>
              </w:tc>
              <w:tc>
                <w:tcPr>
                  <w:tcW w:w="893" w:type="pct"/>
                  <w:shd w:val="clear" w:color="auto" w:fill="auto"/>
                  <w:vAlign w:val="center"/>
                </w:tcPr>
                <w:p w14:paraId="41A7F860">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single"/>
                      <w:lang w:val="en-US" w:eastAsia="zh-CN"/>
                    </w:rPr>
                  </w:pPr>
                  <w:r>
                    <w:rPr>
                      <w:rFonts w:hint="eastAsia" w:cs="Times New Roman"/>
                      <w:sz w:val="21"/>
                      <w:szCs w:val="21"/>
                      <w:highlight w:val="none"/>
                      <w:u w:val="single"/>
                      <w:lang w:val="en-US" w:eastAsia="zh-CN"/>
                    </w:rPr>
                    <w:t>/</w:t>
                  </w:r>
                </w:p>
              </w:tc>
              <w:tc>
                <w:tcPr>
                  <w:tcW w:w="470" w:type="pct"/>
                  <w:shd w:val="clear" w:color="auto" w:fill="auto"/>
                  <w:vAlign w:val="center"/>
                </w:tcPr>
                <w:p w14:paraId="173834C7">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cs="Times New Roman"/>
                      <w:sz w:val="21"/>
                      <w:szCs w:val="21"/>
                      <w:highlight w:val="none"/>
                      <w:u w:val="single"/>
                      <w:lang w:val="en-US" w:eastAsia="zh-CN"/>
                    </w:rPr>
                  </w:pPr>
                  <w:r>
                    <w:rPr>
                      <w:rFonts w:hint="eastAsia" w:cs="Times New Roman"/>
                      <w:sz w:val="21"/>
                      <w:szCs w:val="21"/>
                      <w:highlight w:val="none"/>
                      <w:u w:val="single"/>
                      <w:lang w:val="en-US" w:eastAsia="zh-CN"/>
                    </w:rPr>
                    <w:t>/</w:t>
                  </w:r>
                </w:p>
              </w:tc>
              <w:tc>
                <w:tcPr>
                  <w:tcW w:w="401" w:type="pct"/>
                  <w:vAlign w:val="center"/>
                </w:tcPr>
                <w:p w14:paraId="1F4817C3">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lang w:val="en-US" w:eastAsia="zh-CN"/>
                    </w:rPr>
                  </w:pPr>
                  <w:r>
                    <w:rPr>
                      <w:rFonts w:hint="eastAsia"/>
                      <w:szCs w:val="21"/>
                      <w:highlight w:val="none"/>
                      <w:u w:val="single"/>
                      <w:lang w:val="en-US" w:eastAsia="zh-CN"/>
                    </w:rPr>
                    <w:t>气态</w:t>
                  </w:r>
                </w:p>
              </w:tc>
              <w:tc>
                <w:tcPr>
                  <w:tcW w:w="769" w:type="pct"/>
                  <w:vAlign w:val="center"/>
                </w:tcPr>
                <w:p w14:paraId="05C9504E">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lang w:val="en-US" w:eastAsia="zh-CN"/>
                    </w:rPr>
                  </w:pPr>
                  <w:r>
                    <w:rPr>
                      <w:rFonts w:hint="eastAsia"/>
                      <w:szCs w:val="21"/>
                      <w:highlight w:val="none"/>
                      <w:u w:val="single"/>
                      <w:lang w:val="en-US" w:eastAsia="zh-CN"/>
                    </w:rPr>
                    <w:t>/</w:t>
                  </w:r>
                </w:p>
              </w:tc>
              <w:tc>
                <w:tcPr>
                  <w:tcW w:w="857" w:type="pct"/>
                  <w:vAlign w:val="center"/>
                </w:tcPr>
                <w:p w14:paraId="7D1E320B">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highlight w:val="none"/>
                      <w:u w:val="single"/>
                      <w:lang w:val="en-US" w:eastAsia="zh-CN"/>
                    </w:rPr>
                  </w:pPr>
                  <w:r>
                    <w:rPr>
                      <w:rFonts w:hint="eastAsia"/>
                      <w:szCs w:val="21"/>
                      <w:highlight w:val="none"/>
                      <w:u w:val="single"/>
                      <w:lang w:val="en-US" w:eastAsia="zh-CN"/>
                    </w:rPr>
                    <w:t>外购</w:t>
                  </w:r>
                </w:p>
              </w:tc>
            </w:tr>
          </w:tbl>
          <w:p w14:paraId="11C443F0">
            <w:pPr>
              <w:keepNext w:val="0"/>
              <w:keepLines w:val="0"/>
              <w:numPr>
                <w:ilvl w:val="0"/>
                <w:numId w:val="5"/>
              </w:numPr>
              <w:suppressLineNumbers w:val="0"/>
              <w:adjustRightInd w:val="0"/>
              <w:snapToGrid w:val="0"/>
              <w:spacing w:before="120" w:beforeLines="50" w:beforeAutospacing="0" w:after="0" w:afterAutospacing="0" w:line="360" w:lineRule="auto"/>
              <w:ind w:left="0" w:right="0"/>
              <w:rPr>
                <w:rFonts w:hint="default"/>
                <w:b/>
                <w:sz w:val="28"/>
                <w:szCs w:val="28"/>
                <w:u w:val="none"/>
              </w:rPr>
            </w:pPr>
            <w:r>
              <w:rPr>
                <w:rFonts w:hint="default"/>
                <w:b/>
                <w:sz w:val="28"/>
                <w:szCs w:val="28"/>
                <w:u w:val="none"/>
              </w:rPr>
              <w:t>主要设备</w:t>
            </w:r>
          </w:p>
          <w:p w14:paraId="4276F9E8">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u w:val="none"/>
              </w:rPr>
            </w:pPr>
            <w:r>
              <w:rPr>
                <w:rFonts w:hint="default"/>
                <w:sz w:val="24"/>
                <w:u w:val="none"/>
              </w:rPr>
              <w:t>本项目主要生产设备见下表。</w:t>
            </w:r>
          </w:p>
          <w:p w14:paraId="187BC34B">
            <w:pPr>
              <w:pStyle w:val="33"/>
              <w:keepNext w:val="0"/>
              <w:keepLines w:val="0"/>
              <w:numPr>
                <w:ilvl w:val="0"/>
                <w:numId w:val="7"/>
              </w:numPr>
              <w:suppressLineNumbers w:val="0"/>
              <w:spacing w:before="0" w:beforeAutospacing="0" w:after="0" w:afterAutospacing="0"/>
              <w:ind w:right="0" w:firstLineChars="0"/>
              <w:jc w:val="center"/>
              <w:rPr>
                <w:rFonts w:hint="default" w:eastAsia="宋体"/>
                <w:sz w:val="24"/>
                <w:lang w:val="en-US" w:eastAsia="zh-CN"/>
              </w:rPr>
            </w:pPr>
            <w:r>
              <w:rPr>
                <w:rFonts w:hint="eastAsia"/>
                <w:b/>
                <w:bCs/>
                <w:sz w:val="24"/>
                <w:szCs w:val="24"/>
                <w:u w:val="none"/>
                <w:lang w:val="en-US" w:eastAsia="zh-CN"/>
              </w:rPr>
              <w:t>主要设备一览表</w:t>
            </w:r>
          </w:p>
          <w:tbl>
            <w:tblPr>
              <w:tblStyle w:val="24"/>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89"/>
              <w:gridCol w:w="2053"/>
              <w:gridCol w:w="2272"/>
              <w:gridCol w:w="1479"/>
              <w:gridCol w:w="1506"/>
            </w:tblGrid>
            <w:tr w14:paraId="6AC306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034C4D7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序号</w:t>
                  </w:r>
                </w:p>
              </w:tc>
              <w:tc>
                <w:tcPr>
                  <w:tcW w:w="1237" w:type="pct"/>
                  <w:tcBorders>
                    <w:tl2br w:val="nil"/>
                    <w:tr2bl w:val="nil"/>
                  </w:tcBorders>
                  <w:shd w:val="clear" w:color="auto" w:fill="auto"/>
                  <w:noWrap w:val="0"/>
                  <w:vAlign w:val="center"/>
                </w:tcPr>
                <w:p w14:paraId="06E0B36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设备名称</w:t>
                  </w:r>
                </w:p>
              </w:tc>
              <w:tc>
                <w:tcPr>
                  <w:tcW w:w="1369" w:type="pct"/>
                  <w:tcBorders>
                    <w:tl2br w:val="nil"/>
                    <w:tr2bl w:val="nil"/>
                  </w:tcBorders>
                  <w:shd w:val="clear" w:color="auto" w:fill="auto"/>
                  <w:noWrap w:val="0"/>
                  <w:vAlign w:val="center"/>
                </w:tcPr>
                <w:p w14:paraId="5102B4E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型号规格尺寸</w:t>
                  </w:r>
                </w:p>
              </w:tc>
              <w:tc>
                <w:tcPr>
                  <w:tcW w:w="891" w:type="pct"/>
                  <w:tcBorders>
                    <w:tl2br w:val="nil"/>
                    <w:tr2bl w:val="nil"/>
                  </w:tcBorders>
                  <w:shd w:val="clear" w:color="auto" w:fill="auto"/>
                  <w:noWrap w:val="0"/>
                  <w:vAlign w:val="center"/>
                </w:tcPr>
                <w:p w14:paraId="7E56D7E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bCs w:val="0"/>
                      <w:sz w:val="21"/>
                      <w:szCs w:val="21"/>
                      <w:lang w:val="en-US" w:eastAsia="zh-CN"/>
                    </w:rPr>
                  </w:pPr>
                  <w:r>
                    <w:rPr>
                      <w:rFonts w:hint="eastAsia" w:cs="Times New Roman"/>
                      <w:b/>
                      <w:bCs w:val="0"/>
                      <w:sz w:val="21"/>
                      <w:szCs w:val="21"/>
                      <w:lang w:val="en-US" w:eastAsia="zh-CN"/>
                    </w:rPr>
                    <w:t>数量</w:t>
                  </w:r>
                </w:p>
              </w:tc>
              <w:tc>
                <w:tcPr>
                  <w:tcW w:w="905" w:type="pct"/>
                  <w:tcBorders>
                    <w:tl2br w:val="nil"/>
                    <w:tr2bl w:val="nil"/>
                  </w:tcBorders>
                  <w:noWrap w:val="0"/>
                  <w:vAlign w:val="center"/>
                </w:tcPr>
                <w:p w14:paraId="3D7F2E4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备注</w:t>
                  </w:r>
                </w:p>
              </w:tc>
            </w:tr>
            <w:tr w14:paraId="1CCF88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shd w:val="clear" w:color="auto" w:fill="auto"/>
                  <w:noWrap w:val="0"/>
                  <w:vAlign w:val="center"/>
                </w:tcPr>
                <w:p w14:paraId="51E0FE1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b/>
                      <w:bCs w:val="0"/>
                      <w:sz w:val="21"/>
                      <w:szCs w:val="21"/>
                      <w:lang w:val="en-US" w:eastAsia="zh-CN"/>
                    </w:rPr>
                    <w:t>鹌鹑蛋生产线</w:t>
                  </w:r>
                </w:p>
              </w:tc>
            </w:tr>
            <w:tr w14:paraId="08B54A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6FED370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1237" w:type="pct"/>
                  <w:tcBorders>
                    <w:tl2br w:val="nil"/>
                    <w:tr2bl w:val="nil"/>
                  </w:tcBorders>
                  <w:shd w:val="clear" w:color="auto" w:fill="auto"/>
                  <w:noWrap w:val="0"/>
                  <w:vAlign w:val="center"/>
                </w:tcPr>
                <w:p w14:paraId="60F69C6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白蛋蒸煮剥壳设备</w:t>
                  </w:r>
                </w:p>
              </w:tc>
              <w:tc>
                <w:tcPr>
                  <w:tcW w:w="1369" w:type="pct"/>
                  <w:tcBorders>
                    <w:tl2br w:val="nil"/>
                    <w:tr2bl w:val="nil"/>
                  </w:tcBorders>
                  <w:shd w:val="clear" w:color="auto" w:fill="auto"/>
                  <w:noWrap w:val="0"/>
                  <w:vAlign w:val="center"/>
                </w:tcPr>
                <w:p w14:paraId="113BC97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9000*2000</w:t>
                  </w:r>
                </w:p>
              </w:tc>
              <w:tc>
                <w:tcPr>
                  <w:tcW w:w="891" w:type="pct"/>
                  <w:tcBorders>
                    <w:tl2br w:val="nil"/>
                    <w:tr2bl w:val="nil"/>
                  </w:tcBorders>
                  <w:shd w:val="clear" w:color="auto" w:fill="auto"/>
                  <w:noWrap w:val="0"/>
                  <w:vAlign w:val="center"/>
                </w:tcPr>
                <w:p w14:paraId="707DDDCD">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1套</w:t>
                  </w:r>
                </w:p>
              </w:tc>
              <w:tc>
                <w:tcPr>
                  <w:tcW w:w="905" w:type="pct"/>
                  <w:tcBorders>
                    <w:tl2br w:val="nil"/>
                    <w:tr2bl w:val="nil"/>
                  </w:tcBorders>
                  <w:noWrap w:val="0"/>
                  <w:vAlign w:val="center"/>
                </w:tcPr>
                <w:p w14:paraId="7232E77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val="en-US" w:eastAsia="zh-CN"/>
                    </w:rPr>
                    <w:t>新增</w:t>
                  </w:r>
                </w:p>
              </w:tc>
            </w:tr>
            <w:tr w14:paraId="268A26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63DA91F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1237" w:type="pct"/>
                  <w:tcBorders>
                    <w:tl2br w:val="nil"/>
                    <w:tr2bl w:val="nil"/>
                  </w:tcBorders>
                  <w:shd w:val="clear" w:color="auto" w:fill="auto"/>
                  <w:noWrap w:val="0"/>
                  <w:vAlign w:val="center"/>
                </w:tcPr>
                <w:p w14:paraId="1BB8608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卤锅</w:t>
                  </w:r>
                </w:p>
              </w:tc>
              <w:tc>
                <w:tcPr>
                  <w:tcW w:w="1369" w:type="pct"/>
                  <w:tcBorders>
                    <w:tl2br w:val="nil"/>
                    <w:tr2bl w:val="nil"/>
                  </w:tcBorders>
                  <w:shd w:val="clear" w:color="auto" w:fill="auto"/>
                  <w:noWrap w:val="0"/>
                  <w:vAlign w:val="center"/>
                </w:tcPr>
                <w:p w14:paraId="1A3B471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600L</w:t>
                  </w:r>
                </w:p>
              </w:tc>
              <w:tc>
                <w:tcPr>
                  <w:tcW w:w="891" w:type="pct"/>
                  <w:tcBorders>
                    <w:tl2br w:val="nil"/>
                    <w:tr2bl w:val="nil"/>
                  </w:tcBorders>
                  <w:shd w:val="clear" w:color="auto" w:fill="auto"/>
                  <w:noWrap w:val="0"/>
                  <w:vAlign w:val="center"/>
                </w:tcPr>
                <w:p w14:paraId="7CBC67C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6个</w:t>
                  </w:r>
                </w:p>
              </w:tc>
              <w:tc>
                <w:tcPr>
                  <w:tcW w:w="905" w:type="pct"/>
                  <w:tcBorders>
                    <w:tl2br w:val="nil"/>
                    <w:tr2bl w:val="nil"/>
                  </w:tcBorders>
                  <w:noWrap w:val="0"/>
                  <w:vAlign w:val="center"/>
                </w:tcPr>
                <w:p w14:paraId="4C862FC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54A315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771E621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1237" w:type="pct"/>
                  <w:tcBorders>
                    <w:tl2br w:val="nil"/>
                    <w:tr2bl w:val="nil"/>
                  </w:tcBorders>
                  <w:shd w:val="clear" w:color="auto" w:fill="auto"/>
                  <w:noWrap w:val="0"/>
                  <w:vAlign w:val="center"/>
                </w:tcPr>
                <w:p w14:paraId="01E6A08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单层烘干机</w:t>
                  </w:r>
                </w:p>
              </w:tc>
              <w:tc>
                <w:tcPr>
                  <w:tcW w:w="1369" w:type="pct"/>
                  <w:tcBorders>
                    <w:tl2br w:val="nil"/>
                    <w:tr2bl w:val="nil"/>
                  </w:tcBorders>
                  <w:shd w:val="clear" w:color="auto" w:fill="auto"/>
                  <w:noWrap w:val="0"/>
                  <w:vAlign w:val="center"/>
                </w:tcPr>
                <w:p w14:paraId="5ECB861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20000*2000*1800</w:t>
                  </w:r>
                </w:p>
              </w:tc>
              <w:tc>
                <w:tcPr>
                  <w:tcW w:w="891" w:type="pct"/>
                  <w:tcBorders>
                    <w:tl2br w:val="nil"/>
                    <w:tr2bl w:val="nil"/>
                  </w:tcBorders>
                  <w:shd w:val="clear" w:color="auto" w:fill="auto"/>
                  <w:noWrap w:val="0"/>
                  <w:vAlign w:val="center"/>
                </w:tcPr>
                <w:p w14:paraId="4E090CF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12DC143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18DE18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67A3D4F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1237" w:type="pct"/>
                  <w:tcBorders>
                    <w:tl2br w:val="nil"/>
                    <w:tr2bl w:val="nil"/>
                  </w:tcBorders>
                  <w:shd w:val="clear" w:color="auto" w:fill="auto"/>
                  <w:noWrap w:val="0"/>
                  <w:vAlign w:val="center"/>
                </w:tcPr>
                <w:p w14:paraId="0E88186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拉伸膜包装机</w:t>
                  </w:r>
                </w:p>
              </w:tc>
              <w:tc>
                <w:tcPr>
                  <w:tcW w:w="1369" w:type="pct"/>
                  <w:tcBorders>
                    <w:tl2br w:val="nil"/>
                    <w:tr2bl w:val="nil"/>
                  </w:tcBorders>
                  <w:shd w:val="clear" w:color="auto" w:fill="auto"/>
                  <w:noWrap w:val="0"/>
                  <w:vAlign w:val="center"/>
                </w:tcPr>
                <w:p w14:paraId="0653A71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DDLZ-420D</w:t>
                  </w:r>
                </w:p>
              </w:tc>
              <w:tc>
                <w:tcPr>
                  <w:tcW w:w="891" w:type="pct"/>
                  <w:tcBorders>
                    <w:tl2br w:val="nil"/>
                    <w:tr2bl w:val="nil"/>
                  </w:tcBorders>
                  <w:shd w:val="clear" w:color="auto" w:fill="auto"/>
                  <w:noWrap w:val="0"/>
                  <w:vAlign w:val="center"/>
                </w:tcPr>
                <w:p w14:paraId="211E884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4台</w:t>
                  </w:r>
                </w:p>
              </w:tc>
              <w:tc>
                <w:tcPr>
                  <w:tcW w:w="905" w:type="pct"/>
                  <w:tcBorders>
                    <w:tl2br w:val="nil"/>
                    <w:tr2bl w:val="nil"/>
                  </w:tcBorders>
                  <w:noWrap w:val="0"/>
                  <w:vAlign w:val="center"/>
                </w:tcPr>
                <w:p w14:paraId="20A12B0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3757E7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7311E7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1237" w:type="pct"/>
                  <w:tcBorders>
                    <w:tl2br w:val="nil"/>
                    <w:tr2bl w:val="nil"/>
                  </w:tcBorders>
                  <w:shd w:val="clear" w:color="auto" w:fill="auto"/>
                  <w:noWrap w:val="0"/>
                  <w:vAlign w:val="center"/>
                </w:tcPr>
                <w:p w14:paraId="626492A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杀菌釜</w:t>
                  </w:r>
                </w:p>
              </w:tc>
              <w:tc>
                <w:tcPr>
                  <w:tcW w:w="1369" w:type="pct"/>
                  <w:tcBorders>
                    <w:tl2br w:val="nil"/>
                    <w:tr2bl w:val="nil"/>
                  </w:tcBorders>
                  <w:shd w:val="clear" w:color="auto" w:fill="auto"/>
                  <w:noWrap w:val="0"/>
                  <w:vAlign w:val="center"/>
                </w:tcPr>
                <w:p w14:paraId="053C3F2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3000*1200</w:t>
                  </w:r>
                </w:p>
              </w:tc>
              <w:tc>
                <w:tcPr>
                  <w:tcW w:w="891" w:type="pct"/>
                  <w:tcBorders>
                    <w:tl2br w:val="nil"/>
                    <w:tr2bl w:val="nil"/>
                  </w:tcBorders>
                  <w:shd w:val="clear" w:color="auto" w:fill="auto"/>
                  <w:noWrap w:val="0"/>
                  <w:vAlign w:val="center"/>
                </w:tcPr>
                <w:p w14:paraId="130D967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2台</w:t>
                  </w:r>
                </w:p>
              </w:tc>
              <w:tc>
                <w:tcPr>
                  <w:tcW w:w="905" w:type="pct"/>
                  <w:tcBorders>
                    <w:tl2br w:val="nil"/>
                    <w:tr2bl w:val="nil"/>
                  </w:tcBorders>
                  <w:noWrap w:val="0"/>
                  <w:vAlign w:val="center"/>
                </w:tcPr>
                <w:p w14:paraId="65D687F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6D8DCE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D6C3E5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1237" w:type="pct"/>
                  <w:tcBorders>
                    <w:tl2br w:val="nil"/>
                    <w:tr2bl w:val="nil"/>
                  </w:tcBorders>
                  <w:shd w:val="clear" w:color="auto" w:fill="auto"/>
                  <w:noWrap w:val="0"/>
                  <w:vAlign w:val="center"/>
                </w:tcPr>
                <w:p w14:paraId="30C9A82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过水机</w:t>
                  </w:r>
                </w:p>
              </w:tc>
              <w:tc>
                <w:tcPr>
                  <w:tcW w:w="1369" w:type="pct"/>
                  <w:tcBorders>
                    <w:tl2br w:val="nil"/>
                    <w:tr2bl w:val="nil"/>
                  </w:tcBorders>
                  <w:shd w:val="clear" w:color="auto" w:fill="auto"/>
                  <w:noWrap w:val="0"/>
                  <w:vAlign w:val="center"/>
                </w:tcPr>
                <w:p w14:paraId="5FB14E7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2500*1800</w:t>
                  </w:r>
                </w:p>
              </w:tc>
              <w:tc>
                <w:tcPr>
                  <w:tcW w:w="891" w:type="pct"/>
                  <w:tcBorders>
                    <w:tl2br w:val="nil"/>
                    <w:tr2bl w:val="nil"/>
                  </w:tcBorders>
                  <w:shd w:val="clear" w:color="auto" w:fill="auto"/>
                  <w:noWrap w:val="0"/>
                  <w:vAlign w:val="center"/>
                </w:tcPr>
                <w:p w14:paraId="0AB1354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67EF38F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1D69C9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6F22D94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1237" w:type="pct"/>
                  <w:tcBorders>
                    <w:tl2br w:val="nil"/>
                    <w:tr2bl w:val="nil"/>
                  </w:tcBorders>
                  <w:shd w:val="clear" w:color="auto" w:fill="auto"/>
                  <w:noWrap w:val="0"/>
                  <w:vAlign w:val="center"/>
                </w:tcPr>
                <w:p w14:paraId="1B6C4D3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阶梯振动筛</w:t>
                  </w:r>
                </w:p>
              </w:tc>
              <w:tc>
                <w:tcPr>
                  <w:tcW w:w="1369" w:type="pct"/>
                  <w:tcBorders>
                    <w:tl2br w:val="nil"/>
                    <w:tr2bl w:val="nil"/>
                  </w:tcBorders>
                  <w:shd w:val="clear" w:color="auto" w:fill="auto"/>
                  <w:noWrap w:val="0"/>
                  <w:vAlign w:val="center"/>
                </w:tcPr>
                <w:p w14:paraId="43CD59F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3000*1000</w:t>
                  </w:r>
                </w:p>
              </w:tc>
              <w:tc>
                <w:tcPr>
                  <w:tcW w:w="891" w:type="pct"/>
                  <w:tcBorders>
                    <w:tl2br w:val="nil"/>
                    <w:tr2bl w:val="nil"/>
                  </w:tcBorders>
                  <w:shd w:val="clear" w:color="auto" w:fill="auto"/>
                  <w:noWrap w:val="0"/>
                  <w:vAlign w:val="center"/>
                </w:tcPr>
                <w:p w14:paraId="4E17A52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55DCA48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45FDEB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69F84D2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1237" w:type="pct"/>
                  <w:tcBorders>
                    <w:tl2br w:val="nil"/>
                    <w:tr2bl w:val="nil"/>
                  </w:tcBorders>
                  <w:shd w:val="clear" w:color="auto" w:fill="auto"/>
                  <w:noWrap w:val="0"/>
                  <w:vAlign w:val="center"/>
                </w:tcPr>
                <w:p w14:paraId="726C20A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五层烘干机</w:t>
                  </w:r>
                </w:p>
              </w:tc>
              <w:tc>
                <w:tcPr>
                  <w:tcW w:w="1369" w:type="pct"/>
                  <w:tcBorders>
                    <w:tl2br w:val="nil"/>
                    <w:tr2bl w:val="nil"/>
                  </w:tcBorders>
                  <w:shd w:val="clear" w:color="auto" w:fill="auto"/>
                  <w:noWrap w:val="0"/>
                  <w:vAlign w:val="center"/>
                </w:tcPr>
                <w:p w14:paraId="10B52DC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6000*1800</w:t>
                  </w:r>
                </w:p>
              </w:tc>
              <w:tc>
                <w:tcPr>
                  <w:tcW w:w="891" w:type="pct"/>
                  <w:tcBorders>
                    <w:tl2br w:val="nil"/>
                    <w:tr2bl w:val="nil"/>
                  </w:tcBorders>
                  <w:shd w:val="clear" w:color="auto" w:fill="auto"/>
                  <w:noWrap w:val="0"/>
                  <w:vAlign w:val="center"/>
                </w:tcPr>
                <w:p w14:paraId="4583D3F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19C123B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2ED0D2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5946C1D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1237" w:type="pct"/>
                  <w:tcBorders>
                    <w:tl2br w:val="nil"/>
                    <w:tr2bl w:val="nil"/>
                  </w:tcBorders>
                  <w:shd w:val="clear" w:color="auto" w:fill="auto"/>
                  <w:noWrap w:val="0"/>
                  <w:vAlign w:val="center"/>
                </w:tcPr>
                <w:p w14:paraId="36B14EB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立式包装机</w:t>
                  </w:r>
                </w:p>
              </w:tc>
              <w:tc>
                <w:tcPr>
                  <w:tcW w:w="1369" w:type="pct"/>
                  <w:tcBorders>
                    <w:tl2br w:val="nil"/>
                    <w:tr2bl w:val="nil"/>
                  </w:tcBorders>
                  <w:shd w:val="clear" w:color="auto" w:fill="auto"/>
                  <w:noWrap w:val="0"/>
                  <w:vAlign w:val="center"/>
                </w:tcPr>
                <w:p w14:paraId="5C3AD5B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L1500*W220*H750</w:t>
                  </w:r>
                </w:p>
              </w:tc>
              <w:tc>
                <w:tcPr>
                  <w:tcW w:w="891" w:type="pct"/>
                  <w:tcBorders>
                    <w:tl2br w:val="nil"/>
                    <w:tr2bl w:val="nil"/>
                  </w:tcBorders>
                  <w:shd w:val="clear" w:color="auto" w:fill="auto"/>
                  <w:noWrap w:val="0"/>
                  <w:vAlign w:val="center"/>
                </w:tcPr>
                <w:p w14:paraId="6A460A5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5A61EEC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4EC4B7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0C87E4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1237" w:type="pct"/>
                  <w:tcBorders>
                    <w:tl2br w:val="nil"/>
                    <w:tr2bl w:val="nil"/>
                  </w:tcBorders>
                  <w:shd w:val="clear" w:color="auto" w:fill="auto"/>
                  <w:noWrap w:val="0"/>
                  <w:vAlign w:val="center"/>
                </w:tcPr>
                <w:p w14:paraId="2E247DF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sz w:val="21"/>
                      <w:szCs w:val="21"/>
                      <w:lang w:val="en-US" w:eastAsia="zh-CN"/>
                    </w:rPr>
                    <w:t>金检设备</w:t>
                  </w:r>
                </w:p>
              </w:tc>
              <w:tc>
                <w:tcPr>
                  <w:tcW w:w="1369" w:type="pct"/>
                  <w:tcBorders>
                    <w:tl2br w:val="nil"/>
                    <w:tr2bl w:val="nil"/>
                  </w:tcBorders>
                  <w:shd w:val="clear" w:color="auto" w:fill="auto"/>
                  <w:noWrap w:val="0"/>
                  <w:vAlign w:val="center"/>
                </w:tcPr>
                <w:p w14:paraId="295EE1D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sz w:val="21"/>
                      <w:szCs w:val="21"/>
                      <w:lang w:val="en-US" w:eastAsia="zh-CN"/>
                    </w:rPr>
                    <w:t>OMD-D-L</w:t>
                  </w:r>
                </w:p>
              </w:tc>
              <w:tc>
                <w:tcPr>
                  <w:tcW w:w="891" w:type="pct"/>
                  <w:tcBorders>
                    <w:tl2br w:val="nil"/>
                    <w:tr2bl w:val="nil"/>
                  </w:tcBorders>
                  <w:shd w:val="clear" w:color="auto" w:fill="auto"/>
                  <w:noWrap w:val="0"/>
                  <w:vAlign w:val="center"/>
                </w:tcPr>
                <w:p w14:paraId="333B474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cs="Times New Roman"/>
                      <w:sz w:val="21"/>
                      <w:szCs w:val="21"/>
                      <w:lang w:val="en-US" w:eastAsia="zh-CN"/>
                    </w:rPr>
                    <w:t>1台</w:t>
                  </w:r>
                </w:p>
              </w:tc>
              <w:tc>
                <w:tcPr>
                  <w:tcW w:w="905" w:type="pct"/>
                  <w:tcBorders>
                    <w:tl2br w:val="nil"/>
                    <w:tr2bl w:val="nil"/>
                  </w:tcBorders>
                  <w:noWrap w:val="0"/>
                  <w:vAlign w:val="center"/>
                </w:tcPr>
                <w:p w14:paraId="7D0EEB1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新增</w:t>
                  </w:r>
                </w:p>
              </w:tc>
            </w:tr>
            <w:tr w14:paraId="71E3CE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6" w:type="pct"/>
                  <w:tcBorders>
                    <w:tl2br w:val="nil"/>
                    <w:tr2bl w:val="nil"/>
                  </w:tcBorders>
                  <w:shd w:val="clear" w:color="auto" w:fill="auto"/>
                  <w:noWrap w:val="0"/>
                  <w:vAlign w:val="center"/>
                </w:tcPr>
                <w:p w14:paraId="1A6CA73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11</w:t>
                  </w:r>
                </w:p>
              </w:tc>
              <w:tc>
                <w:tcPr>
                  <w:tcW w:w="1237" w:type="pct"/>
                  <w:tcBorders>
                    <w:tl2br w:val="nil"/>
                    <w:tr2bl w:val="nil"/>
                  </w:tcBorders>
                  <w:shd w:val="clear" w:color="auto" w:fill="auto"/>
                  <w:noWrap w:val="0"/>
                  <w:vAlign w:val="center"/>
                </w:tcPr>
                <w:p w14:paraId="3685CF4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X光机</w:t>
                  </w:r>
                </w:p>
              </w:tc>
              <w:tc>
                <w:tcPr>
                  <w:tcW w:w="1369" w:type="pct"/>
                  <w:tcBorders>
                    <w:tl2br w:val="nil"/>
                    <w:tr2bl w:val="nil"/>
                  </w:tcBorders>
                  <w:shd w:val="clear" w:color="auto" w:fill="auto"/>
                  <w:noWrap w:val="0"/>
                  <w:vAlign w:val="center"/>
                </w:tcPr>
                <w:p w14:paraId="56F0140D">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X34C</w:t>
                  </w:r>
                </w:p>
              </w:tc>
              <w:tc>
                <w:tcPr>
                  <w:tcW w:w="891" w:type="pct"/>
                  <w:tcBorders>
                    <w:tl2br w:val="nil"/>
                    <w:tr2bl w:val="nil"/>
                  </w:tcBorders>
                  <w:shd w:val="clear" w:color="auto" w:fill="auto"/>
                  <w:noWrap w:val="0"/>
                  <w:vAlign w:val="center"/>
                </w:tcPr>
                <w:p w14:paraId="5B4F0A4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1台</w:t>
                  </w:r>
                </w:p>
              </w:tc>
              <w:tc>
                <w:tcPr>
                  <w:tcW w:w="905" w:type="pct"/>
                  <w:tcBorders>
                    <w:tl2br w:val="nil"/>
                    <w:tr2bl w:val="nil"/>
                  </w:tcBorders>
                  <w:noWrap w:val="0"/>
                  <w:vAlign w:val="center"/>
                </w:tcPr>
                <w:p w14:paraId="6F18EF0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依托现有</w:t>
                  </w:r>
                </w:p>
              </w:tc>
            </w:tr>
            <w:tr w14:paraId="26D60C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shd w:val="clear" w:color="auto" w:fill="auto"/>
                  <w:noWrap w:val="0"/>
                  <w:vAlign w:val="center"/>
                </w:tcPr>
                <w:p w14:paraId="680EF68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b/>
                      <w:bCs w:val="0"/>
                      <w:sz w:val="21"/>
                      <w:szCs w:val="21"/>
                      <w:lang w:val="en-US" w:eastAsia="zh-CN"/>
                    </w:rPr>
                    <w:t>肉制品生产</w:t>
                  </w:r>
                  <w:r>
                    <w:rPr>
                      <w:rFonts w:hint="eastAsia"/>
                      <w:b/>
                      <w:lang w:val="en-US" w:eastAsia="zh-CN"/>
                    </w:rPr>
                    <w:t>线</w:t>
                  </w:r>
                </w:p>
              </w:tc>
            </w:tr>
            <w:tr w14:paraId="3E3706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6465EEA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eastAsia" w:cs="Times New Roman"/>
                      <w:sz w:val="21"/>
                      <w:szCs w:val="21"/>
                      <w:lang w:val="en-US" w:eastAsia="zh-CN"/>
                    </w:rPr>
                    <w:t>2</w:t>
                  </w:r>
                </w:p>
              </w:tc>
              <w:tc>
                <w:tcPr>
                  <w:tcW w:w="1237" w:type="pct"/>
                  <w:tcBorders>
                    <w:tl2br w:val="nil"/>
                    <w:tr2bl w:val="nil"/>
                  </w:tcBorders>
                  <w:shd w:val="clear" w:color="auto" w:fill="auto"/>
                  <w:noWrap w:val="0"/>
                  <w:vAlign w:val="center"/>
                </w:tcPr>
                <w:p w14:paraId="720A5B5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焯水机</w:t>
                  </w:r>
                </w:p>
              </w:tc>
              <w:tc>
                <w:tcPr>
                  <w:tcW w:w="1369" w:type="pct"/>
                  <w:tcBorders>
                    <w:tl2br w:val="nil"/>
                    <w:tr2bl w:val="nil"/>
                  </w:tcBorders>
                  <w:shd w:val="clear" w:color="auto" w:fill="auto"/>
                  <w:noWrap w:val="0"/>
                  <w:vAlign w:val="center"/>
                </w:tcPr>
                <w:p w14:paraId="05D7FA4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3000*1500</w:t>
                  </w:r>
                </w:p>
              </w:tc>
              <w:tc>
                <w:tcPr>
                  <w:tcW w:w="891" w:type="pct"/>
                  <w:tcBorders>
                    <w:tl2br w:val="nil"/>
                    <w:tr2bl w:val="nil"/>
                  </w:tcBorders>
                  <w:shd w:val="clear" w:color="auto" w:fill="auto"/>
                  <w:noWrap w:val="0"/>
                  <w:vAlign w:val="center"/>
                </w:tcPr>
                <w:p w14:paraId="3E42DFA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109A2AA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6136C9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6A22A11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eastAsia" w:cs="Times New Roman"/>
                      <w:sz w:val="21"/>
                      <w:szCs w:val="21"/>
                      <w:lang w:val="en-US" w:eastAsia="zh-CN"/>
                    </w:rPr>
                    <w:t>3</w:t>
                  </w:r>
                </w:p>
              </w:tc>
              <w:tc>
                <w:tcPr>
                  <w:tcW w:w="1237" w:type="pct"/>
                  <w:tcBorders>
                    <w:tl2br w:val="nil"/>
                    <w:tr2bl w:val="nil"/>
                  </w:tcBorders>
                  <w:shd w:val="clear" w:color="auto" w:fill="auto"/>
                  <w:noWrap w:val="0"/>
                  <w:vAlign w:val="center"/>
                </w:tcPr>
                <w:p w14:paraId="01E9E24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清洗机</w:t>
                  </w:r>
                </w:p>
              </w:tc>
              <w:tc>
                <w:tcPr>
                  <w:tcW w:w="1369" w:type="pct"/>
                  <w:tcBorders>
                    <w:tl2br w:val="nil"/>
                    <w:tr2bl w:val="nil"/>
                  </w:tcBorders>
                  <w:shd w:val="clear" w:color="auto" w:fill="auto"/>
                  <w:noWrap w:val="0"/>
                  <w:vAlign w:val="center"/>
                </w:tcPr>
                <w:p w14:paraId="02EAF7D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4000*1500</w:t>
                  </w:r>
                </w:p>
              </w:tc>
              <w:tc>
                <w:tcPr>
                  <w:tcW w:w="891" w:type="pct"/>
                  <w:tcBorders>
                    <w:tl2br w:val="nil"/>
                    <w:tr2bl w:val="nil"/>
                  </w:tcBorders>
                  <w:shd w:val="clear" w:color="auto" w:fill="auto"/>
                  <w:noWrap w:val="0"/>
                  <w:vAlign w:val="center"/>
                </w:tcPr>
                <w:p w14:paraId="1418B1F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2台</w:t>
                  </w:r>
                </w:p>
              </w:tc>
              <w:tc>
                <w:tcPr>
                  <w:tcW w:w="905" w:type="pct"/>
                  <w:tcBorders>
                    <w:tl2br w:val="nil"/>
                    <w:tr2bl w:val="nil"/>
                  </w:tcBorders>
                  <w:noWrap w:val="0"/>
                  <w:vAlign w:val="center"/>
                </w:tcPr>
                <w:p w14:paraId="0D102FE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180AA0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48BC858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eastAsia" w:cs="Times New Roman"/>
                      <w:sz w:val="21"/>
                      <w:szCs w:val="21"/>
                      <w:lang w:val="en-US" w:eastAsia="zh-CN"/>
                    </w:rPr>
                    <w:t>4</w:t>
                  </w:r>
                </w:p>
              </w:tc>
              <w:tc>
                <w:tcPr>
                  <w:tcW w:w="1237" w:type="pct"/>
                  <w:tcBorders>
                    <w:tl2br w:val="nil"/>
                    <w:tr2bl w:val="nil"/>
                  </w:tcBorders>
                  <w:shd w:val="clear" w:color="auto" w:fill="auto"/>
                  <w:noWrap w:val="0"/>
                  <w:vAlign w:val="center"/>
                </w:tcPr>
                <w:p w14:paraId="4F3C13C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油炸机</w:t>
                  </w:r>
                </w:p>
              </w:tc>
              <w:tc>
                <w:tcPr>
                  <w:tcW w:w="1369" w:type="pct"/>
                  <w:tcBorders>
                    <w:tl2br w:val="nil"/>
                    <w:tr2bl w:val="nil"/>
                  </w:tcBorders>
                  <w:shd w:val="clear" w:color="auto" w:fill="auto"/>
                  <w:noWrap w:val="0"/>
                  <w:vAlign w:val="center"/>
                </w:tcPr>
                <w:p w14:paraId="72FD4F1D">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8000*1200</w:t>
                  </w:r>
                </w:p>
              </w:tc>
              <w:tc>
                <w:tcPr>
                  <w:tcW w:w="891" w:type="pct"/>
                  <w:tcBorders>
                    <w:tl2br w:val="nil"/>
                    <w:tr2bl w:val="nil"/>
                  </w:tcBorders>
                  <w:shd w:val="clear" w:color="auto" w:fill="auto"/>
                  <w:noWrap w:val="0"/>
                  <w:vAlign w:val="center"/>
                </w:tcPr>
                <w:p w14:paraId="0BB6011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696D328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7E61F2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966A52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eastAsia" w:cs="Times New Roman"/>
                      <w:sz w:val="21"/>
                      <w:szCs w:val="21"/>
                      <w:lang w:val="en-US" w:eastAsia="zh-CN"/>
                    </w:rPr>
                    <w:t>5</w:t>
                  </w:r>
                </w:p>
              </w:tc>
              <w:tc>
                <w:tcPr>
                  <w:tcW w:w="1237" w:type="pct"/>
                  <w:tcBorders>
                    <w:tl2br w:val="nil"/>
                    <w:tr2bl w:val="nil"/>
                  </w:tcBorders>
                  <w:shd w:val="clear" w:color="auto" w:fill="auto"/>
                  <w:noWrap w:val="0"/>
                  <w:vAlign w:val="center"/>
                </w:tcPr>
                <w:p w14:paraId="2C372F9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卤制机</w:t>
                  </w:r>
                </w:p>
              </w:tc>
              <w:tc>
                <w:tcPr>
                  <w:tcW w:w="1369" w:type="pct"/>
                  <w:tcBorders>
                    <w:tl2br w:val="nil"/>
                    <w:tr2bl w:val="nil"/>
                  </w:tcBorders>
                  <w:shd w:val="clear" w:color="auto" w:fill="auto"/>
                  <w:noWrap w:val="0"/>
                  <w:vAlign w:val="center"/>
                </w:tcPr>
                <w:p w14:paraId="07AA54D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四方卤锅1200L</w:t>
                  </w:r>
                </w:p>
              </w:tc>
              <w:tc>
                <w:tcPr>
                  <w:tcW w:w="891" w:type="pct"/>
                  <w:tcBorders>
                    <w:tl2br w:val="nil"/>
                    <w:tr2bl w:val="nil"/>
                  </w:tcBorders>
                  <w:shd w:val="clear" w:color="auto" w:fill="auto"/>
                  <w:noWrap w:val="0"/>
                  <w:vAlign w:val="center"/>
                </w:tcPr>
                <w:p w14:paraId="205F43F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4台</w:t>
                  </w:r>
                </w:p>
              </w:tc>
              <w:tc>
                <w:tcPr>
                  <w:tcW w:w="905" w:type="pct"/>
                  <w:tcBorders>
                    <w:tl2br w:val="nil"/>
                    <w:tr2bl w:val="nil"/>
                  </w:tcBorders>
                  <w:noWrap w:val="0"/>
                  <w:vAlign w:val="center"/>
                </w:tcPr>
                <w:p w14:paraId="339A58ED">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6BCC90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661646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eastAsia" w:cs="Times New Roman"/>
                      <w:sz w:val="21"/>
                      <w:szCs w:val="21"/>
                      <w:lang w:val="en-US" w:eastAsia="zh-CN"/>
                    </w:rPr>
                    <w:t>6</w:t>
                  </w:r>
                </w:p>
              </w:tc>
              <w:tc>
                <w:tcPr>
                  <w:tcW w:w="1237" w:type="pct"/>
                  <w:tcBorders>
                    <w:tl2br w:val="nil"/>
                    <w:tr2bl w:val="nil"/>
                  </w:tcBorders>
                  <w:shd w:val="clear" w:color="auto" w:fill="auto"/>
                  <w:noWrap w:val="0"/>
                  <w:vAlign w:val="center"/>
                </w:tcPr>
                <w:p w14:paraId="7D27015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拌料机</w:t>
                  </w:r>
                </w:p>
              </w:tc>
              <w:tc>
                <w:tcPr>
                  <w:tcW w:w="1369" w:type="pct"/>
                  <w:tcBorders>
                    <w:tl2br w:val="nil"/>
                    <w:tr2bl w:val="nil"/>
                  </w:tcBorders>
                  <w:shd w:val="clear" w:color="auto" w:fill="auto"/>
                  <w:noWrap w:val="0"/>
                  <w:vAlign w:val="center"/>
                </w:tcPr>
                <w:p w14:paraId="50FEC2F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1200*600</w:t>
                  </w:r>
                </w:p>
              </w:tc>
              <w:tc>
                <w:tcPr>
                  <w:tcW w:w="891" w:type="pct"/>
                  <w:tcBorders>
                    <w:tl2br w:val="nil"/>
                    <w:tr2bl w:val="nil"/>
                  </w:tcBorders>
                  <w:shd w:val="clear" w:color="auto" w:fill="auto"/>
                  <w:noWrap w:val="0"/>
                  <w:vAlign w:val="center"/>
                </w:tcPr>
                <w:p w14:paraId="1C9DCFB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2台</w:t>
                  </w:r>
                </w:p>
              </w:tc>
              <w:tc>
                <w:tcPr>
                  <w:tcW w:w="905" w:type="pct"/>
                  <w:tcBorders>
                    <w:tl2br w:val="nil"/>
                    <w:tr2bl w:val="nil"/>
                  </w:tcBorders>
                  <w:noWrap w:val="0"/>
                  <w:vAlign w:val="center"/>
                </w:tcPr>
                <w:p w14:paraId="6027635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1C4D9B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219CD1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eastAsia" w:cs="Times New Roman"/>
                      <w:sz w:val="21"/>
                      <w:szCs w:val="21"/>
                      <w:lang w:val="en-US" w:eastAsia="zh-CN"/>
                    </w:rPr>
                    <w:t>7</w:t>
                  </w:r>
                </w:p>
              </w:tc>
              <w:tc>
                <w:tcPr>
                  <w:tcW w:w="1237" w:type="pct"/>
                  <w:tcBorders>
                    <w:tl2br w:val="nil"/>
                    <w:tr2bl w:val="nil"/>
                  </w:tcBorders>
                  <w:shd w:val="clear" w:color="auto" w:fill="auto"/>
                  <w:noWrap w:val="0"/>
                  <w:vAlign w:val="center"/>
                </w:tcPr>
                <w:p w14:paraId="5A1A898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灌装机</w:t>
                  </w:r>
                </w:p>
              </w:tc>
              <w:tc>
                <w:tcPr>
                  <w:tcW w:w="1369" w:type="pct"/>
                  <w:tcBorders>
                    <w:tl2br w:val="nil"/>
                    <w:tr2bl w:val="nil"/>
                  </w:tcBorders>
                  <w:shd w:val="clear" w:color="auto" w:fill="auto"/>
                  <w:noWrap w:val="0"/>
                  <w:vAlign w:val="center"/>
                </w:tcPr>
                <w:p w14:paraId="6BE6E3F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130明瑞</w:t>
                  </w:r>
                </w:p>
              </w:tc>
              <w:tc>
                <w:tcPr>
                  <w:tcW w:w="891" w:type="pct"/>
                  <w:tcBorders>
                    <w:tl2br w:val="nil"/>
                    <w:tr2bl w:val="nil"/>
                  </w:tcBorders>
                  <w:shd w:val="clear" w:color="auto" w:fill="auto"/>
                  <w:noWrap w:val="0"/>
                  <w:vAlign w:val="center"/>
                </w:tcPr>
                <w:p w14:paraId="7A053FB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4台</w:t>
                  </w:r>
                </w:p>
              </w:tc>
              <w:tc>
                <w:tcPr>
                  <w:tcW w:w="905" w:type="pct"/>
                  <w:tcBorders>
                    <w:tl2br w:val="nil"/>
                    <w:tr2bl w:val="nil"/>
                  </w:tcBorders>
                  <w:noWrap w:val="0"/>
                  <w:vAlign w:val="center"/>
                </w:tcPr>
                <w:p w14:paraId="29725C1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3733BB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0F2CB50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18</w:t>
                  </w:r>
                </w:p>
              </w:tc>
              <w:tc>
                <w:tcPr>
                  <w:tcW w:w="1237" w:type="pct"/>
                  <w:tcBorders>
                    <w:tl2br w:val="nil"/>
                    <w:tr2bl w:val="nil"/>
                  </w:tcBorders>
                  <w:shd w:val="clear" w:color="auto" w:fill="auto"/>
                  <w:noWrap w:val="0"/>
                  <w:vAlign w:val="center"/>
                </w:tcPr>
                <w:p w14:paraId="32D4952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油烟净化设备</w:t>
                  </w:r>
                </w:p>
              </w:tc>
              <w:tc>
                <w:tcPr>
                  <w:tcW w:w="1369" w:type="pct"/>
                  <w:tcBorders>
                    <w:tl2br w:val="nil"/>
                    <w:tr2bl w:val="nil"/>
                  </w:tcBorders>
                  <w:shd w:val="clear" w:color="auto" w:fill="auto"/>
                  <w:noWrap w:val="0"/>
                  <w:vAlign w:val="center"/>
                </w:tcPr>
                <w:p w14:paraId="0FCF695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BSG-216-28KL</w:t>
                  </w:r>
                </w:p>
                <w:p w14:paraId="07126841">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风量</w:t>
                  </w:r>
                  <w:r>
                    <w:rPr>
                      <w:rFonts w:hint="eastAsia" w:cs="Times New Roman"/>
                      <w:sz w:val="21"/>
                      <w:szCs w:val="21"/>
                      <w:highlight w:val="none"/>
                      <w:lang w:val="en-US" w:eastAsia="zh-CN"/>
                    </w:rPr>
                    <w:t>28000m</w:t>
                  </w:r>
                  <w:r>
                    <w:rPr>
                      <w:rFonts w:hint="eastAsia" w:cs="Times New Roman"/>
                      <w:sz w:val="21"/>
                      <w:szCs w:val="21"/>
                      <w:highlight w:val="none"/>
                      <w:vertAlign w:val="superscript"/>
                      <w:lang w:val="en-US" w:eastAsia="zh-CN"/>
                    </w:rPr>
                    <w:t>3</w:t>
                  </w:r>
                  <w:r>
                    <w:rPr>
                      <w:rFonts w:hint="eastAsia" w:cs="Times New Roman"/>
                      <w:sz w:val="21"/>
                      <w:szCs w:val="21"/>
                      <w:highlight w:val="none"/>
                      <w:lang w:val="en-US" w:eastAsia="zh-CN"/>
                    </w:rPr>
                    <w:t>/h</w:t>
                  </w:r>
                </w:p>
              </w:tc>
              <w:tc>
                <w:tcPr>
                  <w:tcW w:w="891" w:type="pct"/>
                  <w:tcBorders>
                    <w:tl2br w:val="nil"/>
                    <w:tr2bl w:val="nil"/>
                  </w:tcBorders>
                  <w:shd w:val="clear" w:color="auto" w:fill="auto"/>
                  <w:noWrap w:val="0"/>
                  <w:vAlign w:val="center"/>
                </w:tcPr>
                <w:p w14:paraId="2AB5CD2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1台</w:t>
                  </w:r>
                </w:p>
              </w:tc>
              <w:tc>
                <w:tcPr>
                  <w:tcW w:w="905" w:type="pct"/>
                  <w:tcBorders>
                    <w:tl2br w:val="nil"/>
                    <w:tr2bl w:val="nil"/>
                  </w:tcBorders>
                  <w:noWrap w:val="0"/>
                  <w:vAlign w:val="center"/>
                </w:tcPr>
                <w:p w14:paraId="299842B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新增</w:t>
                  </w:r>
                </w:p>
              </w:tc>
            </w:tr>
            <w:tr w14:paraId="21A07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264181F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19</w:t>
                  </w:r>
                </w:p>
              </w:tc>
              <w:tc>
                <w:tcPr>
                  <w:tcW w:w="1237" w:type="pct"/>
                  <w:tcBorders>
                    <w:tl2br w:val="nil"/>
                    <w:tr2bl w:val="nil"/>
                  </w:tcBorders>
                  <w:shd w:val="clear" w:color="auto" w:fill="auto"/>
                  <w:noWrap w:val="0"/>
                  <w:vAlign w:val="center"/>
                </w:tcPr>
                <w:p w14:paraId="2A43816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金检设备</w:t>
                  </w:r>
                </w:p>
              </w:tc>
              <w:tc>
                <w:tcPr>
                  <w:tcW w:w="1369" w:type="pct"/>
                  <w:tcBorders>
                    <w:tl2br w:val="nil"/>
                    <w:tr2bl w:val="nil"/>
                  </w:tcBorders>
                  <w:shd w:val="clear" w:color="auto" w:fill="auto"/>
                  <w:noWrap w:val="0"/>
                  <w:vAlign w:val="center"/>
                </w:tcPr>
                <w:p w14:paraId="6716F06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OMD-D-L</w:t>
                  </w:r>
                </w:p>
              </w:tc>
              <w:tc>
                <w:tcPr>
                  <w:tcW w:w="891" w:type="pct"/>
                  <w:tcBorders>
                    <w:tl2br w:val="nil"/>
                    <w:tr2bl w:val="nil"/>
                  </w:tcBorders>
                  <w:shd w:val="clear" w:color="auto" w:fill="auto"/>
                  <w:noWrap w:val="0"/>
                  <w:vAlign w:val="center"/>
                </w:tcPr>
                <w:p w14:paraId="5599AE0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1台</w:t>
                  </w:r>
                </w:p>
              </w:tc>
              <w:tc>
                <w:tcPr>
                  <w:tcW w:w="905" w:type="pct"/>
                  <w:tcBorders>
                    <w:tl2br w:val="nil"/>
                    <w:tr2bl w:val="nil"/>
                  </w:tcBorders>
                  <w:noWrap w:val="0"/>
                  <w:vAlign w:val="center"/>
                </w:tcPr>
                <w:p w14:paraId="2E0F4DE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新增</w:t>
                  </w:r>
                </w:p>
              </w:tc>
            </w:tr>
            <w:tr w14:paraId="25B40A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369E1E1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20</w:t>
                  </w:r>
                </w:p>
              </w:tc>
              <w:tc>
                <w:tcPr>
                  <w:tcW w:w="1237" w:type="pct"/>
                  <w:tcBorders>
                    <w:tl2br w:val="nil"/>
                    <w:tr2bl w:val="nil"/>
                  </w:tcBorders>
                  <w:shd w:val="clear" w:color="auto" w:fill="auto"/>
                  <w:noWrap w:val="0"/>
                  <w:vAlign w:val="center"/>
                </w:tcPr>
                <w:p w14:paraId="2F8ABEC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X光机</w:t>
                  </w:r>
                </w:p>
              </w:tc>
              <w:tc>
                <w:tcPr>
                  <w:tcW w:w="1369" w:type="pct"/>
                  <w:tcBorders>
                    <w:tl2br w:val="nil"/>
                    <w:tr2bl w:val="nil"/>
                  </w:tcBorders>
                  <w:shd w:val="clear" w:color="auto" w:fill="auto"/>
                  <w:noWrap w:val="0"/>
                  <w:vAlign w:val="center"/>
                </w:tcPr>
                <w:p w14:paraId="011B9BF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X34C</w:t>
                  </w:r>
                </w:p>
              </w:tc>
              <w:tc>
                <w:tcPr>
                  <w:tcW w:w="891" w:type="pct"/>
                  <w:tcBorders>
                    <w:tl2br w:val="nil"/>
                    <w:tr2bl w:val="nil"/>
                  </w:tcBorders>
                  <w:shd w:val="clear" w:color="auto" w:fill="auto"/>
                  <w:noWrap w:val="0"/>
                  <w:vAlign w:val="center"/>
                </w:tcPr>
                <w:p w14:paraId="237C37D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1台</w:t>
                  </w:r>
                </w:p>
              </w:tc>
              <w:tc>
                <w:tcPr>
                  <w:tcW w:w="905" w:type="pct"/>
                  <w:tcBorders>
                    <w:tl2br w:val="nil"/>
                    <w:tr2bl w:val="nil"/>
                  </w:tcBorders>
                  <w:noWrap w:val="0"/>
                  <w:vAlign w:val="center"/>
                </w:tcPr>
                <w:p w14:paraId="2B70E85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依托现有</w:t>
                  </w:r>
                </w:p>
              </w:tc>
            </w:tr>
            <w:tr w14:paraId="4D8BD3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5"/>
                  <w:tcBorders>
                    <w:tl2br w:val="nil"/>
                    <w:tr2bl w:val="nil"/>
                  </w:tcBorders>
                  <w:shd w:val="clear" w:color="auto" w:fill="auto"/>
                  <w:noWrap w:val="0"/>
                  <w:vAlign w:val="center"/>
                </w:tcPr>
                <w:p w14:paraId="60BFC19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b/>
                      <w:bCs w:val="0"/>
                      <w:sz w:val="21"/>
                      <w:szCs w:val="21"/>
                      <w:lang w:val="en-US" w:eastAsia="zh-CN"/>
                    </w:rPr>
                    <w:t>锅炉房</w:t>
                  </w:r>
                </w:p>
              </w:tc>
            </w:tr>
            <w:tr w14:paraId="45AF7C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2BE85D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21</w:t>
                  </w:r>
                </w:p>
              </w:tc>
              <w:tc>
                <w:tcPr>
                  <w:tcW w:w="1237" w:type="pct"/>
                  <w:tcBorders>
                    <w:tl2br w:val="nil"/>
                    <w:tr2bl w:val="nil"/>
                  </w:tcBorders>
                  <w:shd w:val="clear" w:color="auto" w:fill="auto"/>
                  <w:noWrap w:val="0"/>
                  <w:vAlign w:val="center"/>
                </w:tcPr>
                <w:p w14:paraId="37290F8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生物质</w:t>
                  </w:r>
                  <w:r>
                    <w:rPr>
                      <w:rFonts w:hint="default" w:ascii="Times New Roman" w:hAnsi="Times New Roman" w:eastAsia="宋体" w:cs="Times New Roman"/>
                      <w:sz w:val="21"/>
                      <w:szCs w:val="21"/>
                    </w:rPr>
                    <w:t>蒸汽锅炉</w:t>
                  </w:r>
                </w:p>
              </w:tc>
              <w:tc>
                <w:tcPr>
                  <w:tcW w:w="1369" w:type="pct"/>
                  <w:tcBorders>
                    <w:tl2br w:val="nil"/>
                    <w:tr2bl w:val="nil"/>
                  </w:tcBorders>
                  <w:shd w:val="clear" w:color="auto" w:fill="auto"/>
                  <w:noWrap w:val="0"/>
                  <w:vAlign w:val="center"/>
                </w:tcPr>
                <w:p w14:paraId="227DD55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SZL</w:t>
                  </w:r>
                  <w:r>
                    <w:rPr>
                      <w:rFonts w:hint="eastAsia" w:cs="Times New Roman"/>
                      <w:sz w:val="21"/>
                      <w:szCs w:val="21"/>
                      <w:lang w:val="en-US" w:eastAsia="zh-CN"/>
                    </w:rPr>
                    <w:t>4</w:t>
                  </w:r>
                  <w:r>
                    <w:rPr>
                      <w:rFonts w:hint="default" w:ascii="Times New Roman" w:hAnsi="Times New Roman" w:eastAsia="宋体" w:cs="Times New Roman"/>
                      <w:sz w:val="21"/>
                      <w:szCs w:val="21"/>
                    </w:rPr>
                    <w:t>-3.2-S</w:t>
                  </w:r>
                </w:p>
              </w:tc>
              <w:tc>
                <w:tcPr>
                  <w:tcW w:w="891" w:type="pct"/>
                  <w:tcBorders>
                    <w:tl2br w:val="nil"/>
                    <w:tr2bl w:val="nil"/>
                  </w:tcBorders>
                  <w:shd w:val="clear" w:color="auto" w:fill="auto"/>
                  <w:noWrap w:val="0"/>
                  <w:vAlign w:val="center"/>
                </w:tcPr>
                <w:p w14:paraId="25DF6C5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1套</w:t>
                  </w:r>
                </w:p>
              </w:tc>
              <w:tc>
                <w:tcPr>
                  <w:tcW w:w="905" w:type="pct"/>
                  <w:tcBorders>
                    <w:tl2br w:val="nil"/>
                    <w:tr2bl w:val="nil"/>
                  </w:tcBorders>
                  <w:noWrap w:val="0"/>
                  <w:vAlign w:val="center"/>
                </w:tcPr>
                <w:p w14:paraId="042D1F9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2F245C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E8470F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22</w:t>
                  </w:r>
                </w:p>
              </w:tc>
              <w:tc>
                <w:tcPr>
                  <w:tcW w:w="1237" w:type="pct"/>
                  <w:tcBorders>
                    <w:tl2br w:val="nil"/>
                    <w:tr2bl w:val="nil"/>
                  </w:tcBorders>
                  <w:shd w:val="clear" w:color="auto" w:fill="auto"/>
                  <w:noWrap w:val="0"/>
                  <w:vAlign w:val="center"/>
                </w:tcPr>
                <w:p w14:paraId="0618BD4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节能器</w:t>
                  </w:r>
                </w:p>
              </w:tc>
              <w:tc>
                <w:tcPr>
                  <w:tcW w:w="1369" w:type="pct"/>
                  <w:tcBorders>
                    <w:tl2br w:val="nil"/>
                    <w:tr2bl w:val="nil"/>
                  </w:tcBorders>
                  <w:shd w:val="clear" w:color="auto" w:fill="auto"/>
                  <w:noWrap w:val="0"/>
                  <w:vAlign w:val="center"/>
                </w:tcPr>
                <w:p w14:paraId="3852AA9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4吨配套</w:t>
                  </w:r>
                </w:p>
              </w:tc>
              <w:tc>
                <w:tcPr>
                  <w:tcW w:w="891" w:type="pct"/>
                  <w:tcBorders>
                    <w:tl2br w:val="nil"/>
                    <w:tr2bl w:val="nil"/>
                  </w:tcBorders>
                  <w:shd w:val="clear" w:color="auto" w:fill="auto"/>
                  <w:noWrap w:val="0"/>
                  <w:vAlign w:val="center"/>
                </w:tcPr>
                <w:p w14:paraId="62EDA53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1套</w:t>
                  </w:r>
                </w:p>
              </w:tc>
              <w:tc>
                <w:tcPr>
                  <w:tcW w:w="905" w:type="pct"/>
                  <w:tcBorders>
                    <w:tl2br w:val="nil"/>
                    <w:tr2bl w:val="nil"/>
                  </w:tcBorders>
                  <w:noWrap w:val="0"/>
                  <w:vAlign w:val="center"/>
                </w:tcPr>
                <w:p w14:paraId="0934F22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55544D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2E5E862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23</w:t>
                  </w:r>
                </w:p>
              </w:tc>
              <w:tc>
                <w:tcPr>
                  <w:tcW w:w="1237" w:type="pct"/>
                  <w:tcBorders>
                    <w:tl2br w:val="nil"/>
                    <w:tr2bl w:val="nil"/>
                  </w:tcBorders>
                  <w:shd w:val="clear" w:color="auto" w:fill="auto"/>
                  <w:noWrap w:val="0"/>
                  <w:vAlign w:val="center"/>
                </w:tcPr>
                <w:p w14:paraId="4C0E5D3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布袋除尘机</w:t>
                  </w:r>
                </w:p>
              </w:tc>
              <w:tc>
                <w:tcPr>
                  <w:tcW w:w="1369" w:type="pct"/>
                  <w:tcBorders>
                    <w:tl2br w:val="nil"/>
                    <w:tr2bl w:val="nil"/>
                  </w:tcBorders>
                  <w:shd w:val="clear" w:color="auto" w:fill="auto"/>
                  <w:noWrap w:val="0"/>
                  <w:vAlign w:val="center"/>
                </w:tcPr>
                <w:p w14:paraId="0B3F1A5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4吨配套</w:t>
                  </w:r>
                </w:p>
              </w:tc>
              <w:tc>
                <w:tcPr>
                  <w:tcW w:w="891" w:type="pct"/>
                  <w:tcBorders>
                    <w:tl2br w:val="nil"/>
                    <w:tr2bl w:val="nil"/>
                  </w:tcBorders>
                  <w:shd w:val="clear" w:color="auto" w:fill="auto"/>
                  <w:noWrap w:val="0"/>
                  <w:vAlign w:val="center"/>
                </w:tcPr>
                <w:p w14:paraId="2A5A1D0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1套</w:t>
                  </w:r>
                </w:p>
              </w:tc>
              <w:tc>
                <w:tcPr>
                  <w:tcW w:w="905" w:type="pct"/>
                  <w:tcBorders>
                    <w:tl2br w:val="nil"/>
                    <w:tr2bl w:val="nil"/>
                  </w:tcBorders>
                  <w:noWrap w:val="0"/>
                  <w:vAlign w:val="center"/>
                </w:tcPr>
                <w:p w14:paraId="0E8C6AC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新增</w:t>
                  </w:r>
                </w:p>
              </w:tc>
            </w:tr>
            <w:tr w14:paraId="641466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53CC793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24</w:t>
                  </w:r>
                </w:p>
              </w:tc>
              <w:tc>
                <w:tcPr>
                  <w:tcW w:w="1237" w:type="pct"/>
                  <w:tcBorders>
                    <w:tl2br w:val="nil"/>
                    <w:tr2bl w:val="nil"/>
                  </w:tcBorders>
                  <w:shd w:val="clear" w:color="auto" w:fill="auto"/>
                  <w:noWrap w:val="0"/>
                  <w:vAlign w:val="center"/>
                </w:tcPr>
                <w:p w14:paraId="3D57BE0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引风机</w:t>
                  </w:r>
                </w:p>
              </w:tc>
              <w:tc>
                <w:tcPr>
                  <w:tcW w:w="1369" w:type="pct"/>
                  <w:tcBorders>
                    <w:tl2br w:val="nil"/>
                    <w:tr2bl w:val="nil"/>
                  </w:tcBorders>
                  <w:shd w:val="clear" w:color="auto" w:fill="auto"/>
                  <w:noWrap w:val="0"/>
                  <w:vAlign w:val="center"/>
                </w:tcPr>
                <w:p w14:paraId="48385BD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GG10-15 90KW</w:t>
                  </w:r>
                </w:p>
                <w:p w14:paraId="05619E1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rPr>
                  </w:pPr>
                  <w:r>
                    <w:rPr>
                      <w:rFonts w:hint="eastAsia" w:cs="Times New Roman"/>
                      <w:sz w:val="21"/>
                      <w:szCs w:val="21"/>
                      <w:lang w:val="en-US" w:eastAsia="zh-CN"/>
                    </w:rPr>
                    <w:t>风量30632m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891" w:type="pct"/>
                  <w:tcBorders>
                    <w:tl2br w:val="nil"/>
                    <w:tr2bl w:val="nil"/>
                  </w:tcBorders>
                  <w:shd w:val="clear" w:color="auto" w:fill="auto"/>
                  <w:noWrap w:val="0"/>
                  <w:vAlign w:val="center"/>
                </w:tcPr>
                <w:p w14:paraId="3D75E62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5AF2B10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新增</w:t>
                  </w:r>
                </w:p>
              </w:tc>
            </w:tr>
            <w:tr w14:paraId="10031B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EAC98B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25</w:t>
                  </w:r>
                </w:p>
              </w:tc>
              <w:tc>
                <w:tcPr>
                  <w:tcW w:w="1237" w:type="pct"/>
                  <w:tcBorders>
                    <w:tl2br w:val="nil"/>
                    <w:tr2bl w:val="nil"/>
                  </w:tcBorders>
                  <w:shd w:val="clear" w:color="auto" w:fill="auto"/>
                  <w:noWrap w:val="0"/>
                  <w:vAlign w:val="center"/>
                </w:tcPr>
                <w:p w14:paraId="37821EF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出</w:t>
                  </w:r>
                  <w:r>
                    <w:rPr>
                      <w:rFonts w:hint="default" w:ascii="Times New Roman" w:hAnsi="Times New Roman" w:eastAsia="宋体" w:cs="Times New Roman"/>
                      <w:sz w:val="21"/>
                      <w:szCs w:val="21"/>
                      <w:lang w:val="en-US" w:eastAsia="zh-CN"/>
                    </w:rPr>
                    <w:t>渣机</w:t>
                  </w:r>
                </w:p>
              </w:tc>
              <w:tc>
                <w:tcPr>
                  <w:tcW w:w="1369" w:type="pct"/>
                  <w:tcBorders>
                    <w:tl2br w:val="nil"/>
                    <w:tr2bl w:val="nil"/>
                  </w:tcBorders>
                  <w:shd w:val="clear" w:color="auto" w:fill="auto"/>
                  <w:noWrap w:val="0"/>
                  <w:vAlign w:val="center"/>
                </w:tcPr>
                <w:p w14:paraId="71CB346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CZ-8 2.2KW</w:t>
                  </w:r>
                </w:p>
              </w:tc>
              <w:tc>
                <w:tcPr>
                  <w:tcW w:w="891" w:type="pct"/>
                  <w:tcBorders>
                    <w:tl2br w:val="nil"/>
                    <w:tr2bl w:val="nil"/>
                  </w:tcBorders>
                  <w:shd w:val="clear" w:color="auto" w:fill="auto"/>
                  <w:noWrap w:val="0"/>
                  <w:vAlign w:val="center"/>
                </w:tcPr>
                <w:p w14:paraId="0424182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4D6ACFE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新增</w:t>
                  </w:r>
                </w:p>
              </w:tc>
            </w:tr>
            <w:tr w14:paraId="77F178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F72B6C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26</w:t>
                  </w:r>
                </w:p>
              </w:tc>
              <w:tc>
                <w:tcPr>
                  <w:tcW w:w="1237" w:type="pct"/>
                  <w:tcBorders>
                    <w:tl2br w:val="nil"/>
                    <w:tr2bl w:val="nil"/>
                  </w:tcBorders>
                  <w:shd w:val="clear" w:color="auto" w:fill="auto"/>
                  <w:noWrap w:val="0"/>
                  <w:vAlign w:val="center"/>
                </w:tcPr>
                <w:p w14:paraId="0EED2CA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给水泵</w:t>
                  </w:r>
                </w:p>
              </w:tc>
              <w:tc>
                <w:tcPr>
                  <w:tcW w:w="1369" w:type="pct"/>
                  <w:tcBorders>
                    <w:tl2br w:val="nil"/>
                    <w:tr2bl w:val="nil"/>
                  </w:tcBorders>
                  <w:shd w:val="clear" w:color="auto" w:fill="auto"/>
                  <w:noWrap w:val="0"/>
                  <w:vAlign w:val="center"/>
                </w:tcPr>
                <w:p w14:paraId="0110764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CDM10-18+CMH10-22 7.5KW一台</w:t>
                  </w:r>
                </w:p>
                <w:p w14:paraId="7DCEA395">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11KW一台</w:t>
                  </w:r>
                </w:p>
              </w:tc>
              <w:tc>
                <w:tcPr>
                  <w:tcW w:w="891" w:type="pct"/>
                  <w:tcBorders>
                    <w:tl2br w:val="nil"/>
                    <w:tr2bl w:val="nil"/>
                  </w:tcBorders>
                  <w:shd w:val="clear" w:color="auto" w:fill="auto"/>
                  <w:noWrap w:val="0"/>
                  <w:vAlign w:val="center"/>
                </w:tcPr>
                <w:p w14:paraId="465855C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4</w:t>
                  </w:r>
                  <w:r>
                    <w:rPr>
                      <w:rFonts w:hint="default" w:ascii="Times New Roman" w:hAnsi="Times New Roman" w:eastAsia="宋体" w:cs="Times New Roman"/>
                      <w:sz w:val="21"/>
                      <w:szCs w:val="21"/>
                    </w:rPr>
                    <w:t>台</w:t>
                  </w:r>
                </w:p>
              </w:tc>
              <w:tc>
                <w:tcPr>
                  <w:tcW w:w="905" w:type="pct"/>
                  <w:tcBorders>
                    <w:tl2br w:val="nil"/>
                    <w:tr2bl w:val="nil"/>
                  </w:tcBorders>
                  <w:noWrap w:val="0"/>
                  <w:vAlign w:val="center"/>
                </w:tcPr>
                <w:p w14:paraId="2645ACE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两用两备</w:t>
                  </w:r>
                </w:p>
              </w:tc>
            </w:tr>
            <w:tr w14:paraId="58A6D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12C1D0BF">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27</w:t>
                  </w:r>
                </w:p>
              </w:tc>
              <w:tc>
                <w:tcPr>
                  <w:tcW w:w="1237" w:type="pct"/>
                  <w:tcBorders>
                    <w:tl2br w:val="nil"/>
                    <w:tr2bl w:val="nil"/>
                  </w:tcBorders>
                  <w:shd w:val="clear" w:color="auto" w:fill="auto"/>
                  <w:noWrap w:val="0"/>
                  <w:vAlign w:val="center"/>
                </w:tcPr>
                <w:p w14:paraId="125ACC1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循环泵</w:t>
                  </w:r>
                </w:p>
              </w:tc>
              <w:tc>
                <w:tcPr>
                  <w:tcW w:w="1369" w:type="pct"/>
                  <w:tcBorders>
                    <w:tl2br w:val="nil"/>
                    <w:tr2bl w:val="nil"/>
                  </w:tcBorders>
                  <w:shd w:val="clear" w:color="auto" w:fill="auto"/>
                  <w:noWrap w:val="0"/>
                  <w:vAlign w:val="center"/>
                </w:tcPr>
                <w:p w14:paraId="70A798F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TD40-21G/2 </w:t>
                  </w:r>
                </w:p>
                <w:p w14:paraId="1EE6E71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1.5KW</w:t>
                  </w:r>
                </w:p>
              </w:tc>
              <w:tc>
                <w:tcPr>
                  <w:tcW w:w="891" w:type="pct"/>
                  <w:tcBorders>
                    <w:tl2br w:val="nil"/>
                    <w:tr2bl w:val="nil"/>
                  </w:tcBorders>
                  <w:shd w:val="clear" w:color="auto" w:fill="auto"/>
                  <w:noWrap w:val="0"/>
                  <w:vAlign w:val="center"/>
                </w:tcPr>
                <w:p w14:paraId="253AD77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2</w:t>
                  </w:r>
                  <w:r>
                    <w:rPr>
                      <w:rFonts w:hint="default" w:ascii="Times New Roman" w:hAnsi="Times New Roman" w:eastAsia="宋体" w:cs="Times New Roman"/>
                      <w:sz w:val="21"/>
                      <w:szCs w:val="21"/>
                    </w:rPr>
                    <w:t>台</w:t>
                  </w:r>
                </w:p>
              </w:tc>
              <w:tc>
                <w:tcPr>
                  <w:tcW w:w="905" w:type="pct"/>
                  <w:tcBorders>
                    <w:tl2br w:val="nil"/>
                    <w:tr2bl w:val="nil"/>
                  </w:tcBorders>
                  <w:noWrap w:val="0"/>
                  <w:vAlign w:val="center"/>
                </w:tcPr>
                <w:p w14:paraId="27EAA2E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一用一备</w:t>
                  </w:r>
                </w:p>
              </w:tc>
            </w:tr>
            <w:tr w14:paraId="703D9C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7CFA037E">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28</w:t>
                  </w:r>
                </w:p>
              </w:tc>
              <w:tc>
                <w:tcPr>
                  <w:tcW w:w="1237" w:type="pct"/>
                  <w:tcBorders>
                    <w:tl2br w:val="nil"/>
                    <w:tr2bl w:val="nil"/>
                  </w:tcBorders>
                  <w:shd w:val="clear" w:color="auto" w:fill="auto"/>
                  <w:noWrap w:val="0"/>
                  <w:vAlign w:val="center"/>
                </w:tcPr>
                <w:p w14:paraId="03952DEA">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鼓风机</w:t>
                  </w:r>
                </w:p>
              </w:tc>
              <w:tc>
                <w:tcPr>
                  <w:tcW w:w="1369" w:type="pct"/>
                  <w:tcBorders>
                    <w:tl2br w:val="nil"/>
                    <w:tr2bl w:val="nil"/>
                  </w:tcBorders>
                  <w:shd w:val="clear" w:color="auto" w:fill="auto"/>
                  <w:noWrap w:val="0"/>
                  <w:vAlign w:val="center"/>
                </w:tcPr>
                <w:p w14:paraId="7B44424D">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9-19N04.5A </w:t>
                  </w:r>
                </w:p>
                <w:p w14:paraId="1EA2621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5.5KW</w:t>
                  </w:r>
                </w:p>
              </w:tc>
              <w:tc>
                <w:tcPr>
                  <w:tcW w:w="891" w:type="pct"/>
                  <w:tcBorders>
                    <w:tl2br w:val="nil"/>
                    <w:tr2bl w:val="nil"/>
                  </w:tcBorders>
                  <w:shd w:val="clear" w:color="auto" w:fill="auto"/>
                  <w:noWrap w:val="0"/>
                  <w:vAlign w:val="center"/>
                </w:tcPr>
                <w:p w14:paraId="7B430D00">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1台</w:t>
                  </w:r>
                </w:p>
              </w:tc>
              <w:tc>
                <w:tcPr>
                  <w:tcW w:w="905" w:type="pct"/>
                  <w:tcBorders>
                    <w:tl2br w:val="nil"/>
                    <w:tr2bl w:val="nil"/>
                  </w:tcBorders>
                  <w:noWrap w:val="0"/>
                  <w:vAlign w:val="center"/>
                </w:tcPr>
                <w:p w14:paraId="04B5507B">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新增</w:t>
                  </w:r>
                </w:p>
              </w:tc>
            </w:tr>
            <w:tr w14:paraId="1E6B75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501CEEB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29</w:t>
                  </w:r>
                </w:p>
              </w:tc>
              <w:tc>
                <w:tcPr>
                  <w:tcW w:w="1237" w:type="pct"/>
                  <w:tcBorders>
                    <w:tl2br w:val="nil"/>
                    <w:tr2bl w:val="nil"/>
                  </w:tcBorders>
                  <w:shd w:val="clear" w:color="auto" w:fill="auto"/>
                  <w:noWrap w:val="0"/>
                  <w:vAlign w:val="center"/>
                </w:tcPr>
                <w:p w14:paraId="45ED0E8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软水机</w:t>
                  </w:r>
                </w:p>
              </w:tc>
              <w:tc>
                <w:tcPr>
                  <w:tcW w:w="1369" w:type="pct"/>
                  <w:tcBorders>
                    <w:tl2br w:val="nil"/>
                    <w:tr2bl w:val="nil"/>
                  </w:tcBorders>
                  <w:shd w:val="clear" w:color="auto" w:fill="auto"/>
                  <w:noWrap w:val="0"/>
                  <w:vAlign w:val="center"/>
                </w:tcPr>
                <w:p w14:paraId="678979B8">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8T-LS</w:t>
                  </w:r>
                </w:p>
              </w:tc>
              <w:tc>
                <w:tcPr>
                  <w:tcW w:w="891" w:type="pct"/>
                  <w:tcBorders>
                    <w:tl2br w:val="nil"/>
                    <w:tr2bl w:val="nil"/>
                  </w:tcBorders>
                  <w:shd w:val="clear" w:color="auto" w:fill="auto"/>
                  <w:noWrap w:val="0"/>
                  <w:vAlign w:val="center"/>
                </w:tcPr>
                <w:p w14:paraId="56174CE4">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1套</w:t>
                  </w:r>
                </w:p>
              </w:tc>
              <w:tc>
                <w:tcPr>
                  <w:tcW w:w="905" w:type="pct"/>
                  <w:tcBorders>
                    <w:tl2br w:val="nil"/>
                    <w:tr2bl w:val="nil"/>
                  </w:tcBorders>
                  <w:noWrap w:val="0"/>
                  <w:vAlign w:val="center"/>
                </w:tcPr>
                <w:p w14:paraId="721E5662">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left"/>
                    <w:textAlignment w:val="auto"/>
                    <w:rPr>
                      <w:rFonts w:hint="eastAsia" w:cs="Times New Roman"/>
                      <w:sz w:val="21"/>
                      <w:szCs w:val="21"/>
                      <w:lang w:val="en-US" w:eastAsia="zh-CN"/>
                    </w:rPr>
                  </w:pPr>
                  <w:r>
                    <w:rPr>
                      <w:rFonts w:hint="eastAsia" w:cs="Times New Roman"/>
                      <w:sz w:val="21"/>
                      <w:szCs w:val="21"/>
                      <w:lang w:val="en-US" w:eastAsia="zh-CN"/>
                    </w:rPr>
                    <w:t>弗莱克控制阀树脂双罐运行</w:t>
                  </w:r>
                </w:p>
              </w:tc>
            </w:tr>
            <w:tr w14:paraId="11F5C3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96" w:type="pct"/>
                  <w:tcBorders>
                    <w:tl2br w:val="nil"/>
                    <w:tr2bl w:val="nil"/>
                  </w:tcBorders>
                  <w:shd w:val="clear" w:color="auto" w:fill="auto"/>
                  <w:noWrap w:val="0"/>
                  <w:vAlign w:val="center"/>
                </w:tcPr>
                <w:p w14:paraId="06174066">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30</w:t>
                  </w:r>
                </w:p>
              </w:tc>
              <w:tc>
                <w:tcPr>
                  <w:tcW w:w="1237" w:type="pct"/>
                  <w:tcBorders>
                    <w:tl2br w:val="nil"/>
                    <w:tr2bl w:val="nil"/>
                  </w:tcBorders>
                  <w:shd w:val="clear" w:color="auto" w:fill="auto"/>
                  <w:noWrap w:val="0"/>
                  <w:vAlign w:val="center"/>
                </w:tcPr>
                <w:p w14:paraId="5C245B29">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冷渣机</w:t>
                  </w:r>
                </w:p>
              </w:tc>
              <w:tc>
                <w:tcPr>
                  <w:tcW w:w="1369" w:type="pct"/>
                  <w:tcBorders>
                    <w:tl2br w:val="nil"/>
                    <w:tr2bl w:val="nil"/>
                  </w:tcBorders>
                  <w:shd w:val="clear" w:color="auto" w:fill="auto"/>
                  <w:noWrap w:val="0"/>
                  <w:vAlign w:val="center"/>
                </w:tcPr>
                <w:p w14:paraId="148E1007">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MGB(I)-10</w:t>
                  </w:r>
                </w:p>
              </w:tc>
              <w:tc>
                <w:tcPr>
                  <w:tcW w:w="891" w:type="pct"/>
                  <w:tcBorders>
                    <w:tl2br w:val="nil"/>
                    <w:tr2bl w:val="nil"/>
                  </w:tcBorders>
                  <w:shd w:val="clear" w:color="auto" w:fill="auto"/>
                  <w:noWrap w:val="0"/>
                  <w:vAlign w:val="center"/>
                </w:tcPr>
                <w:p w14:paraId="3093FDFC">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1台</w:t>
                  </w:r>
                </w:p>
              </w:tc>
              <w:tc>
                <w:tcPr>
                  <w:tcW w:w="905" w:type="pct"/>
                  <w:tcBorders>
                    <w:tl2br w:val="nil"/>
                    <w:tr2bl w:val="nil"/>
                  </w:tcBorders>
                  <w:noWrap w:val="0"/>
                  <w:vAlign w:val="center"/>
                </w:tcPr>
                <w:p w14:paraId="3889EF53">
                  <w:pPr>
                    <w:pStyle w:val="5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sz w:val="21"/>
                      <w:szCs w:val="21"/>
                      <w:lang w:val="en-US" w:eastAsia="zh-CN"/>
                    </w:rPr>
                  </w:pPr>
                  <w:r>
                    <w:rPr>
                      <w:rFonts w:hint="eastAsia" w:cs="Times New Roman"/>
                      <w:sz w:val="21"/>
                      <w:szCs w:val="21"/>
                      <w:lang w:val="en-US" w:eastAsia="zh-CN"/>
                    </w:rPr>
                    <w:t>利旧</w:t>
                  </w:r>
                </w:p>
              </w:tc>
            </w:tr>
          </w:tbl>
          <w:p w14:paraId="60298409">
            <w:pPr>
              <w:keepNext w:val="0"/>
              <w:keepLines w:val="0"/>
              <w:numPr>
                <w:ilvl w:val="-1"/>
                <w:numId w:val="0"/>
              </w:numPr>
              <w:suppressLineNumbers w:val="0"/>
              <w:adjustRightInd w:val="0"/>
              <w:snapToGrid w:val="0"/>
              <w:spacing w:before="120" w:beforeLines="50" w:beforeAutospacing="0" w:after="0" w:afterAutospacing="0" w:line="360" w:lineRule="auto"/>
              <w:ind w:left="0" w:right="0" w:firstLine="562" w:firstLineChars="200"/>
              <w:rPr>
                <w:rFonts w:hint="eastAsia"/>
                <w:b/>
                <w:sz w:val="28"/>
                <w:szCs w:val="28"/>
                <w:highlight w:val="none"/>
                <w:u w:val="single"/>
                <w:lang w:val="en-US" w:eastAsia="zh-CN"/>
              </w:rPr>
            </w:pPr>
            <w:r>
              <w:rPr>
                <w:rFonts w:hint="eastAsia"/>
                <w:b/>
                <w:sz w:val="28"/>
                <w:szCs w:val="28"/>
                <w:highlight w:val="none"/>
                <w:u w:val="single"/>
                <w:lang w:val="en-US" w:eastAsia="zh-CN"/>
              </w:rPr>
              <w:t>产能匹配性分析：</w:t>
            </w:r>
          </w:p>
          <w:p w14:paraId="246B0D3C">
            <w:pPr>
              <w:keepNext w:val="0"/>
              <w:keepLines w:val="0"/>
              <w:numPr>
                <w:ilvl w:val="-1"/>
                <w:numId w:val="0"/>
              </w:numPr>
              <w:suppressLineNumbers w:val="0"/>
              <w:adjustRightInd w:val="0"/>
              <w:snapToGrid w:val="0"/>
              <w:spacing w:before="0" w:beforeLines="0" w:beforeAutospacing="0" w:after="0" w:afterAutospacing="0" w:line="360" w:lineRule="auto"/>
              <w:ind w:left="0" w:right="0" w:firstLine="480" w:firstLineChars="200"/>
              <w:rPr>
                <w:rFonts w:hint="default"/>
                <w:b w:val="0"/>
                <w:bCs/>
                <w:sz w:val="28"/>
                <w:szCs w:val="28"/>
                <w:highlight w:val="none"/>
                <w:u w:val="single"/>
                <w:lang w:val="en-US" w:eastAsia="zh-CN"/>
              </w:rPr>
            </w:pPr>
            <w:r>
              <w:rPr>
                <w:rFonts w:hint="default"/>
                <w:b w:val="0"/>
                <w:bCs/>
                <w:sz w:val="24"/>
                <w:szCs w:val="24"/>
                <w:highlight w:val="none"/>
                <w:u w:val="single"/>
                <w:lang w:val="en-US" w:eastAsia="zh-CN"/>
              </w:rPr>
              <w:t>根据建设单位提供设备设计产能情况，主要产能核算如下。</w:t>
            </w:r>
          </w:p>
          <w:p w14:paraId="1D92CC5B">
            <w:pPr>
              <w:pStyle w:val="33"/>
              <w:keepNext w:val="0"/>
              <w:keepLines w:val="0"/>
              <w:numPr>
                <w:ilvl w:val="0"/>
                <w:numId w:val="7"/>
              </w:numPr>
              <w:suppressLineNumbers w:val="0"/>
              <w:spacing w:before="0" w:beforeAutospacing="0" w:after="0" w:afterAutospacing="0"/>
              <w:ind w:right="0"/>
              <w:jc w:val="center"/>
              <w:rPr>
                <w:rFonts w:hint="default"/>
                <w:highlight w:val="none"/>
                <w:u w:val="single"/>
                <w:lang w:val="en-US" w:eastAsia="zh-CN"/>
              </w:rPr>
            </w:pPr>
            <w:r>
              <w:rPr>
                <w:rFonts w:hint="default"/>
                <w:b/>
                <w:bCs/>
                <w:sz w:val="24"/>
                <w:highlight w:val="none"/>
                <w:u w:val="single"/>
                <w:lang w:val="en-US" w:eastAsia="zh-CN"/>
              </w:rPr>
              <w:t>主要设备产能核算一览表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1112"/>
              <w:gridCol w:w="1431"/>
              <w:gridCol w:w="830"/>
              <w:gridCol w:w="2357"/>
              <w:gridCol w:w="2013"/>
            </w:tblGrid>
            <w:tr w14:paraId="6C7B10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35" w:type="pct"/>
                  <w:noWrap w:val="0"/>
                  <w:vAlign w:val="center"/>
                </w:tcPr>
                <w:p w14:paraId="3425A165">
                  <w:pPr>
                    <w:pStyle w:val="69"/>
                    <w:keepNext w:val="0"/>
                    <w:keepLines w:val="0"/>
                    <w:widowControl/>
                    <w:suppressLineNumbers w:val="0"/>
                    <w:bidi w:val="0"/>
                    <w:spacing w:beforeAutospacing="0" w:after="0" w:afterAutospacing="0"/>
                    <w:ind w:left="0" w:right="0"/>
                    <w:rPr>
                      <w:rFonts w:hint="default"/>
                      <w:color w:val="auto"/>
                      <w:highlight w:val="none"/>
                      <w:u w:val="single"/>
                    </w:rPr>
                  </w:pPr>
                  <w:r>
                    <w:rPr>
                      <w:rFonts w:hint="default"/>
                      <w:color w:val="auto"/>
                      <w:highlight w:val="none"/>
                      <w:u w:val="single"/>
                    </w:rPr>
                    <w:t>序号</w:t>
                  </w:r>
                </w:p>
              </w:tc>
              <w:tc>
                <w:tcPr>
                  <w:tcW w:w="670" w:type="pct"/>
                  <w:noWrap w:val="0"/>
                  <w:vAlign w:val="center"/>
                </w:tcPr>
                <w:p w14:paraId="273A0FED">
                  <w:pPr>
                    <w:pStyle w:val="69"/>
                    <w:keepNext w:val="0"/>
                    <w:keepLines w:val="0"/>
                    <w:widowControl/>
                    <w:suppressLineNumbers w:val="0"/>
                    <w:bidi w:val="0"/>
                    <w:spacing w:beforeAutospacing="0" w:after="0" w:afterAutospacing="0"/>
                    <w:ind w:left="0" w:right="0"/>
                    <w:rPr>
                      <w:rFonts w:hint="default"/>
                      <w:color w:val="auto"/>
                      <w:highlight w:val="none"/>
                      <w:u w:val="single"/>
                    </w:rPr>
                  </w:pPr>
                  <w:r>
                    <w:rPr>
                      <w:rFonts w:hint="default"/>
                      <w:color w:val="auto"/>
                      <w:highlight w:val="none"/>
                      <w:u w:val="single"/>
                    </w:rPr>
                    <w:t>生产</w:t>
                  </w:r>
                </w:p>
                <w:p w14:paraId="30FD6166">
                  <w:pPr>
                    <w:pStyle w:val="69"/>
                    <w:keepNext w:val="0"/>
                    <w:keepLines w:val="0"/>
                    <w:widowControl/>
                    <w:suppressLineNumbers w:val="0"/>
                    <w:bidi w:val="0"/>
                    <w:spacing w:beforeAutospacing="0" w:after="0" w:afterAutospacing="0"/>
                    <w:ind w:left="0" w:right="0"/>
                    <w:rPr>
                      <w:rFonts w:hint="default"/>
                      <w:color w:val="auto"/>
                      <w:highlight w:val="none"/>
                      <w:u w:val="single"/>
                    </w:rPr>
                  </w:pPr>
                  <w:r>
                    <w:rPr>
                      <w:rFonts w:hint="default"/>
                      <w:color w:val="auto"/>
                      <w:highlight w:val="none"/>
                      <w:u w:val="single"/>
                    </w:rPr>
                    <w:t>设备</w:t>
                  </w:r>
                </w:p>
              </w:tc>
              <w:tc>
                <w:tcPr>
                  <w:tcW w:w="862" w:type="pct"/>
                  <w:noWrap w:val="0"/>
                  <w:vAlign w:val="center"/>
                </w:tcPr>
                <w:p w14:paraId="336ACF46">
                  <w:pPr>
                    <w:pStyle w:val="69"/>
                    <w:keepNext w:val="0"/>
                    <w:keepLines w:val="0"/>
                    <w:widowControl/>
                    <w:suppressLineNumbers w:val="0"/>
                    <w:bidi w:val="0"/>
                    <w:spacing w:beforeAutospacing="0" w:after="0" w:afterAutospacing="0"/>
                    <w:ind w:left="0" w:right="0"/>
                    <w:rPr>
                      <w:rFonts w:hint="eastAsia" w:eastAsia="宋体"/>
                      <w:color w:val="auto"/>
                      <w:highlight w:val="none"/>
                      <w:u w:val="single"/>
                      <w:lang w:val="en-US" w:eastAsia="zh-CN"/>
                    </w:rPr>
                  </w:pPr>
                  <w:r>
                    <w:rPr>
                      <w:rFonts w:hint="default"/>
                      <w:color w:val="auto"/>
                      <w:highlight w:val="none"/>
                      <w:u w:val="single"/>
                    </w:rPr>
                    <w:t>型号</w:t>
                  </w:r>
                  <w:r>
                    <w:rPr>
                      <w:rFonts w:hint="eastAsia"/>
                      <w:color w:val="auto"/>
                      <w:highlight w:val="none"/>
                      <w:u w:val="single"/>
                      <w:lang w:val="en-US" w:eastAsia="zh-CN"/>
                    </w:rPr>
                    <w:t>规格</w:t>
                  </w:r>
                </w:p>
              </w:tc>
              <w:tc>
                <w:tcPr>
                  <w:tcW w:w="500" w:type="pct"/>
                  <w:noWrap w:val="0"/>
                  <w:vAlign w:val="center"/>
                </w:tcPr>
                <w:p w14:paraId="61D5FC38">
                  <w:pPr>
                    <w:pStyle w:val="69"/>
                    <w:keepNext w:val="0"/>
                    <w:keepLines w:val="0"/>
                    <w:widowControl/>
                    <w:suppressLineNumbers w:val="0"/>
                    <w:bidi w:val="0"/>
                    <w:spacing w:beforeAutospacing="0" w:after="0" w:afterAutospacing="0"/>
                    <w:ind w:left="0" w:right="0"/>
                    <w:rPr>
                      <w:rFonts w:hint="default"/>
                      <w:color w:val="auto"/>
                      <w:highlight w:val="none"/>
                      <w:u w:val="single"/>
                    </w:rPr>
                  </w:pPr>
                  <w:r>
                    <w:rPr>
                      <w:rFonts w:hint="default"/>
                      <w:color w:val="auto"/>
                      <w:highlight w:val="none"/>
                      <w:u w:val="single"/>
                    </w:rPr>
                    <w:t>数量</w:t>
                  </w:r>
                </w:p>
              </w:tc>
              <w:tc>
                <w:tcPr>
                  <w:tcW w:w="1419" w:type="pct"/>
                  <w:noWrap w:val="0"/>
                  <w:vAlign w:val="center"/>
                </w:tcPr>
                <w:p w14:paraId="4292343E">
                  <w:pPr>
                    <w:pStyle w:val="69"/>
                    <w:keepNext w:val="0"/>
                    <w:keepLines w:val="0"/>
                    <w:widowControl/>
                    <w:suppressLineNumbers w:val="0"/>
                    <w:bidi w:val="0"/>
                    <w:spacing w:beforeAutospacing="0" w:after="0" w:afterAutospacing="0"/>
                    <w:ind w:left="0" w:right="0"/>
                    <w:rPr>
                      <w:rFonts w:hint="default"/>
                      <w:color w:val="auto"/>
                      <w:highlight w:val="none"/>
                      <w:u w:val="single"/>
                    </w:rPr>
                  </w:pPr>
                  <w:r>
                    <w:rPr>
                      <w:rFonts w:hint="default"/>
                      <w:color w:val="auto"/>
                      <w:highlight w:val="none"/>
                      <w:u w:val="single"/>
                    </w:rPr>
                    <w:t>单个设备设计产能</w:t>
                  </w:r>
                </w:p>
              </w:tc>
              <w:tc>
                <w:tcPr>
                  <w:tcW w:w="1212" w:type="pct"/>
                  <w:noWrap w:val="0"/>
                  <w:vAlign w:val="center"/>
                </w:tcPr>
                <w:p w14:paraId="0A36892C">
                  <w:pPr>
                    <w:pStyle w:val="69"/>
                    <w:keepNext w:val="0"/>
                    <w:keepLines w:val="0"/>
                    <w:widowControl/>
                    <w:suppressLineNumbers w:val="0"/>
                    <w:bidi w:val="0"/>
                    <w:spacing w:beforeAutospacing="0" w:after="0" w:afterAutospacing="0"/>
                    <w:ind w:left="0" w:right="0"/>
                    <w:rPr>
                      <w:rFonts w:hint="default"/>
                      <w:color w:val="auto"/>
                      <w:highlight w:val="none"/>
                      <w:u w:val="single"/>
                    </w:rPr>
                  </w:pPr>
                  <w:r>
                    <w:rPr>
                      <w:rFonts w:hint="default"/>
                      <w:color w:val="auto"/>
                      <w:highlight w:val="none"/>
                      <w:u w:val="single"/>
                    </w:rPr>
                    <w:t>年最大工作时间（</w:t>
                  </w:r>
                  <w:r>
                    <w:rPr>
                      <w:rFonts w:hint="eastAsia"/>
                      <w:color w:val="auto"/>
                      <w:highlight w:val="none"/>
                      <w:u w:val="single"/>
                      <w:lang w:val="en-US" w:eastAsia="zh-CN"/>
                    </w:rPr>
                    <w:t>d</w:t>
                  </w:r>
                  <w:r>
                    <w:rPr>
                      <w:rFonts w:hint="default"/>
                      <w:color w:val="auto"/>
                      <w:highlight w:val="none"/>
                      <w:u w:val="single"/>
                    </w:rPr>
                    <w:t>）</w:t>
                  </w:r>
                </w:p>
              </w:tc>
            </w:tr>
            <w:tr w14:paraId="1B7D15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35" w:type="pct"/>
                  <w:noWrap w:val="0"/>
                  <w:vAlign w:val="center"/>
                </w:tcPr>
                <w:p w14:paraId="70F46B7D">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1</w:t>
                  </w:r>
                </w:p>
              </w:tc>
              <w:tc>
                <w:tcPr>
                  <w:tcW w:w="670" w:type="pct"/>
                  <w:noWrap w:val="0"/>
                  <w:vAlign w:val="center"/>
                </w:tcPr>
                <w:p w14:paraId="06DD192C">
                  <w:pPr>
                    <w:pStyle w:val="69"/>
                    <w:keepNext w:val="0"/>
                    <w:keepLines w:val="0"/>
                    <w:widowControl/>
                    <w:suppressLineNumbers w:val="0"/>
                    <w:bidi w:val="0"/>
                    <w:spacing w:beforeAutospacing="0" w:after="0" w:afterAutospacing="0"/>
                    <w:ind w:left="0" w:right="0"/>
                    <w:rPr>
                      <w:rFonts w:hint="default" w:eastAsia="宋体"/>
                      <w:color w:val="auto"/>
                      <w:highlight w:val="none"/>
                      <w:u w:val="single"/>
                      <w:lang w:val="en-US" w:eastAsia="zh-CN"/>
                    </w:rPr>
                  </w:pPr>
                  <w:r>
                    <w:rPr>
                      <w:rFonts w:hint="eastAsia"/>
                      <w:color w:val="auto"/>
                      <w:highlight w:val="none"/>
                      <w:u w:val="single"/>
                      <w:lang w:val="en-US" w:eastAsia="zh-CN"/>
                    </w:rPr>
                    <w:t>卤锅</w:t>
                  </w:r>
                </w:p>
              </w:tc>
              <w:tc>
                <w:tcPr>
                  <w:tcW w:w="862" w:type="pct"/>
                  <w:noWrap w:val="0"/>
                  <w:vAlign w:val="center"/>
                </w:tcPr>
                <w:p w14:paraId="646E2998">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600L</w:t>
                  </w:r>
                </w:p>
              </w:tc>
              <w:tc>
                <w:tcPr>
                  <w:tcW w:w="500" w:type="pct"/>
                  <w:noWrap w:val="0"/>
                  <w:vAlign w:val="center"/>
                </w:tcPr>
                <w:p w14:paraId="7527C087">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6</w:t>
                  </w:r>
                </w:p>
              </w:tc>
              <w:tc>
                <w:tcPr>
                  <w:tcW w:w="1419" w:type="pct"/>
                  <w:noWrap w:val="0"/>
                  <w:vAlign w:val="center"/>
                </w:tcPr>
                <w:p w14:paraId="7E9D8E73">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150kg/锅</w:t>
                  </w:r>
                </w:p>
              </w:tc>
              <w:tc>
                <w:tcPr>
                  <w:tcW w:w="1212" w:type="pct"/>
                  <w:noWrap w:val="0"/>
                  <w:vAlign w:val="center"/>
                </w:tcPr>
                <w:p w14:paraId="3714C1C9">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250</w:t>
                  </w:r>
                </w:p>
              </w:tc>
            </w:tr>
            <w:tr w14:paraId="0C8735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35" w:type="pct"/>
                  <w:noWrap w:val="0"/>
                  <w:vAlign w:val="center"/>
                </w:tcPr>
                <w:p w14:paraId="753E5754">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2</w:t>
                  </w:r>
                </w:p>
              </w:tc>
              <w:tc>
                <w:tcPr>
                  <w:tcW w:w="670" w:type="pct"/>
                  <w:noWrap w:val="0"/>
                  <w:vAlign w:val="center"/>
                </w:tcPr>
                <w:p w14:paraId="64753B13">
                  <w:pPr>
                    <w:pStyle w:val="69"/>
                    <w:keepNext w:val="0"/>
                    <w:keepLines w:val="0"/>
                    <w:widowControl/>
                    <w:suppressLineNumbers w:val="0"/>
                    <w:bidi w:val="0"/>
                    <w:spacing w:beforeAutospacing="0" w:after="0" w:afterAutospacing="0"/>
                    <w:ind w:left="0" w:right="0"/>
                    <w:rPr>
                      <w:rFonts w:hint="eastAsia"/>
                      <w:color w:val="auto"/>
                      <w:highlight w:val="none"/>
                      <w:u w:val="single"/>
                      <w:lang w:val="en-US" w:eastAsia="zh-CN"/>
                    </w:rPr>
                  </w:pPr>
                  <w:r>
                    <w:rPr>
                      <w:rFonts w:hint="eastAsia"/>
                      <w:color w:val="auto"/>
                      <w:highlight w:val="none"/>
                      <w:u w:val="single"/>
                      <w:lang w:val="en-US" w:eastAsia="zh-CN"/>
                    </w:rPr>
                    <w:t>卤制机</w:t>
                  </w:r>
                </w:p>
              </w:tc>
              <w:tc>
                <w:tcPr>
                  <w:tcW w:w="862" w:type="pct"/>
                  <w:noWrap w:val="0"/>
                  <w:vAlign w:val="center"/>
                </w:tcPr>
                <w:p w14:paraId="480E5D4A">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1200L</w:t>
                  </w:r>
                </w:p>
              </w:tc>
              <w:tc>
                <w:tcPr>
                  <w:tcW w:w="500" w:type="pct"/>
                  <w:noWrap w:val="0"/>
                  <w:vAlign w:val="center"/>
                </w:tcPr>
                <w:p w14:paraId="4CFDD0BB">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4</w:t>
                  </w:r>
                </w:p>
              </w:tc>
              <w:tc>
                <w:tcPr>
                  <w:tcW w:w="1419" w:type="pct"/>
                  <w:noWrap w:val="0"/>
                  <w:vAlign w:val="center"/>
                </w:tcPr>
                <w:p w14:paraId="4F646418">
                  <w:pPr>
                    <w:pStyle w:val="70"/>
                    <w:keepNext w:val="0"/>
                    <w:keepLines w:val="0"/>
                    <w:widowControl/>
                    <w:suppressLineNumbers w:val="0"/>
                    <w:spacing w:before="0" w:beforeAutospacing="0" w:after="0" w:afterAutospacing="0" w:line="240" w:lineRule="auto"/>
                    <w:ind w:left="0" w:right="0" w:firstLine="0" w:firstLineChars="0"/>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鸡脖：450kg/锅</w:t>
                  </w:r>
                </w:p>
                <w:p w14:paraId="3C89358F">
                  <w:pPr>
                    <w:pStyle w:val="70"/>
                    <w:keepNext w:val="0"/>
                    <w:keepLines w:val="0"/>
                    <w:widowControl/>
                    <w:suppressLineNumbers w:val="0"/>
                    <w:spacing w:beforeAutospacing="0" w:after="0" w:afterAutospacing="0" w:line="240" w:lineRule="auto"/>
                    <w:ind w:left="0" w:right="0" w:firstLine="0" w:firstLineChars="0"/>
                    <w:jc w:val="center"/>
                    <w:rPr>
                      <w:rFonts w:hint="default"/>
                      <w:highlight w:val="none"/>
                      <w:u w:val="single"/>
                      <w:lang w:val="en-US" w:eastAsia="zh-CN"/>
                    </w:rPr>
                  </w:pPr>
                  <w:r>
                    <w:rPr>
                      <w:rFonts w:hint="eastAsia"/>
                      <w:sz w:val="21"/>
                      <w:szCs w:val="21"/>
                      <w:highlight w:val="none"/>
                      <w:u w:val="single"/>
                      <w:lang w:val="en-US" w:eastAsia="zh-CN"/>
                    </w:rPr>
                    <w:t>鸭腿：420kg/锅</w:t>
                  </w:r>
                </w:p>
              </w:tc>
              <w:tc>
                <w:tcPr>
                  <w:tcW w:w="1212" w:type="pct"/>
                  <w:noWrap w:val="0"/>
                  <w:vAlign w:val="center"/>
                </w:tcPr>
                <w:p w14:paraId="3B368866">
                  <w:pPr>
                    <w:pStyle w:val="69"/>
                    <w:keepNext w:val="0"/>
                    <w:keepLines w:val="0"/>
                    <w:widowControl/>
                    <w:suppressLineNumbers w:val="0"/>
                    <w:bidi w:val="0"/>
                    <w:spacing w:beforeAutospacing="0" w:after="0" w:afterAutospacing="0"/>
                    <w:ind w:left="0" w:right="0"/>
                    <w:rPr>
                      <w:rFonts w:hint="default"/>
                      <w:color w:val="auto"/>
                      <w:highlight w:val="none"/>
                      <w:u w:val="single"/>
                      <w:lang w:val="en-US" w:eastAsia="zh-CN"/>
                    </w:rPr>
                  </w:pPr>
                  <w:r>
                    <w:rPr>
                      <w:rFonts w:hint="eastAsia"/>
                      <w:color w:val="auto"/>
                      <w:highlight w:val="none"/>
                      <w:u w:val="single"/>
                      <w:lang w:val="en-US" w:eastAsia="zh-CN"/>
                    </w:rPr>
                    <w:t>250</w:t>
                  </w:r>
                </w:p>
              </w:tc>
            </w:tr>
          </w:tbl>
          <w:p w14:paraId="50E43B35">
            <w:pPr>
              <w:keepNext w:val="0"/>
              <w:keepLines w:val="0"/>
              <w:numPr>
                <w:ilvl w:val="-1"/>
                <w:numId w:val="0"/>
              </w:numPr>
              <w:suppressLineNumbers w:val="0"/>
              <w:adjustRightInd w:val="0"/>
              <w:snapToGrid w:val="0"/>
              <w:spacing w:before="157" w:beforeLines="50" w:beforeAutospacing="0" w:after="0" w:afterAutospacing="0" w:line="360" w:lineRule="auto"/>
              <w:ind w:left="0" w:right="0" w:firstLine="480" w:firstLineChars="200"/>
              <w:rPr>
                <w:rFonts w:hint="eastAsia"/>
                <w:b w:val="0"/>
                <w:bCs/>
                <w:sz w:val="24"/>
                <w:szCs w:val="24"/>
                <w:highlight w:val="none"/>
                <w:u w:val="single"/>
                <w:lang w:val="en-US" w:eastAsia="zh-CN"/>
              </w:rPr>
            </w:pPr>
            <w:r>
              <w:rPr>
                <w:rFonts w:hint="eastAsia"/>
                <w:b w:val="0"/>
                <w:bCs/>
                <w:sz w:val="24"/>
                <w:szCs w:val="24"/>
                <w:highlight w:val="none"/>
                <w:u w:val="single"/>
                <w:lang w:val="en-US" w:eastAsia="zh-CN"/>
              </w:rPr>
              <w:t>根据建设方提供的数据，厂区年工作时间250天，肉制品生产线产品错峰生产，其中约146天生产卤鸭脖，104天生产卤鸭腿，厂区每日卤制鹌鹑蛋约14锅，肉制品约12锅，肉制品根据产量根据上述数据进行计算：</w:t>
            </w:r>
          </w:p>
          <w:p w14:paraId="6E768F4C">
            <w:pPr>
              <w:pStyle w:val="5"/>
              <w:suppressLineNumbers w:val="0"/>
              <w:spacing w:before="0" w:beforeAutospacing="0" w:after="0" w:afterAutospacing="0"/>
              <w:ind w:left="0" w:right="0" w:firstLine="480" w:firstLineChars="200"/>
              <w:rPr>
                <w:rFonts w:hint="eastAsia" w:ascii="Times New Roman" w:hAnsi="Times New Roman" w:cs="Times New Roman"/>
                <w:b w:val="0"/>
                <w:bCs/>
                <w:sz w:val="24"/>
                <w:szCs w:val="24"/>
                <w:highlight w:val="none"/>
                <w:u w:val="single"/>
                <w:lang w:val="en-US" w:eastAsia="zh-CN"/>
              </w:rPr>
            </w:pPr>
            <w:r>
              <w:rPr>
                <w:rFonts w:hint="eastAsia"/>
                <w:b w:val="0"/>
                <w:bCs/>
                <w:sz w:val="24"/>
                <w:szCs w:val="24"/>
                <w:highlight w:val="none"/>
                <w:u w:val="single"/>
                <w:lang w:val="en-US" w:eastAsia="zh-CN"/>
              </w:rPr>
              <w:t>鹌鹑蛋年产量：6</w:t>
            </w:r>
            <w:r>
              <w:rPr>
                <w:rFonts w:hint="default" w:ascii="Times New Roman" w:hAnsi="Times New Roman" w:cs="Times New Roman"/>
                <w:b w:val="0"/>
                <w:bCs/>
                <w:sz w:val="24"/>
                <w:szCs w:val="24"/>
                <w:highlight w:val="none"/>
                <w:u w:val="single"/>
                <w:lang w:val="en-US" w:eastAsia="zh-CN"/>
              </w:rPr>
              <w:t>×</w:t>
            </w:r>
            <w:r>
              <w:rPr>
                <w:rFonts w:hint="eastAsia"/>
                <w:b w:val="0"/>
                <w:bCs/>
                <w:sz w:val="24"/>
                <w:szCs w:val="24"/>
                <w:highlight w:val="none"/>
                <w:u w:val="single"/>
                <w:lang w:val="en-US" w:eastAsia="zh-CN"/>
              </w:rPr>
              <w:t>0.15</w:t>
            </w:r>
            <w:r>
              <w:rPr>
                <w:rFonts w:hint="default" w:ascii="Times New Roman" w:hAnsi="Times New Roman" w:cs="Times New Roman"/>
                <w:b w:val="0"/>
                <w:bCs/>
                <w:sz w:val="24"/>
                <w:szCs w:val="24"/>
                <w:highlight w:val="none"/>
                <w:u w:val="single"/>
                <w:lang w:val="en-US" w:eastAsia="zh-CN"/>
              </w:rPr>
              <w:t>×</w:t>
            </w:r>
            <w:r>
              <w:rPr>
                <w:rFonts w:hint="eastAsia" w:ascii="Times New Roman" w:hAnsi="Times New Roman" w:cs="Times New Roman"/>
                <w:b w:val="0"/>
                <w:bCs/>
                <w:sz w:val="24"/>
                <w:szCs w:val="24"/>
                <w:highlight w:val="none"/>
                <w:u w:val="single"/>
                <w:lang w:val="en-US" w:eastAsia="zh-CN"/>
              </w:rPr>
              <w:t>1</w:t>
            </w:r>
            <w:r>
              <w:rPr>
                <w:rFonts w:hint="eastAsia" w:cs="Times New Roman"/>
                <w:b w:val="0"/>
                <w:bCs/>
                <w:sz w:val="24"/>
                <w:szCs w:val="24"/>
                <w:highlight w:val="none"/>
                <w:u w:val="single"/>
                <w:lang w:val="en-US" w:eastAsia="zh-CN"/>
              </w:rPr>
              <w:t>4</w:t>
            </w:r>
            <w:r>
              <w:rPr>
                <w:rFonts w:hint="default" w:ascii="Times New Roman" w:hAnsi="Times New Roman" w:cs="Times New Roman"/>
                <w:b w:val="0"/>
                <w:bCs/>
                <w:sz w:val="24"/>
                <w:szCs w:val="24"/>
                <w:highlight w:val="none"/>
                <w:u w:val="single"/>
                <w:lang w:val="en-US" w:eastAsia="zh-CN"/>
              </w:rPr>
              <w:t>×</w:t>
            </w:r>
            <w:r>
              <w:rPr>
                <w:rFonts w:hint="eastAsia" w:ascii="Times New Roman" w:hAnsi="Times New Roman" w:cs="Times New Roman"/>
                <w:b w:val="0"/>
                <w:bCs/>
                <w:sz w:val="24"/>
                <w:szCs w:val="24"/>
                <w:highlight w:val="none"/>
                <w:u w:val="single"/>
                <w:lang w:val="en-US" w:eastAsia="zh-CN"/>
              </w:rPr>
              <w:t>250=3</w:t>
            </w:r>
            <w:r>
              <w:rPr>
                <w:rFonts w:hint="eastAsia" w:cs="Times New Roman"/>
                <w:b w:val="0"/>
                <w:bCs/>
                <w:sz w:val="24"/>
                <w:szCs w:val="24"/>
                <w:highlight w:val="none"/>
                <w:u w:val="single"/>
                <w:lang w:val="en-US" w:eastAsia="zh-CN"/>
              </w:rPr>
              <w:t>150</w:t>
            </w:r>
            <w:r>
              <w:rPr>
                <w:rFonts w:hint="eastAsia" w:ascii="Times New Roman" w:hAnsi="Times New Roman" w:cs="Times New Roman"/>
                <w:b w:val="0"/>
                <w:bCs/>
                <w:sz w:val="24"/>
                <w:szCs w:val="24"/>
                <w:highlight w:val="none"/>
                <w:u w:val="single"/>
                <w:lang w:val="en-US" w:eastAsia="zh-CN"/>
              </w:rPr>
              <w:t>（吨）</w:t>
            </w:r>
          </w:p>
          <w:p w14:paraId="6D4AE50B">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 w:val="0"/>
                <w:bCs/>
                <w:sz w:val="24"/>
                <w:szCs w:val="24"/>
                <w:highlight w:val="none"/>
                <w:u w:val="single"/>
                <w:lang w:val="en-US" w:eastAsia="zh-CN"/>
              </w:rPr>
            </w:pPr>
            <w:r>
              <w:rPr>
                <w:rFonts w:hint="eastAsia"/>
                <w:sz w:val="24"/>
                <w:u w:val="single"/>
                <w:lang w:val="en-US" w:eastAsia="zh-CN"/>
              </w:rPr>
              <w:t>鸭脖年产量：</w:t>
            </w:r>
            <w:r>
              <w:rPr>
                <w:rFonts w:hint="eastAsia"/>
                <w:sz w:val="24"/>
                <w:highlight w:val="none"/>
                <w:u w:val="single"/>
                <w:lang w:val="en-US" w:eastAsia="zh-CN"/>
              </w:rPr>
              <w:t>0.45</w:t>
            </w:r>
            <w:r>
              <w:rPr>
                <w:rFonts w:hint="default" w:ascii="Times New Roman" w:hAnsi="Times New Roman" w:cs="Times New Roman"/>
                <w:b w:val="0"/>
                <w:bCs/>
                <w:sz w:val="24"/>
                <w:szCs w:val="24"/>
                <w:highlight w:val="none"/>
                <w:u w:val="single"/>
                <w:lang w:val="en-US" w:eastAsia="zh-CN"/>
              </w:rPr>
              <w:t>×</w:t>
            </w:r>
            <w:r>
              <w:rPr>
                <w:rFonts w:hint="eastAsia" w:ascii="Times New Roman" w:hAnsi="Times New Roman" w:cs="Times New Roman"/>
                <w:b w:val="0"/>
                <w:bCs/>
                <w:sz w:val="24"/>
                <w:szCs w:val="24"/>
                <w:highlight w:val="none"/>
                <w:u w:val="single"/>
                <w:lang w:val="en-US" w:eastAsia="zh-CN"/>
              </w:rPr>
              <w:t>4</w:t>
            </w:r>
            <w:r>
              <w:rPr>
                <w:rFonts w:hint="default" w:ascii="Times New Roman" w:hAnsi="Times New Roman" w:cs="Times New Roman"/>
                <w:b w:val="0"/>
                <w:bCs/>
                <w:sz w:val="24"/>
                <w:szCs w:val="24"/>
                <w:highlight w:val="none"/>
                <w:u w:val="single"/>
                <w:lang w:val="en-US" w:eastAsia="zh-CN"/>
              </w:rPr>
              <w:t>×</w:t>
            </w:r>
            <w:r>
              <w:rPr>
                <w:rFonts w:hint="eastAsia" w:ascii="Times New Roman" w:hAnsi="Times New Roman" w:cs="Times New Roman"/>
                <w:b w:val="0"/>
                <w:bCs/>
                <w:sz w:val="24"/>
                <w:szCs w:val="24"/>
                <w:highlight w:val="none"/>
                <w:u w:val="single"/>
                <w:lang w:val="en-US" w:eastAsia="zh-CN"/>
              </w:rPr>
              <w:t>1</w:t>
            </w:r>
            <w:r>
              <w:rPr>
                <w:rFonts w:hint="eastAsia" w:cs="Times New Roman"/>
                <w:b w:val="0"/>
                <w:bCs/>
                <w:sz w:val="24"/>
                <w:szCs w:val="24"/>
                <w:highlight w:val="none"/>
                <w:u w:val="single"/>
                <w:lang w:val="en-US" w:eastAsia="zh-CN"/>
              </w:rPr>
              <w:t>2</w:t>
            </w:r>
            <w:r>
              <w:rPr>
                <w:rFonts w:hint="default" w:ascii="Times New Roman" w:hAnsi="Times New Roman" w:cs="Times New Roman"/>
                <w:b w:val="0"/>
                <w:bCs/>
                <w:sz w:val="24"/>
                <w:szCs w:val="24"/>
                <w:highlight w:val="none"/>
                <w:u w:val="single"/>
                <w:lang w:val="en-US" w:eastAsia="zh-CN"/>
              </w:rPr>
              <w:t>×</w:t>
            </w:r>
            <w:r>
              <w:rPr>
                <w:rFonts w:hint="eastAsia" w:cs="Times New Roman"/>
                <w:b w:val="0"/>
                <w:bCs/>
                <w:sz w:val="24"/>
                <w:szCs w:val="24"/>
                <w:highlight w:val="none"/>
                <w:u w:val="single"/>
                <w:lang w:val="en-US" w:eastAsia="zh-CN"/>
              </w:rPr>
              <w:t>146</w:t>
            </w:r>
            <w:r>
              <w:rPr>
                <w:rFonts w:hint="eastAsia" w:ascii="Times New Roman" w:hAnsi="Times New Roman" w:cs="Times New Roman"/>
                <w:b w:val="0"/>
                <w:bCs/>
                <w:sz w:val="24"/>
                <w:szCs w:val="24"/>
                <w:highlight w:val="none"/>
                <w:u w:val="single"/>
                <w:lang w:val="en-US" w:eastAsia="zh-CN"/>
              </w:rPr>
              <w:t>=</w:t>
            </w:r>
            <w:r>
              <w:rPr>
                <w:rFonts w:hint="eastAsia" w:cs="Times New Roman"/>
                <w:b w:val="0"/>
                <w:bCs/>
                <w:sz w:val="24"/>
                <w:szCs w:val="24"/>
                <w:highlight w:val="none"/>
                <w:u w:val="single"/>
                <w:lang w:val="en-US" w:eastAsia="zh-CN"/>
              </w:rPr>
              <w:t>3153.6</w:t>
            </w:r>
            <w:r>
              <w:rPr>
                <w:rFonts w:hint="eastAsia" w:ascii="Times New Roman" w:hAnsi="Times New Roman" w:cs="Times New Roman"/>
                <w:b w:val="0"/>
                <w:bCs/>
                <w:sz w:val="24"/>
                <w:szCs w:val="24"/>
                <w:highlight w:val="none"/>
                <w:u w:val="single"/>
                <w:lang w:val="en-US" w:eastAsia="zh-CN"/>
              </w:rPr>
              <w:t>（吨）</w:t>
            </w:r>
          </w:p>
          <w:p w14:paraId="414E169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sz w:val="24"/>
                <w:szCs w:val="24"/>
                <w:highlight w:val="none"/>
                <w:u w:val="single"/>
                <w:lang w:val="en-US" w:eastAsia="zh-CN"/>
              </w:rPr>
            </w:pPr>
            <w:r>
              <w:rPr>
                <w:rFonts w:hint="eastAsia" w:cs="Times New Roman"/>
                <w:b w:val="0"/>
                <w:bCs/>
                <w:sz w:val="24"/>
                <w:szCs w:val="24"/>
                <w:highlight w:val="none"/>
                <w:u w:val="single"/>
                <w:lang w:val="en-US" w:eastAsia="zh-CN"/>
              </w:rPr>
              <w:t>鸭腿年产量：0.42×4×12×104=2096.6（吨）</w:t>
            </w:r>
          </w:p>
          <w:p w14:paraId="7E8F0A56">
            <w:pPr>
              <w:pStyle w:val="5"/>
              <w:suppressLineNumbers w:val="0"/>
              <w:spacing w:before="0" w:beforeAutospacing="0" w:after="0" w:afterAutospacing="0"/>
              <w:ind w:left="0" w:right="0" w:firstLine="480" w:firstLineChars="200"/>
              <w:rPr>
                <w:rFonts w:hint="default"/>
                <w:lang w:val="en-US" w:eastAsia="zh-CN"/>
              </w:rPr>
            </w:pPr>
            <w:r>
              <w:rPr>
                <w:rFonts w:hint="eastAsia" w:ascii="Times New Roman" w:hAnsi="Times New Roman" w:cs="Times New Roman"/>
                <w:b w:val="0"/>
                <w:bCs/>
                <w:sz w:val="24"/>
                <w:szCs w:val="24"/>
                <w:highlight w:val="none"/>
                <w:u w:val="single"/>
                <w:lang w:val="en-US" w:eastAsia="zh-CN"/>
              </w:rPr>
              <w:t>根据</w:t>
            </w:r>
            <w:r>
              <w:rPr>
                <w:rFonts w:hint="eastAsia" w:cs="Times New Roman"/>
                <w:b w:val="0"/>
                <w:bCs/>
                <w:sz w:val="24"/>
                <w:szCs w:val="24"/>
                <w:highlight w:val="none"/>
                <w:u w:val="single"/>
                <w:lang w:val="en-US" w:eastAsia="zh-CN"/>
              </w:rPr>
              <w:t>上述</w:t>
            </w:r>
            <w:r>
              <w:rPr>
                <w:rFonts w:hint="eastAsia" w:ascii="Times New Roman" w:hAnsi="Times New Roman" w:cs="Times New Roman"/>
                <w:b w:val="0"/>
                <w:bCs/>
                <w:sz w:val="24"/>
                <w:szCs w:val="24"/>
                <w:highlight w:val="none"/>
                <w:u w:val="single"/>
                <w:lang w:val="en-US" w:eastAsia="zh-CN"/>
              </w:rPr>
              <w:t>设备数量及产能核算，其年设计产能可满足生产产能需求。</w:t>
            </w:r>
          </w:p>
          <w:p w14:paraId="43721714">
            <w:pPr>
              <w:keepNext w:val="0"/>
              <w:keepLines w:val="0"/>
              <w:numPr>
                <w:ilvl w:val="0"/>
                <w:numId w:val="5"/>
              </w:numPr>
              <w:suppressLineNumbers w:val="0"/>
              <w:adjustRightInd w:val="0"/>
              <w:snapToGrid w:val="0"/>
              <w:spacing w:before="0" w:beforeLines="0" w:beforeAutospacing="0" w:after="0" w:afterAutospacing="0" w:line="360" w:lineRule="auto"/>
              <w:ind w:left="0" w:right="0"/>
              <w:rPr>
                <w:rFonts w:hint="default"/>
                <w:b/>
                <w:sz w:val="28"/>
                <w:szCs w:val="28"/>
              </w:rPr>
            </w:pPr>
            <w:r>
              <w:rPr>
                <w:rFonts w:hint="default"/>
                <w:b/>
                <w:sz w:val="28"/>
                <w:szCs w:val="28"/>
              </w:rPr>
              <w:t>公用工程</w:t>
            </w:r>
          </w:p>
          <w:p w14:paraId="6AEACD69">
            <w:pPr>
              <w:keepNext w:val="0"/>
              <w:keepLines w:val="0"/>
              <w:numPr>
                <w:ilvl w:val="3"/>
                <w:numId w:val="0"/>
              </w:numPr>
              <w:suppressLineNumbers w:val="0"/>
              <w:adjustRightInd w:val="0"/>
              <w:spacing w:before="0" w:beforeAutospacing="0" w:after="0" w:afterAutospacing="0" w:line="360" w:lineRule="auto"/>
              <w:ind w:left="0" w:right="0" w:firstLine="482" w:firstLineChars="200"/>
              <w:outlineLvl w:val="3"/>
              <w:rPr>
                <w:rFonts w:hint="default"/>
                <w:b/>
                <w:sz w:val="24"/>
              </w:rPr>
            </w:pPr>
            <w:r>
              <w:rPr>
                <w:rFonts w:hint="default"/>
                <w:b/>
                <w:sz w:val="24"/>
              </w:rPr>
              <w:t>（1）给排水</w:t>
            </w:r>
          </w:p>
          <w:p w14:paraId="1FB935BB">
            <w:pPr>
              <w:keepNext w:val="0"/>
              <w:keepLines w:val="0"/>
              <w:suppressLineNumbers w:val="0"/>
              <w:spacing w:before="0" w:beforeAutospacing="0" w:after="0" w:afterAutospacing="0" w:line="360" w:lineRule="auto"/>
              <w:ind w:left="0" w:right="0" w:firstLine="482" w:firstLineChars="200"/>
              <w:rPr>
                <w:rFonts w:hint="eastAsia"/>
                <w:sz w:val="24"/>
                <w:lang w:val="en-US" w:eastAsia="zh-CN"/>
              </w:rPr>
            </w:pPr>
            <w:r>
              <w:rPr>
                <w:rFonts w:hint="eastAsia"/>
                <w:b/>
                <w:bCs/>
                <w:sz w:val="24"/>
                <w:lang w:val="en-US" w:eastAsia="zh-CN"/>
              </w:rPr>
              <w:t>给水</w:t>
            </w:r>
          </w:p>
          <w:p w14:paraId="3EF80C2B">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rPr>
              <w:t>本项目</w:t>
            </w:r>
            <w:r>
              <w:rPr>
                <w:rFonts w:hint="eastAsia"/>
                <w:sz w:val="24"/>
                <w:lang w:val="en-US" w:eastAsia="zh-CN"/>
              </w:rPr>
              <w:t>位于湖南岳阳君山产业开发区荆江门片区，</w:t>
            </w:r>
            <w:r>
              <w:rPr>
                <w:rFonts w:hint="eastAsia"/>
                <w:sz w:val="24"/>
              </w:rPr>
              <w:t>用水水源由园区市政供水管网提供。沿场区道路呈环状布置，采用生产、生活共用给水系统和消防独立给水管网</w:t>
            </w:r>
            <w:r>
              <w:rPr>
                <w:rFonts w:hint="eastAsia"/>
                <w:sz w:val="24"/>
                <w:lang w:eastAsia="zh-CN"/>
              </w:rPr>
              <w:t>，</w:t>
            </w:r>
            <w:r>
              <w:rPr>
                <w:rFonts w:hint="eastAsia"/>
                <w:sz w:val="24"/>
              </w:rPr>
              <w:t>本项目用水主要为生产用水和生活用水</w:t>
            </w:r>
            <w:r>
              <w:rPr>
                <w:rFonts w:hint="eastAsia"/>
                <w:sz w:val="24"/>
                <w:lang w:eastAsia="zh-CN"/>
              </w:rPr>
              <w:t>，</w:t>
            </w:r>
            <w:r>
              <w:rPr>
                <w:rFonts w:hint="eastAsia"/>
                <w:sz w:val="24"/>
              </w:rPr>
              <w:t>用水总量为</w:t>
            </w:r>
            <w:r>
              <w:rPr>
                <w:rFonts w:hint="eastAsia"/>
                <w:sz w:val="24"/>
                <w:highlight w:val="none"/>
                <w:lang w:val="en-US" w:eastAsia="zh-CN"/>
              </w:rPr>
              <w:t>94021.79</w:t>
            </w:r>
            <w:r>
              <w:rPr>
                <w:rFonts w:hint="eastAsia"/>
                <w:sz w:val="24"/>
                <w:highlight w:val="none"/>
              </w:rPr>
              <w:t>m</w:t>
            </w:r>
            <w:r>
              <w:rPr>
                <w:rFonts w:hint="eastAsia"/>
                <w:sz w:val="24"/>
                <w:highlight w:val="none"/>
                <w:vertAlign w:val="superscript"/>
              </w:rPr>
              <w:t>3</w:t>
            </w:r>
            <w:r>
              <w:rPr>
                <w:rFonts w:hint="eastAsia"/>
                <w:sz w:val="24"/>
                <w:highlight w:val="none"/>
              </w:rPr>
              <w:t>/a，</w:t>
            </w:r>
            <w:r>
              <w:rPr>
                <w:rFonts w:hint="eastAsia"/>
                <w:sz w:val="24"/>
              </w:rPr>
              <w:t>用水以城市自来水为水源，采用区内已经敷设好的自来水管网供水，能满足厂区内生产生活和消防的正常供水需要。</w:t>
            </w:r>
          </w:p>
          <w:p w14:paraId="21224C16">
            <w:pPr>
              <w:keepNext w:val="0"/>
              <w:keepLines w:val="0"/>
              <w:suppressLineNumbers w:val="0"/>
              <w:spacing w:before="0" w:beforeAutospacing="0" w:after="0" w:afterAutospacing="0" w:line="360" w:lineRule="auto"/>
              <w:ind w:left="0" w:right="0" w:firstLine="482" w:firstLineChars="200"/>
              <w:outlineLvl w:val="4"/>
              <w:rPr>
                <w:rFonts w:hint="default"/>
                <w:b/>
                <w:sz w:val="24"/>
              </w:rPr>
            </w:pPr>
            <w:r>
              <w:rPr>
                <w:rFonts w:hint="default"/>
                <w:b/>
                <w:sz w:val="24"/>
              </w:rPr>
              <w:t>排水</w:t>
            </w:r>
          </w:p>
          <w:p w14:paraId="30D974AF">
            <w:pPr>
              <w:keepNext w:val="0"/>
              <w:keepLines w:val="0"/>
              <w:suppressLineNumbers w:val="0"/>
              <w:spacing w:before="0" w:beforeAutospacing="0" w:after="0" w:afterAutospacing="0" w:line="360" w:lineRule="auto"/>
              <w:ind w:left="0" w:right="0" w:firstLine="480" w:firstLineChars="200"/>
              <w:rPr>
                <w:rFonts w:hint="default"/>
                <w:sz w:val="24"/>
              </w:rPr>
            </w:pPr>
            <w:r>
              <w:rPr>
                <w:rFonts w:hint="eastAsia"/>
                <w:sz w:val="24"/>
                <w:lang w:val="en-US" w:eastAsia="zh-CN"/>
              </w:rPr>
              <w:t>本</w:t>
            </w:r>
            <w:r>
              <w:rPr>
                <w:rFonts w:hint="default"/>
                <w:sz w:val="24"/>
              </w:rPr>
              <w:t>项目厂区实施雨污分流</w:t>
            </w:r>
            <w:r>
              <w:rPr>
                <w:rFonts w:hint="eastAsia"/>
                <w:sz w:val="24"/>
                <w:lang w:eastAsia="zh-CN"/>
              </w:rPr>
              <w:t>，</w:t>
            </w:r>
            <w:r>
              <w:rPr>
                <w:rFonts w:hint="eastAsia"/>
                <w:sz w:val="24"/>
                <w:lang w:val="en-US" w:eastAsia="zh-CN"/>
              </w:rPr>
              <w:t>雨水</w:t>
            </w:r>
            <w:r>
              <w:rPr>
                <w:rFonts w:hint="default"/>
                <w:sz w:val="24"/>
              </w:rPr>
              <w:t>排入园区雨水管网</w:t>
            </w:r>
            <w:r>
              <w:rPr>
                <w:rFonts w:hint="eastAsia"/>
                <w:sz w:val="24"/>
                <w:lang w:eastAsia="zh-CN"/>
              </w:rPr>
              <w:t>；</w:t>
            </w:r>
            <w:r>
              <w:rPr>
                <w:rFonts w:hint="eastAsia"/>
                <w:sz w:val="24"/>
                <w:highlight w:val="none"/>
                <w:lang w:eastAsia="zh-CN"/>
              </w:rPr>
              <w:t>生产废水经</w:t>
            </w:r>
            <w:r>
              <w:rPr>
                <w:rFonts w:hint="eastAsia"/>
                <w:sz w:val="24"/>
                <w:highlight w:val="none"/>
                <w:lang w:val="en-US" w:eastAsia="zh-CN"/>
              </w:rPr>
              <w:t>隔油</w:t>
            </w:r>
            <w:r>
              <w:rPr>
                <w:rFonts w:hint="eastAsia"/>
                <w:sz w:val="24"/>
                <w:highlight w:val="none"/>
                <w:lang w:eastAsia="zh-CN"/>
              </w:rPr>
              <w:t>沉淀池处理后与经化粪池预处理后的生活污水一起排入园区污水管网进入君山区第二污水处理厂预处理中心处理，</w:t>
            </w:r>
            <w:r>
              <w:rPr>
                <w:rFonts w:hint="eastAsia"/>
                <w:sz w:val="24"/>
                <w:highlight w:val="none"/>
                <w:lang w:val="en-US" w:eastAsia="zh-CN"/>
              </w:rPr>
              <w:t>预处理中心</w:t>
            </w:r>
            <w:r>
              <w:rPr>
                <w:rFonts w:hint="eastAsia"/>
                <w:sz w:val="24"/>
                <w:lang w:eastAsia="zh-CN"/>
              </w:rPr>
              <w:t>处理后废水排入君山区第二污水处理厂进行深度处理，达到《城镇污水处理厂污染物排放标准》（GB18918-2002）一级A标准后，通过沿柳毅西路铺设的污水管网排入长江。</w:t>
            </w:r>
          </w:p>
          <w:p w14:paraId="7E957707">
            <w:pPr>
              <w:keepNext w:val="0"/>
              <w:keepLines w:val="0"/>
              <w:numPr>
                <w:ilvl w:val="3"/>
                <w:numId w:val="0"/>
              </w:numPr>
              <w:suppressLineNumbers w:val="0"/>
              <w:adjustRightInd w:val="0"/>
              <w:spacing w:before="0" w:beforeAutospacing="0" w:after="0" w:afterAutospacing="0" w:line="360" w:lineRule="auto"/>
              <w:ind w:left="0" w:right="0" w:firstLine="482" w:firstLineChars="200"/>
              <w:outlineLvl w:val="3"/>
              <w:rPr>
                <w:rFonts w:hint="eastAsia" w:eastAsia="宋体"/>
                <w:b/>
                <w:sz w:val="24"/>
                <w:lang w:val="en-US" w:eastAsia="zh-CN"/>
              </w:rPr>
            </w:pPr>
            <w:r>
              <w:rPr>
                <w:rFonts w:hint="default"/>
                <w:b/>
                <w:sz w:val="24"/>
              </w:rPr>
              <w:t>（2）供</w:t>
            </w:r>
            <w:r>
              <w:rPr>
                <w:rFonts w:hint="eastAsia"/>
                <w:b/>
                <w:sz w:val="24"/>
                <w:lang w:val="en-US" w:eastAsia="zh-CN"/>
              </w:rPr>
              <w:t>热</w:t>
            </w:r>
          </w:p>
          <w:p w14:paraId="19666A00">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本项目</w:t>
            </w:r>
            <w:r>
              <w:rPr>
                <w:rFonts w:hint="eastAsia"/>
                <w:sz w:val="24"/>
                <w:lang w:val="en-US" w:eastAsia="zh-CN"/>
              </w:rPr>
              <w:t>使用蒸汽由厂区锅炉房提供，锅炉房配置1台4t/h燃生物质蒸汽锅炉，使用生物质成型燃料。</w:t>
            </w:r>
          </w:p>
          <w:p w14:paraId="41742DDF">
            <w:pPr>
              <w:keepNext w:val="0"/>
              <w:keepLines w:val="0"/>
              <w:numPr>
                <w:ilvl w:val="3"/>
                <w:numId w:val="0"/>
              </w:numPr>
              <w:suppressLineNumbers w:val="0"/>
              <w:adjustRightInd w:val="0"/>
              <w:spacing w:before="0" w:beforeAutospacing="0" w:after="0" w:afterAutospacing="0" w:line="360" w:lineRule="auto"/>
              <w:ind w:left="0" w:right="0" w:firstLine="482" w:firstLineChars="200"/>
              <w:outlineLvl w:val="3"/>
              <w:rPr>
                <w:rFonts w:hint="default"/>
                <w:b/>
                <w:sz w:val="24"/>
              </w:rPr>
            </w:pPr>
            <w:r>
              <w:rPr>
                <w:rFonts w:hint="default"/>
                <w:b/>
                <w:sz w:val="24"/>
              </w:rPr>
              <w:t>（3）供电</w:t>
            </w:r>
          </w:p>
          <w:p w14:paraId="29E823EB">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宋体"/>
                <w:sz w:val="24"/>
                <w:lang w:val="en-US" w:eastAsia="zh-CN"/>
              </w:rPr>
            </w:pPr>
            <w:r>
              <w:rPr>
                <w:rFonts w:hint="eastAsia"/>
                <w:sz w:val="24"/>
                <w:lang w:val="en-US" w:eastAsia="zh-CN"/>
              </w:rPr>
              <w:t>本项目位于岳阳市君山集中工业区荆江片区，园区内供电设施良好，采用环网配电系统，电缆埋地敷设向各单位供电。</w:t>
            </w:r>
          </w:p>
          <w:p w14:paraId="789D4679">
            <w:pPr>
              <w:keepNext w:val="0"/>
              <w:keepLines w:val="0"/>
              <w:numPr>
                <w:ilvl w:val="0"/>
                <w:numId w:val="8"/>
              </w:numPr>
              <w:suppressLineNumbers w:val="0"/>
              <w:adjustRightInd w:val="0"/>
              <w:spacing w:before="0" w:beforeAutospacing="0" w:after="0" w:afterAutospacing="0" w:line="360" w:lineRule="auto"/>
              <w:ind w:left="0" w:right="0" w:firstLine="482" w:firstLineChars="200"/>
              <w:outlineLvl w:val="3"/>
              <w:rPr>
                <w:rFonts w:hint="default"/>
                <w:b/>
                <w:sz w:val="24"/>
              </w:rPr>
            </w:pPr>
            <w:r>
              <w:rPr>
                <w:rFonts w:hint="default"/>
                <w:b/>
                <w:sz w:val="24"/>
              </w:rPr>
              <w:t>消防</w:t>
            </w:r>
          </w:p>
          <w:p w14:paraId="3DEE156B">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outlineLvl w:val="3"/>
              <w:rPr>
                <w:rFonts w:hint="eastAsia"/>
                <w:b w:val="0"/>
                <w:bCs/>
                <w:sz w:val="24"/>
                <w:lang w:val="en-US" w:eastAsia="zh-CN"/>
              </w:rPr>
            </w:pPr>
            <w:r>
              <w:rPr>
                <w:rFonts w:hint="eastAsia"/>
                <w:b w:val="0"/>
                <w:bCs/>
                <w:sz w:val="24"/>
                <w:lang w:val="en-US" w:eastAsia="zh-CN"/>
              </w:rPr>
              <w:t>本项目厂区已建一座消防泵房及一个约182m</w:t>
            </w:r>
            <w:r>
              <w:rPr>
                <w:rFonts w:hint="eastAsia"/>
                <w:b w:val="0"/>
                <w:bCs/>
                <w:sz w:val="24"/>
                <w:vertAlign w:val="superscript"/>
                <w:lang w:val="en-US" w:eastAsia="zh-CN"/>
              </w:rPr>
              <w:t>3</w:t>
            </w:r>
            <w:r>
              <w:rPr>
                <w:rFonts w:hint="eastAsia"/>
                <w:b w:val="0"/>
                <w:bCs/>
                <w:sz w:val="24"/>
                <w:vertAlign w:val="baseline"/>
                <w:lang w:val="en-US" w:eastAsia="zh-CN"/>
              </w:rPr>
              <w:t>的</w:t>
            </w:r>
            <w:r>
              <w:rPr>
                <w:rFonts w:hint="eastAsia"/>
                <w:b w:val="0"/>
                <w:bCs/>
                <w:sz w:val="24"/>
                <w:lang w:val="en-US" w:eastAsia="zh-CN"/>
              </w:rPr>
              <w:t>消防水池，可满足本工程消防水量供水要求。</w:t>
            </w:r>
          </w:p>
          <w:p w14:paraId="3F8ADEB4">
            <w:pPr>
              <w:pStyle w:val="5"/>
              <w:suppressLineNumbers w:val="0"/>
              <w:spacing w:before="0" w:beforeAutospacing="0" w:after="0" w:afterAutospacing="0"/>
              <w:ind w:left="0" w:right="0" w:firstLine="482" w:firstLineChars="200"/>
              <w:rPr>
                <w:rFonts w:hint="eastAsia"/>
                <w:b/>
                <w:bCs w:val="0"/>
                <w:sz w:val="24"/>
                <w:lang w:val="en-US" w:eastAsia="zh-CN"/>
              </w:rPr>
            </w:pPr>
            <w:r>
              <w:rPr>
                <w:rFonts w:hint="eastAsia"/>
                <w:b/>
                <w:bCs w:val="0"/>
                <w:sz w:val="24"/>
                <w:lang w:val="en-US" w:eastAsia="zh-CN"/>
              </w:rPr>
              <w:t>（5）</w:t>
            </w:r>
            <w:r>
              <w:rPr>
                <w:rFonts w:hint="eastAsia"/>
                <w:b/>
                <w:bCs w:val="0"/>
                <w:sz w:val="24"/>
                <w:u w:val="single"/>
                <w:lang w:val="en-US" w:eastAsia="zh-CN"/>
              </w:rPr>
              <w:t>冷库</w:t>
            </w:r>
          </w:p>
          <w:p w14:paraId="781E564E">
            <w:pPr>
              <w:keepNext w:val="0"/>
              <w:keepLines w:val="0"/>
              <w:suppressLineNumbers w:val="0"/>
              <w:spacing w:before="0" w:beforeAutospacing="0" w:after="0" w:afterAutospacing="0" w:line="360" w:lineRule="auto"/>
              <w:ind w:left="0" w:right="0" w:firstLine="480" w:firstLineChars="200"/>
              <w:rPr>
                <w:rFonts w:hint="eastAsia"/>
                <w:sz w:val="24"/>
                <w:szCs w:val="24"/>
                <w:u w:val="single"/>
                <w:lang w:val="en-US" w:eastAsia="zh-CN"/>
              </w:rPr>
            </w:pPr>
            <w:r>
              <w:rPr>
                <w:rFonts w:hint="eastAsia"/>
                <w:sz w:val="24"/>
                <w:szCs w:val="24"/>
                <w:u w:val="single"/>
                <w:lang w:val="en-US" w:eastAsia="zh-CN"/>
              </w:rPr>
              <w:t>本项目新建一个168m</w:t>
            </w:r>
            <w:r>
              <w:rPr>
                <w:rFonts w:hint="eastAsia"/>
                <w:sz w:val="24"/>
                <w:szCs w:val="24"/>
                <w:u w:val="single"/>
                <w:vertAlign w:val="superscript"/>
                <w:lang w:val="en-US" w:eastAsia="zh-CN"/>
              </w:rPr>
              <w:t>3</w:t>
            </w:r>
            <w:r>
              <w:rPr>
                <w:rFonts w:hint="eastAsia"/>
                <w:sz w:val="24"/>
                <w:szCs w:val="24"/>
                <w:u w:val="single"/>
                <w:lang w:val="en-US" w:eastAsia="zh-CN"/>
              </w:rPr>
              <w:t>蛋制品冷库，新建1个200m</w:t>
            </w:r>
            <w:r>
              <w:rPr>
                <w:rFonts w:hint="eastAsia"/>
                <w:sz w:val="24"/>
                <w:szCs w:val="24"/>
                <w:u w:val="single"/>
                <w:vertAlign w:val="superscript"/>
                <w:lang w:val="en-US" w:eastAsia="zh-CN"/>
              </w:rPr>
              <w:t>3</w:t>
            </w:r>
            <w:r>
              <w:rPr>
                <w:rFonts w:hint="eastAsia"/>
                <w:sz w:val="24"/>
                <w:szCs w:val="24"/>
                <w:u w:val="single"/>
                <w:lang w:val="en-US" w:eastAsia="zh-CN"/>
              </w:rPr>
              <w:t>的肉制品冷库，根据建设方提供资料，冷库使用冷媒为R32。</w:t>
            </w:r>
          </w:p>
          <w:p w14:paraId="427563DD">
            <w:pPr>
              <w:keepNext w:val="0"/>
              <w:keepLines w:val="0"/>
              <w:suppressLineNumbers w:val="0"/>
              <w:spacing w:before="0" w:beforeAutospacing="0" w:after="0" w:afterAutospacing="0" w:line="360" w:lineRule="auto"/>
              <w:ind w:left="0" w:right="0" w:firstLine="480" w:firstLineChars="200"/>
              <w:rPr>
                <w:rFonts w:hint="default"/>
                <w:sz w:val="24"/>
                <w:szCs w:val="24"/>
                <w:u w:val="single"/>
                <w:lang w:val="en-US" w:eastAsia="zh-CN"/>
              </w:rPr>
            </w:pPr>
            <w:r>
              <w:rPr>
                <w:rFonts w:hint="default"/>
                <w:sz w:val="24"/>
                <w:szCs w:val="24"/>
                <w:u w:val="single"/>
                <w:lang w:val="en-US" w:eastAsia="zh-CN"/>
              </w:rPr>
              <w:t>R32是一种新型的制冷剂，</w:t>
            </w:r>
            <w:r>
              <w:rPr>
                <w:rFonts w:hint="eastAsia"/>
                <w:sz w:val="24"/>
                <w:szCs w:val="24"/>
                <w:u w:val="single"/>
                <w:lang w:val="en-US" w:eastAsia="zh-CN"/>
              </w:rPr>
              <w:t>是</w:t>
            </w:r>
            <w:r>
              <w:rPr>
                <w:rFonts w:hint="default"/>
                <w:sz w:val="24"/>
                <w:szCs w:val="24"/>
                <w:u w:val="single"/>
                <w:lang w:val="en-US" w:eastAsia="zh-CN"/>
              </w:rPr>
              <w:t>二氟甲烷的简称，是一种拥有零臭氧损耗潜势的冷却剂，在常温下为气体，在自身压力下为无色透明液体，易溶于油，难溶于水。与R410A相比，R32具有更低的全球变暖潜势和较高的能效比。由于其低GWP（全球变暖潜势），R32被认为是一种更环保的制冷剂。此外，R32还具有良好的制冷性能，能够提供高效的制冷效果。</w:t>
            </w:r>
          </w:p>
          <w:p w14:paraId="1C42C9C9">
            <w:pPr>
              <w:keepNext w:val="0"/>
              <w:keepLines w:val="0"/>
              <w:numPr>
                <w:ilvl w:val="0"/>
                <w:numId w:val="5"/>
              </w:numPr>
              <w:suppressLineNumbers w:val="0"/>
              <w:adjustRightInd w:val="0"/>
              <w:snapToGrid w:val="0"/>
              <w:spacing w:before="0" w:beforeAutospacing="0" w:after="0" w:afterAutospacing="0" w:line="360" w:lineRule="auto"/>
              <w:ind w:left="0" w:right="0"/>
              <w:rPr>
                <w:rFonts w:hint="default"/>
                <w:b/>
                <w:sz w:val="28"/>
                <w:szCs w:val="28"/>
                <w:u w:val="single"/>
              </w:rPr>
            </w:pPr>
            <w:r>
              <w:rPr>
                <w:rFonts w:hint="default"/>
                <w:b/>
                <w:sz w:val="28"/>
                <w:szCs w:val="28"/>
                <w:u w:val="single"/>
              </w:rPr>
              <w:t>项目水源及水平衡</w:t>
            </w:r>
          </w:p>
          <w:p w14:paraId="7F1AE5FB">
            <w:pPr>
              <w:keepNext w:val="0"/>
              <w:keepLines w:val="0"/>
              <w:widowControl/>
              <w:suppressLineNumbers w:val="0"/>
              <w:spacing w:before="0" w:beforeAutospacing="0" w:after="0" w:afterAutospacing="0" w:line="360" w:lineRule="auto"/>
              <w:ind w:left="0" w:right="0" w:firstLine="480" w:firstLineChars="200"/>
              <w:rPr>
                <w:rFonts w:hint="default"/>
                <w:sz w:val="24"/>
                <w:u w:val="single"/>
              </w:rPr>
            </w:pPr>
            <w:r>
              <w:rPr>
                <w:rFonts w:hint="default"/>
                <w:sz w:val="24"/>
                <w:u w:val="single"/>
              </w:rPr>
              <w:t>本项目主要用水为</w:t>
            </w:r>
            <w:r>
              <w:rPr>
                <w:rFonts w:hint="eastAsia"/>
                <w:sz w:val="24"/>
                <w:u w:val="single"/>
                <w:lang w:val="en-US" w:eastAsia="zh-CN"/>
              </w:rPr>
              <w:t>生产用水和生活用水，</w:t>
            </w:r>
            <w:r>
              <w:rPr>
                <w:rFonts w:hint="default"/>
                <w:sz w:val="24"/>
                <w:u w:val="single"/>
              </w:rPr>
              <w:t>具体用排水情况如下：</w:t>
            </w:r>
          </w:p>
          <w:p w14:paraId="06B9E325">
            <w:pPr>
              <w:keepNext w:val="0"/>
              <w:keepLines w:val="0"/>
              <w:widowControl/>
              <w:numPr>
                <w:ilvl w:val="0"/>
                <w:numId w:val="9"/>
              </w:numPr>
              <w:suppressLineNumbers w:val="0"/>
              <w:spacing w:before="0" w:beforeAutospacing="0" w:after="0" w:afterAutospacing="0" w:line="360" w:lineRule="auto"/>
              <w:ind w:left="0" w:right="0" w:firstLine="480" w:firstLineChars="200"/>
              <w:rPr>
                <w:rFonts w:hint="default" w:eastAsia="宋体"/>
                <w:sz w:val="24"/>
                <w:u w:val="single"/>
                <w:lang w:val="en-US" w:eastAsia="zh-CN"/>
              </w:rPr>
            </w:pPr>
            <w:r>
              <w:rPr>
                <w:rFonts w:hint="eastAsia"/>
                <w:sz w:val="24"/>
                <w:u w:val="single"/>
                <w:lang w:val="en-US" w:eastAsia="zh-CN"/>
              </w:rPr>
              <w:t>生产用水</w:t>
            </w:r>
          </w:p>
          <w:p w14:paraId="2E14FB37">
            <w:pPr>
              <w:keepNext w:val="0"/>
              <w:keepLines w:val="0"/>
              <w:widowControl/>
              <w:numPr>
                <w:ilvl w:val="1"/>
                <w:numId w:val="10"/>
              </w:numPr>
              <w:suppressLineNumbers w:val="0"/>
              <w:spacing w:before="0" w:beforeAutospacing="0" w:after="0" w:afterAutospacing="0" w:line="360" w:lineRule="auto"/>
              <w:ind w:left="840" w:leftChars="0" w:right="0" w:hanging="420" w:firstLineChars="0"/>
              <w:rPr>
                <w:rFonts w:hint="default"/>
                <w:sz w:val="24"/>
                <w:u w:val="single"/>
              </w:rPr>
            </w:pPr>
            <w:r>
              <w:rPr>
                <w:rFonts w:hint="eastAsia"/>
                <w:sz w:val="24"/>
                <w:u w:val="single"/>
                <w:lang w:val="en-US" w:eastAsia="zh-CN"/>
              </w:rPr>
              <w:t>锅炉</w:t>
            </w:r>
            <w:r>
              <w:rPr>
                <w:rFonts w:hint="default"/>
                <w:sz w:val="24"/>
                <w:u w:val="single"/>
              </w:rPr>
              <w:t>用</w:t>
            </w:r>
            <w:r>
              <w:rPr>
                <w:rFonts w:hint="eastAsia"/>
                <w:sz w:val="24"/>
                <w:u w:val="single"/>
                <w:lang w:val="en-US" w:eastAsia="zh-CN"/>
              </w:rPr>
              <w:t>排</w:t>
            </w:r>
            <w:r>
              <w:rPr>
                <w:rFonts w:hint="default"/>
                <w:sz w:val="24"/>
                <w:u w:val="single"/>
              </w:rPr>
              <w:t>水</w:t>
            </w:r>
          </w:p>
          <w:p w14:paraId="3F9111B0">
            <w:pPr>
              <w:pStyle w:val="11"/>
              <w:keepNext w:val="0"/>
              <w:keepLines w:val="0"/>
              <w:suppressLineNumbers w:val="0"/>
              <w:spacing w:before="0" w:beforeAutospacing="0" w:after="0" w:afterAutospacing="0" w:line="240" w:lineRule="auto"/>
              <w:ind w:left="0"/>
              <w:rPr>
                <w:rFonts w:hint="eastAsia"/>
                <w:sz w:val="24"/>
                <w:u w:val="single"/>
                <w:lang w:val="en-US" w:eastAsia="zh-CN"/>
              </w:rPr>
            </w:pPr>
            <w:r>
              <w:rPr>
                <w:rFonts w:hint="eastAsia"/>
                <w:sz w:val="24"/>
                <w:u w:val="single"/>
                <w:lang w:val="en-US" w:eastAsia="zh-CN"/>
              </w:rPr>
              <w:t>本项目拟在锅炉房新增一台生物质蒸汽锅炉，新增锅炉具体参数如下表所示：</w:t>
            </w:r>
          </w:p>
          <w:p w14:paraId="070F073F">
            <w:pPr>
              <w:pStyle w:val="33"/>
              <w:keepNext w:val="0"/>
              <w:keepLines w:val="0"/>
              <w:numPr>
                <w:ilvl w:val="0"/>
                <w:numId w:val="7"/>
              </w:numPr>
              <w:suppressLineNumbers w:val="0"/>
              <w:spacing w:before="0" w:beforeAutospacing="0" w:after="0" w:afterAutospacing="0"/>
              <w:ind w:right="0" w:firstLineChars="0"/>
              <w:jc w:val="center"/>
              <w:rPr>
                <w:rFonts w:hint="default"/>
                <w:b/>
                <w:bCs/>
                <w:sz w:val="24"/>
                <w:szCs w:val="24"/>
                <w:u w:val="single"/>
                <w:lang w:val="en-US" w:eastAsia="zh-CN"/>
              </w:rPr>
            </w:pPr>
            <w:r>
              <w:rPr>
                <w:rFonts w:hint="eastAsia"/>
                <w:b/>
                <w:bCs/>
                <w:sz w:val="24"/>
                <w:szCs w:val="24"/>
                <w:u w:val="single"/>
                <w:lang w:val="en-US" w:eastAsia="zh-CN"/>
              </w:rPr>
              <w:t>本项目锅炉设备参数一览表</w:t>
            </w:r>
          </w:p>
          <w:tbl>
            <w:tblPr>
              <w:tblStyle w:val="25"/>
              <w:tblW w:w="4998" w:type="pct"/>
              <w:tblInd w:w="-3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2201"/>
              <w:gridCol w:w="1966"/>
              <w:gridCol w:w="1782"/>
              <w:gridCol w:w="1377"/>
            </w:tblGrid>
            <w:tr w14:paraId="32AED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86" w:type="pct"/>
                  <w:tcBorders>
                    <w:tl2br w:val="nil"/>
                    <w:tr2bl w:val="nil"/>
                  </w:tcBorders>
                  <w:vAlign w:val="center"/>
                </w:tcPr>
                <w:p w14:paraId="375442F6">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
                      <w:bCs/>
                      <w:sz w:val="21"/>
                      <w:szCs w:val="21"/>
                      <w:u w:val="single"/>
                    </w:rPr>
                  </w:pPr>
                  <w:r>
                    <w:rPr>
                      <w:rFonts w:hint="eastAsia" w:ascii="Times New Roman" w:hAnsi="Times New Roman" w:cs="Times New Roman"/>
                      <w:b/>
                      <w:bCs/>
                      <w:sz w:val="21"/>
                      <w:szCs w:val="21"/>
                      <w:u w:val="single"/>
                    </w:rPr>
                    <w:t>类型</w:t>
                  </w:r>
                </w:p>
              </w:tc>
              <w:tc>
                <w:tcPr>
                  <w:tcW w:w="1325" w:type="pct"/>
                  <w:tcBorders>
                    <w:tl2br w:val="nil"/>
                    <w:tr2bl w:val="nil"/>
                  </w:tcBorders>
                  <w:vAlign w:val="center"/>
                </w:tcPr>
                <w:p w14:paraId="7FBF7219">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
                      <w:bCs/>
                      <w:sz w:val="21"/>
                      <w:szCs w:val="21"/>
                      <w:u w:val="single"/>
                    </w:rPr>
                  </w:pPr>
                  <w:r>
                    <w:rPr>
                      <w:rFonts w:hint="eastAsia" w:ascii="Times New Roman" w:hAnsi="Times New Roman" w:cs="Times New Roman"/>
                      <w:b/>
                      <w:bCs/>
                      <w:sz w:val="21"/>
                      <w:szCs w:val="21"/>
                      <w:u w:val="single"/>
                    </w:rPr>
                    <w:t>规格型号</w:t>
                  </w:r>
                </w:p>
              </w:tc>
              <w:tc>
                <w:tcPr>
                  <w:tcW w:w="1184" w:type="pct"/>
                  <w:tcBorders>
                    <w:tl2br w:val="nil"/>
                    <w:tr2bl w:val="nil"/>
                  </w:tcBorders>
                  <w:vAlign w:val="center"/>
                </w:tcPr>
                <w:p w14:paraId="55381432">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
                      <w:bCs/>
                      <w:sz w:val="21"/>
                      <w:szCs w:val="21"/>
                      <w:u w:val="single"/>
                    </w:rPr>
                  </w:pPr>
                  <w:r>
                    <w:rPr>
                      <w:rFonts w:hint="eastAsia" w:ascii="Times New Roman" w:hAnsi="Times New Roman" w:cs="Times New Roman"/>
                      <w:b/>
                      <w:bCs/>
                      <w:sz w:val="21"/>
                      <w:szCs w:val="21"/>
                      <w:u w:val="single"/>
                    </w:rPr>
                    <w:t>额定蒸发量</w:t>
                  </w:r>
                </w:p>
              </w:tc>
              <w:tc>
                <w:tcPr>
                  <w:tcW w:w="1073" w:type="pct"/>
                  <w:tcBorders>
                    <w:tl2br w:val="nil"/>
                    <w:tr2bl w:val="nil"/>
                  </w:tcBorders>
                  <w:vAlign w:val="center"/>
                </w:tcPr>
                <w:p w14:paraId="4FFFF85B">
                  <w:pPr>
                    <w:keepNext w:val="0"/>
                    <w:keepLines w:val="0"/>
                    <w:suppressLineNumbers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sz w:val="21"/>
                      <w:szCs w:val="21"/>
                      <w:u w:val="single"/>
                      <w:lang w:eastAsia="zh-CN"/>
                    </w:rPr>
                  </w:pPr>
                  <w:r>
                    <w:rPr>
                      <w:rFonts w:hint="eastAsia" w:cs="Times New Roman"/>
                      <w:b/>
                      <w:bCs/>
                      <w:sz w:val="21"/>
                      <w:szCs w:val="21"/>
                      <w:u w:val="single"/>
                      <w:lang w:val="en-US" w:eastAsia="zh-CN"/>
                    </w:rPr>
                    <w:t>年</w:t>
                  </w:r>
                  <w:r>
                    <w:rPr>
                      <w:rFonts w:hint="eastAsia" w:ascii="Times New Roman" w:hAnsi="Times New Roman" w:cs="Times New Roman"/>
                      <w:b/>
                      <w:bCs/>
                      <w:sz w:val="21"/>
                      <w:szCs w:val="21"/>
                      <w:u w:val="single"/>
                    </w:rPr>
                    <w:t>运行时间</w:t>
                  </w:r>
                </w:p>
              </w:tc>
              <w:tc>
                <w:tcPr>
                  <w:tcW w:w="829" w:type="pct"/>
                  <w:tcBorders>
                    <w:tl2br w:val="nil"/>
                    <w:tr2bl w:val="nil"/>
                  </w:tcBorders>
                  <w:vAlign w:val="center"/>
                </w:tcPr>
                <w:p w14:paraId="3894AFC0">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b/>
                      <w:bCs/>
                      <w:sz w:val="21"/>
                      <w:szCs w:val="21"/>
                      <w:u w:val="single"/>
                    </w:rPr>
                  </w:pPr>
                  <w:r>
                    <w:rPr>
                      <w:rFonts w:hint="eastAsia" w:cs="Times New Roman"/>
                      <w:b/>
                      <w:bCs/>
                      <w:sz w:val="21"/>
                      <w:szCs w:val="21"/>
                      <w:u w:val="single"/>
                      <w:lang w:val="en-US" w:eastAsia="zh-CN"/>
                    </w:rPr>
                    <w:t>燃料消耗量</w:t>
                  </w:r>
                </w:p>
              </w:tc>
            </w:tr>
            <w:tr w14:paraId="6E1DAD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86" w:type="pct"/>
                  <w:tcBorders>
                    <w:tl2br w:val="nil"/>
                    <w:tr2bl w:val="nil"/>
                  </w:tcBorders>
                  <w:vAlign w:val="center"/>
                </w:tcPr>
                <w:p w14:paraId="1FA73F43">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u w:val="single"/>
                    </w:rPr>
                  </w:pPr>
                  <w:r>
                    <w:rPr>
                      <w:rFonts w:hint="eastAsia" w:ascii="Times New Roman" w:hAnsi="Times New Roman" w:cs="Times New Roman"/>
                      <w:sz w:val="21"/>
                      <w:szCs w:val="21"/>
                      <w:u w:val="single"/>
                    </w:rPr>
                    <w:t>锅炉</w:t>
                  </w:r>
                </w:p>
              </w:tc>
              <w:tc>
                <w:tcPr>
                  <w:tcW w:w="1325" w:type="pct"/>
                  <w:tcBorders>
                    <w:tl2br w:val="nil"/>
                    <w:tr2bl w:val="nil"/>
                  </w:tcBorders>
                  <w:vAlign w:val="center"/>
                </w:tcPr>
                <w:p w14:paraId="48F3FDB7">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cs="Times New Roman"/>
                      <w:sz w:val="21"/>
                      <w:szCs w:val="21"/>
                      <w:u w:val="single"/>
                    </w:rPr>
                  </w:pPr>
                  <w:r>
                    <w:rPr>
                      <w:rFonts w:hint="eastAsia" w:ascii="Times New Roman" w:hAnsi="Times New Roman" w:cs="Times New Roman"/>
                      <w:sz w:val="21"/>
                      <w:szCs w:val="21"/>
                      <w:u w:val="single"/>
                      <w:lang w:val="en-US" w:eastAsia="zh-CN"/>
                    </w:rPr>
                    <w:t>SZL</w:t>
                  </w:r>
                  <w:r>
                    <w:rPr>
                      <w:rFonts w:hint="eastAsia" w:cs="Times New Roman"/>
                      <w:sz w:val="21"/>
                      <w:szCs w:val="21"/>
                      <w:u w:val="single"/>
                      <w:lang w:val="en-US" w:eastAsia="zh-CN"/>
                    </w:rPr>
                    <w:t>4</w:t>
                  </w:r>
                  <w:r>
                    <w:rPr>
                      <w:rFonts w:hint="eastAsia" w:ascii="Times New Roman" w:hAnsi="Times New Roman" w:cs="Times New Roman"/>
                      <w:sz w:val="21"/>
                      <w:szCs w:val="21"/>
                      <w:u w:val="single"/>
                      <w:lang w:val="en-US" w:eastAsia="zh-CN"/>
                    </w:rPr>
                    <w:t>-3.2-S，3.2MPa</w:t>
                  </w:r>
                </w:p>
              </w:tc>
              <w:tc>
                <w:tcPr>
                  <w:tcW w:w="1184" w:type="pct"/>
                  <w:tcBorders>
                    <w:tl2br w:val="nil"/>
                    <w:tr2bl w:val="nil"/>
                  </w:tcBorders>
                  <w:vAlign w:val="center"/>
                </w:tcPr>
                <w:p w14:paraId="3E81D480">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u w:val="single"/>
                      <w:lang w:val="en-US" w:eastAsia="zh-CN"/>
                    </w:rPr>
                  </w:pPr>
                  <w:r>
                    <w:rPr>
                      <w:rFonts w:hint="eastAsia" w:cs="Times New Roman"/>
                      <w:sz w:val="21"/>
                      <w:szCs w:val="21"/>
                      <w:u w:val="single"/>
                      <w:lang w:val="en-US" w:eastAsia="zh-CN"/>
                    </w:rPr>
                    <w:t>4</w:t>
                  </w:r>
                  <w:r>
                    <w:rPr>
                      <w:rFonts w:hint="eastAsia" w:ascii="Times New Roman" w:hAnsi="Times New Roman" w:cs="Times New Roman"/>
                      <w:sz w:val="21"/>
                      <w:szCs w:val="21"/>
                      <w:u w:val="single"/>
                      <w:lang w:val="en-US" w:eastAsia="zh-CN"/>
                    </w:rPr>
                    <w:t>t/h</w:t>
                  </w:r>
                </w:p>
              </w:tc>
              <w:tc>
                <w:tcPr>
                  <w:tcW w:w="1073" w:type="pct"/>
                  <w:tcBorders>
                    <w:tl2br w:val="nil"/>
                    <w:tr2bl w:val="nil"/>
                  </w:tcBorders>
                  <w:vAlign w:val="center"/>
                </w:tcPr>
                <w:p w14:paraId="245EFAD7">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u w:val="single"/>
                      <w:lang w:val="en-US" w:eastAsia="zh-CN"/>
                    </w:rPr>
                  </w:pPr>
                  <w:r>
                    <w:rPr>
                      <w:rFonts w:hint="eastAsia" w:cs="Times New Roman"/>
                      <w:sz w:val="21"/>
                      <w:szCs w:val="21"/>
                      <w:highlight w:val="none"/>
                      <w:u w:val="single"/>
                      <w:lang w:val="en-US" w:eastAsia="zh-CN"/>
                    </w:rPr>
                    <w:t>5000H</w:t>
                  </w:r>
                </w:p>
              </w:tc>
              <w:tc>
                <w:tcPr>
                  <w:tcW w:w="829" w:type="pct"/>
                  <w:tcBorders>
                    <w:tl2br w:val="nil"/>
                    <w:tr2bl w:val="nil"/>
                  </w:tcBorders>
                  <w:vAlign w:val="center"/>
                </w:tcPr>
                <w:p w14:paraId="56EBF6CB">
                  <w:pPr>
                    <w:keepNext w:val="0"/>
                    <w:keepLines w:val="0"/>
                    <w:suppressLineNumbers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u w:val="single"/>
                      <w:lang w:val="en-US" w:eastAsia="zh-CN"/>
                    </w:rPr>
                  </w:pPr>
                  <w:r>
                    <w:rPr>
                      <w:rFonts w:hint="eastAsia" w:cs="Times New Roman"/>
                      <w:sz w:val="21"/>
                      <w:szCs w:val="21"/>
                      <w:u w:val="single"/>
                      <w:lang w:val="en-US" w:eastAsia="zh-CN"/>
                    </w:rPr>
                    <w:t>679.20kg</w:t>
                  </w:r>
                  <w:r>
                    <w:rPr>
                      <w:rFonts w:hint="eastAsia" w:ascii="Times New Roman" w:hAnsi="Times New Roman" w:cs="Times New Roman"/>
                      <w:sz w:val="21"/>
                      <w:szCs w:val="21"/>
                      <w:u w:val="single"/>
                      <w:lang w:val="en-US" w:eastAsia="zh-CN"/>
                    </w:rPr>
                    <w:t>/h</w:t>
                  </w:r>
                </w:p>
              </w:tc>
            </w:tr>
          </w:tbl>
          <w:p w14:paraId="060DADF5">
            <w:pPr>
              <w:pStyle w:val="11"/>
              <w:keepNext w:val="0"/>
              <w:keepLines w:val="0"/>
              <w:suppressLineNumbers w:val="0"/>
              <w:bidi w:val="0"/>
              <w:spacing w:before="157" w:beforeLines="50" w:beforeAutospacing="0" w:after="0" w:afterAutospacing="0"/>
              <w:ind w:left="0" w:firstLine="480" w:firstLineChars="200"/>
              <w:rPr>
                <w:rFonts w:hint="eastAsia"/>
                <w:highlight w:val="none"/>
                <w:u w:val="single"/>
                <w:lang w:val="en-US" w:eastAsia="zh-CN"/>
              </w:rPr>
            </w:pPr>
            <w:r>
              <w:rPr>
                <w:rFonts w:hint="eastAsia"/>
                <w:highlight w:val="none"/>
                <w:u w:val="single"/>
                <w:lang w:val="en-US" w:eastAsia="zh-CN"/>
              </w:rPr>
              <w:t>根据上表锅炉设备参数可知，本项目锅炉额定蒸发量为4t/h，锅炉运行时间为5000h/a，即本项目锅炉年产生蒸汽量20000t，管道损失水量按蒸汽量的5%计，锅炉定期外排污水按锅炉蒸汽量的1.5%计，管道损失水量为1000t/a，锅炉定期排污水300t/a，即锅炉年耗水量为21300t。根据建设单位提供资料，本项目锅炉配套软水设备为再生树脂工艺，不产生浓水，故软水设备用水量为21300t/a，软水设备机每两天反冲洗一次，一次用水约5t，产生反冲洗废水625t/a。</w:t>
            </w:r>
          </w:p>
          <w:p w14:paraId="13735804">
            <w:pPr>
              <w:pStyle w:val="11"/>
              <w:keepNext w:val="0"/>
              <w:keepLines w:val="0"/>
              <w:suppressLineNumbers w:val="0"/>
              <w:bidi w:val="0"/>
              <w:spacing w:before="0" w:beforeAutospacing="0" w:after="0" w:afterAutospacing="0"/>
              <w:ind w:left="0" w:firstLine="480" w:firstLineChars="200"/>
              <w:rPr>
                <w:rFonts w:hint="eastAsia"/>
                <w:highlight w:val="none"/>
                <w:u w:val="single"/>
                <w:lang w:val="en-US" w:eastAsia="zh-CN"/>
              </w:rPr>
            </w:pPr>
            <w:r>
              <w:rPr>
                <w:rFonts w:hint="eastAsia"/>
                <w:highlight w:val="none"/>
                <w:u w:val="single"/>
                <w:lang w:val="en-US" w:eastAsia="zh-CN"/>
              </w:rPr>
              <w:t>锅炉配套冷凝水回收系统，蒸汽冷凝水回用于车间生产，其中冷凝水回收使用过程中的蒸汽损失按照12%计算，即本项目可回收冷凝水为18744t/a，根据建设方提供资料，两个车间分汽缸处的冷凝水均通过直排阀排出，每日排放冷凝水约1.8t（450t/a），余下18294t/a进入厂区冷凝水箱（20.16m</w:t>
            </w:r>
            <w:r>
              <w:rPr>
                <w:rFonts w:hint="eastAsia"/>
                <w:highlight w:val="none"/>
                <w:u w:val="single"/>
                <w:vertAlign w:val="superscript"/>
                <w:lang w:val="en-US" w:eastAsia="zh-CN"/>
              </w:rPr>
              <w:t>3</w:t>
            </w:r>
            <w:r>
              <w:rPr>
                <w:rFonts w:hint="eastAsia"/>
                <w:highlight w:val="none"/>
                <w:u w:val="single"/>
                <w:lang w:val="en-US" w:eastAsia="zh-CN"/>
              </w:rPr>
              <w:t>），回用于厂区鱼制品的浸泡工序以及鱼制品和肉制品二次洗袋清洗用水。</w:t>
            </w:r>
          </w:p>
          <w:p w14:paraId="511F2B78">
            <w:pPr>
              <w:pStyle w:val="11"/>
              <w:keepNext w:val="0"/>
              <w:keepLines w:val="0"/>
              <w:suppressLineNumbers w:val="0"/>
              <w:bidi w:val="0"/>
              <w:spacing w:before="0" w:beforeAutospacing="0" w:after="0" w:afterAutospacing="0"/>
              <w:ind w:left="0" w:firstLine="480" w:firstLineChars="200"/>
              <w:rPr>
                <w:rFonts w:hint="eastAsia"/>
                <w:highlight w:val="yellow"/>
                <w:u w:val="single"/>
                <w:lang w:val="en-US" w:eastAsia="zh-CN"/>
              </w:rPr>
            </w:pPr>
            <w:r>
              <w:rPr>
                <w:rFonts w:hint="eastAsia"/>
                <w:highlight w:val="none"/>
                <w:u w:val="single"/>
                <w:lang w:val="en-US" w:eastAsia="zh-CN"/>
              </w:rPr>
              <w:t>锅炉定期排污水排放至厂区沉淀池，随生产废水一起排放，软水机反冲洗废水作为冷渣机冷却水</w:t>
            </w:r>
            <w:r>
              <w:rPr>
                <w:rFonts w:hint="eastAsia"/>
                <w:highlight w:val="none"/>
                <w:u w:val="single"/>
                <w:vertAlign w:val="baseline"/>
                <w:lang w:val="en-US" w:eastAsia="zh-CN"/>
              </w:rPr>
              <w:t>，排入锅炉房沉淀池，再由沉淀池抽出，进入冷渣机配套使用的冷却水水池</w:t>
            </w:r>
            <w:r>
              <w:rPr>
                <w:rFonts w:hint="eastAsia" w:ascii="Times New Roman" w:eastAsia="宋体"/>
                <w:highlight w:val="none"/>
                <w:u w:val="single"/>
                <w:lang w:val="en-US" w:eastAsia="zh-CN"/>
              </w:rPr>
              <w:t>（8.74m</w:t>
            </w:r>
            <w:r>
              <w:rPr>
                <w:rFonts w:hint="eastAsia" w:ascii="Times New Roman" w:eastAsia="宋体"/>
                <w:highlight w:val="none"/>
                <w:u w:val="single"/>
                <w:vertAlign w:val="superscript"/>
                <w:lang w:val="en-US" w:eastAsia="zh-CN"/>
              </w:rPr>
              <w:t>3</w:t>
            </w:r>
            <w:r>
              <w:rPr>
                <w:rFonts w:hint="eastAsia" w:ascii="Times New Roman" w:eastAsia="宋体"/>
                <w:highlight w:val="none"/>
                <w:u w:val="single"/>
                <w:lang w:val="en-US" w:eastAsia="zh-CN"/>
              </w:rPr>
              <w:t>）</w:t>
            </w:r>
            <w:r>
              <w:rPr>
                <w:rFonts w:hint="eastAsia"/>
                <w:highlight w:val="none"/>
                <w:u w:val="single"/>
                <w:vertAlign w:val="baseline"/>
                <w:lang w:val="en-US" w:eastAsia="zh-CN"/>
              </w:rPr>
              <w:t>，</w:t>
            </w:r>
            <w:r>
              <w:rPr>
                <w:rFonts w:hint="eastAsia"/>
                <w:highlight w:val="none"/>
                <w:u w:val="single"/>
                <w:lang w:val="en-US" w:eastAsia="zh-CN"/>
              </w:rPr>
              <w:t>冷渣水部分因高温蒸发，部分由渣灰带走，不外排。</w:t>
            </w:r>
          </w:p>
          <w:p w14:paraId="5048198B">
            <w:pPr>
              <w:keepNext w:val="0"/>
              <w:keepLines w:val="0"/>
              <w:widowControl/>
              <w:numPr>
                <w:ilvl w:val="1"/>
                <w:numId w:val="10"/>
              </w:numPr>
              <w:suppressLineNumbers w:val="0"/>
              <w:spacing w:before="0" w:beforeAutospacing="0" w:after="0" w:afterAutospacing="0" w:line="360" w:lineRule="auto"/>
              <w:ind w:left="840" w:leftChars="0" w:right="0" w:hanging="420" w:firstLineChars="0"/>
              <w:rPr>
                <w:rFonts w:hint="eastAsia"/>
                <w:sz w:val="24"/>
                <w:u w:val="single"/>
                <w:lang w:val="en-US" w:eastAsia="zh-CN"/>
              </w:rPr>
            </w:pPr>
            <w:r>
              <w:rPr>
                <w:rFonts w:hint="eastAsia"/>
                <w:sz w:val="24"/>
                <w:u w:val="single"/>
                <w:lang w:val="en-US" w:eastAsia="zh-CN"/>
              </w:rPr>
              <w:t>肉制品前端处理工艺用排水</w:t>
            </w:r>
          </w:p>
          <w:p w14:paraId="3D7B3E9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sz w:val="24"/>
                <w:u w:val="single"/>
                <w:lang w:val="en-US" w:eastAsia="zh-CN"/>
              </w:rPr>
            </w:pPr>
            <w:r>
              <w:rPr>
                <w:rFonts w:hint="eastAsia"/>
                <w:sz w:val="24"/>
                <w:u w:val="single"/>
                <w:lang w:val="en-US" w:eastAsia="zh-CN"/>
              </w:rPr>
              <w:t>根据建设单位提供的设计资料，本项目肉制品预处理工艺用排水量结果如下：</w:t>
            </w:r>
          </w:p>
          <w:p w14:paraId="0074F3F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sz w:val="24"/>
                <w:u w:val="single"/>
                <w:lang w:val="en-US" w:eastAsia="zh-CN"/>
              </w:rPr>
            </w:pPr>
            <w:r>
              <w:rPr>
                <w:rFonts w:hint="eastAsia"/>
                <w:sz w:val="24"/>
                <w:u w:val="single"/>
                <w:lang w:val="en-US" w:eastAsia="zh-CN"/>
              </w:rPr>
              <w:t>①肉制品预处理工艺用排水</w:t>
            </w:r>
          </w:p>
          <w:p w14:paraId="27EF2F2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cs="Times New Roman"/>
                <w:sz w:val="24"/>
                <w:u w:val="single"/>
                <w:lang w:val="en-US" w:eastAsia="zh-CN"/>
              </w:rPr>
            </w:pPr>
            <w:r>
              <w:rPr>
                <w:rFonts w:hint="eastAsia"/>
                <w:sz w:val="24"/>
                <w:u w:val="single"/>
                <w:lang w:val="en-US" w:eastAsia="zh-CN"/>
              </w:rPr>
              <w:t>肉制品预处理用水包含浸泡解冻（含清洗）、焯水，浸泡解冻用水约2m</w:t>
            </w:r>
            <w:r>
              <w:rPr>
                <w:rFonts w:hint="eastAsia"/>
                <w:sz w:val="24"/>
                <w:u w:val="single"/>
                <w:vertAlign w:val="superscript"/>
                <w:lang w:val="en-US" w:eastAsia="zh-CN"/>
              </w:rPr>
              <w:t>3</w:t>
            </w:r>
            <w:r>
              <w:rPr>
                <w:rFonts w:hint="eastAsia"/>
                <w:sz w:val="24"/>
                <w:u w:val="single"/>
                <w:lang w:val="en-US" w:eastAsia="zh-CN"/>
              </w:rPr>
              <w:t>/t</w:t>
            </w:r>
            <w:r>
              <w:rPr>
                <w:rFonts w:hint="default" w:ascii="Times New Roman" w:hAnsi="Times New Roman" w:cs="Times New Roman"/>
                <w:sz w:val="24"/>
                <w:u w:val="single"/>
                <w:lang w:val="en-US" w:eastAsia="zh-CN"/>
              </w:rPr>
              <w:t>·</w:t>
            </w:r>
            <w:r>
              <w:rPr>
                <w:rFonts w:hint="eastAsia"/>
                <w:sz w:val="24"/>
                <w:u w:val="single"/>
                <w:lang w:val="en-US" w:eastAsia="zh-CN"/>
              </w:rPr>
              <w:t>原料，焯水用水约1.5</w:t>
            </w:r>
            <w:r>
              <w:rPr>
                <w:rFonts w:hint="default" w:ascii="Times New Roman" w:hAnsi="Times New Roman" w:cs="Times New Roman"/>
                <w:sz w:val="24"/>
                <w:u w:val="single"/>
                <w:lang w:val="en-US" w:eastAsia="zh-CN"/>
              </w:rPr>
              <w:t>m</w:t>
            </w:r>
            <w:r>
              <w:rPr>
                <w:rFonts w:hint="default" w:ascii="Times New Roman" w:hAnsi="Times New Roman" w:cs="Times New Roman"/>
                <w:sz w:val="24"/>
                <w:u w:val="single"/>
                <w:vertAlign w:val="superscript"/>
                <w:lang w:val="en-US" w:eastAsia="zh-CN"/>
              </w:rPr>
              <w:t>3</w:t>
            </w:r>
            <w:r>
              <w:rPr>
                <w:rFonts w:hint="default" w:ascii="Times New Roman" w:hAnsi="Times New Roman" w:cs="Times New Roman"/>
                <w:sz w:val="24"/>
                <w:u w:val="single"/>
                <w:lang w:val="en-US" w:eastAsia="zh-CN"/>
              </w:rPr>
              <w:t>/t·原料</w:t>
            </w:r>
            <w:r>
              <w:rPr>
                <w:rFonts w:hint="eastAsia" w:ascii="Times New Roman" w:hAnsi="Times New Roman" w:cs="Times New Roman"/>
                <w:sz w:val="24"/>
                <w:u w:val="single"/>
                <w:lang w:val="en-US" w:eastAsia="zh-CN"/>
              </w:rPr>
              <w:t>，</w:t>
            </w:r>
            <w:r>
              <w:rPr>
                <w:rFonts w:hint="eastAsia" w:cs="Times New Roman"/>
                <w:sz w:val="24"/>
                <w:u w:val="single"/>
                <w:lang w:val="en-US" w:eastAsia="zh-CN"/>
              </w:rPr>
              <w:t>本项目</w:t>
            </w:r>
            <w:r>
              <w:rPr>
                <w:rFonts w:hint="eastAsia" w:ascii="Times New Roman" w:hAnsi="Times New Roman" w:cs="Times New Roman"/>
                <w:sz w:val="24"/>
                <w:u w:val="single"/>
                <w:lang w:val="en-US" w:eastAsia="zh-CN"/>
              </w:rPr>
              <w:t>肉制品原料</w:t>
            </w:r>
            <w:r>
              <w:rPr>
                <w:rFonts w:hint="eastAsia" w:cs="Times New Roman"/>
                <w:sz w:val="24"/>
                <w:u w:val="single"/>
                <w:lang w:val="en-US" w:eastAsia="zh-CN"/>
              </w:rPr>
              <w:t>使用量为5200吨，即浸泡解冻、焯水用水量分别为10400t/a、7800t/a。排水系数取0.9，即解冻废水和焯水废水分别为9360t/a、7020t/a。肉制品原料为冷冻状态，原料表面含冰衣或冰霜</w:t>
            </w:r>
            <w:r>
              <w:rPr>
                <w:rFonts w:hint="default" w:ascii="Times New Roman" w:hAnsi="Times New Roman" w:cs="Times New Roman"/>
                <w:sz w:val="24"/>
                <w:u w:val="single"/>
                <w:lang w:val="en-US" w:eastAsia="zh-CN"/>
              </w:rPr>
              <w:t>≤</w:t>
            </w:r>
            <w:r>
              <w:rPr>
                <w:rFonts w:hint="eastAsia" w:ascii="Times New Roman" w:hAnsi="Times New Roman" w:cs="Times New Roman"/>
                <w:sz w:val="24"/>
                <w:u w:val="single"/>
                <w:lang w:val="en-US" w:eastAsia="zh-CN"/>
              </w:rPr>
              <w:t>6%，即原料带入水分</w:t>
            </w:r>
            <w:r>
              <w:rPr>
                <w:rFonts w:hint="eastAsia" w:cs="Times New Roman"/>
                <w:sz w:val="24"/>
                <w:u w:val="single"/>
                <w:lang w:val="en-US" w:eastAsia="zh-CN"/>
              </w:rPr>
              <w:t>312</w:t>
            </w:r>
            <w:r>
              <w:rPr>
                <w:rFonts w:hint="eastAsia" w:ascii="Times New Roman" w:hAnsi="Times New Roman" w:cs="Times New Roman"/>
                <w:sz w:val="24"/>
                <w:u w:val="single"/>
                <w:lang w:val="en-US" w:eastAsia="zh-CN"/>
              </w:rPr>
              <w:t>t/a，随解冻废水一起排放。</w:t>
            </w:r>
          </w:p>
          <w:p w14:paraId="7A66C3B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cs="Times New Roman"/>
                <w:sz w:val="24"/>
                <w:u w:val="single"/>
                <w:lang w:val="en-US" w:eastAsia="zh-CN"/>
              </w:rPr>
            </w:pPr>
            <w:r>
              <w:rPr>
                <w:rFonts w:hint="eastAsia" w:ascii="Times New Roman" w:hAnsi="Times New Roman" w:cs="Times New Roman"/>
                <w:sz w:val="24"/>
                <w:u w:val="single"/>
                <w:lang w:val="en-US" w:eastAsia="zh-CN"/>
              </w:rPr>
              <w:t>②卤制工艺用排水</w:t>
            </w:r>
          </w:p>
          <w:p w14:paraId="1F102B2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sz w:val="24"/>
                <w:u w:val="single"/>
                <w:lang w:val="en-US" w:eastAsia="zh-CN"/>
              </w:rPr>
            </w:pPr>
            <w:r>
              <w:rPr>
                <w:rFonts w:hint="eastAsia" w:ascii="Times New Roman" w:hAnsi="Times New Roman" w:cs="Times New Roman"/>
                <w:sz w:val="24"/>
                <w:u w:val="single"/>
                <w:lang w:val="en-US" w:eastAsia="zh-CN"/>
              </w:rPr>
              <w:t>肉制品卤制工艺过程中卤水由于蒸发损耗和进入产品需定期补充，新鲜水补充量约2t/d，年工作时间</w:t>
            </w:r>
            <w:r>
              <w:rPr>
                <w:rFonts w:hint="eastAsia" w:cs="Times New Roman"/>
                <w:sz w:val="24"/>
                <w:u w:val="single"/>
                <w:lang w:val="en-US" w:eastAsia="zh-CN"/>
              </w:rPr>
              <w:t>250</w:t>
            </w:r>
            <w:r>
              <w:rPr>
                <w:rFonts w:hint="eastAsia" w:ascii="Times New Roman" w:hAnsi="Times New Roman" w:cs="Times New Roman"/>
                <w:sz w:val="24"/>
                <w:u w:val="single"/>
                <w:lang w:val="en-US" w:eastAsia="zh-CN"/>
              </w:rPr>
              <w:t>天，即年补水量为</w:t>
            </w:r>
            <w:r>
              <w:rPr>
                <w:rFonts w:hint="eastAsia" w:cs="Times New Roman"/>
                <w:sz w:val="24"/>
                <w:u w:val="single"/>
                <w:lang w:val="en-US" w:eastAsia="zh-CN"/>
              </w:rPr>
              <w:t>500</w:t>
            </w:r>
            <w:r>
              <w:rPr>
                <w:rFonts w:hint="eastAsia" w:ascii="Times New Roman" w:hAnsi="Times New Roman" w:cs="Times New Roman"/>
                <w:sz w:val="24"/>
                <w:u w:val="single"/>
                <w:lang w:val="en-US" w:eastAsia="zh-CN"/>
              </w:rPr>
              <w:t>t/a。根据建设单位提供数据，卤水</w:t>
            </w:r>
            <w:r>
              <w:rPr>
                <w:rFonts w:hint="eastAsia" w:cs="Times New Roman"/>
                <w:sz w:val="24"/>
                <w:u w:val="single"/>
                <w:lang w:val="en-US" w:eastAsia="zh-CN"/>
              </w:rPr>
              <w:t>约</w:t>
            </w:r>
            <w:r>
              <w:rPr>
                <w:rFonts w:hint="eastAsia" w:ascii="Times New Roman" w:hAnsi="Times New Roman" w:cs="Times New Roman"/>
                <w:sz w:val="24"/>
                <w:u w:val="single"/>
                <w:lang w:val="en-US" w:eastAsia="zh-CN"/>
              </w:rPr>
              <w:t>一月一换</w:t>
            </w:r>
            <w:r>
              <w:rPr>
                <w:rFonts w:hint="eastAsia" w:cs="Times New Roman"/>
                <w:sz w:val="24"/>
                <w:u w:val="single"/>
                <w:lang w:val="en-US" w:eastAsia="zh-CN"/>
              </w:rPr>
              <w:t>，每次需用新鲜水约2.4m</w:t>
            </w:r>
            <w:r>
              <w:rPr>
                <w:rFonts w:hint="eastAsia" w:cs="Times New Roman"/>
                <w:sz w:val="24"/>
                <w:u w:val="single"/>
                <w:vertAlign w:val="superscript"/>
                <w:lang w:val="en-US" w:eastAsia="zh-CN"/>
              </w:rPr>
              <w:t>3</w:t>
            </w:r>
            <w:r>
              <w:rPr>
                <w:rFonts w:hint="eastAsia" w:cs="Times New Roman"/>
                <w:sz w:val="24"/>
                <w:u w:val="single"/>
                <w:lang w:val="en-US" w:eastAsia="zh-CN"/>
              </w:rPr>
              <w:t>，即年更换卤水需新增用水约28.8m</w:t>
            </w:r>
            <w:r>
              <w:rPr>
                <w:rFonts w:hint="eastAsia" w:cs="Times New Roman"/>
                <w:sz w:val="24"/>
                <w:u w:val="single"/>
                <w:vertAlign w:val="superscript"/>
                <w:lang w:val="en-US" w:eastAsia="zh-CN"/>
              </w:rPr>
              <w:t>3</w:t>
            </w:r>
            <w:r>
              <w:rPr>
                <w:rFonts w:hint="eastAsia" w:cs="Times New Roman"/>
                <w:sz w:val="24"/>
                <w:u w:val="single"/>
                <w:lang w:val="en-US" w:eastAsia="zh-CN"/>
              </w:rPr>
              <w:t>，产生卤水废水约2t/次，年产生废水约24t。</w:t>
            </w:r>
          </w:p>
          <w:p w14:paraId="080B5727">
            <w:pPr>
              <w:keepNext w:val="0"/>
              <w:keepLines w:val="0"/>
              <w:widowControl/>
              <w:numPr>
                <w:ilvl w:val="1"/>
                <w:numId w:val="10"/>
              </w:numPr>
              <w:suppressLineNumbers w:val="0"/>
              <w:spacing w:before="0" w:beforeAutospacing="0" w:after="0" w:afterAutospacing="0" w:line="360" w:lineRule="auto"/>
              <w:ind w:left="840" w:leftChars="0" w:right="0" w:hanging="420" w:firstLineChars="0"/>
              <w:rPr>
                <w:rFonts w:hint="default"/>
                <w:sz w:val="24"/>
                <w:u w:val="single"/>
              </w:rPr>
            </w:pPr>
            <w:r>
              <w:rPr>
                <w:rFonts w:hint="eastAsia"/>
                <w:sz w:val="24"/>
                <w:u w:val="single"/>
                <w:lang w:val="en-US" w:eastAsia="zh-CN"/>
              </w:rPr>
              <w:t>鹌鹑蛋前端处理工艺用排水</w:t>
            </w:r>
          </w:p>
          <w:p w14:paraId="69B938B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sz w:val="24"/>
                <w:u w:val="single"/>
                <w:lang w:val="en-US" w:eastAsia="zh-CN"/>
              </w:rPr>
            </w:pPr>
            <w:r>
              <w:rPr>
                <w:rFonts w:hint="eastAsia"/>
                <w:sz w:val="24"/>
                <w:u w:val="single"/>
                <w:lang w:val="en-US" w:eastAsia="zh-CN"/>
              </w:rPr>
              <w:t>鹌鹑蛋卤制品生产工艺用水为鹌鹑蛋清洗用水、煮蛋用水、冷却用水、碎/剥壳用水、卤制用水，</w:t>
            </w:r>
            <w:r>
              <w:rPr>
                <w:rFonts w:hint="eastAsia"/>
                <w:sz w:val="24"/>
                <w:highlight w:val="none"/>
                <w:u w:val="single"/>
                <w:lang w:val="en-US" w:eastAsia="zh-CN"/>
              </w:rPr>
              <w:t>根据业主提供相关设计资料，“</w:t>
            </w:r>
            <w:r>
              <w:rPr>
                <w:rFonts w:hint="eastAsia"/>
                <w:sz w:val="24"/>
                <w:u w:val="single"/>
                <w:lang w:val="en-US" w:eastAsia="zh-CN"/>
              </w:rPr>
              <w:t>鹌鹑蛋卤制品生产用水系数为1吨产品使用约10吨工艺水”，据此，本项目鹌鹑蛋生产工艺用水及排水情况见下表：</w:t>
            </w:r>
          </w:p>
          <w:p w14:paraId="6E67EEAF">
            <w:pPr>
              <w:pStyle w:val="33"/>
              <w:keepNext w:val="0"/>
              <w:keepLines w:val="0"/>
              <w:numPr>
                <w:ilvl w:val="0"/>
                <w:numId w:val="7"/>
              </w:numPr>
              <w:suppressLineNumbers w:val="0"/>
              <w:spacing w:before="0" w:beforeAutospacing="0" w:after="0" w:afterAutospacing="0"/>
              <w:ind w:right="0" w:firstLineChars="0"/>
              <w:jc w:val="center"/>
              <w:rPr>
                <w:rFonts w:hint="default"/>
                <w:b/>
                <w:bCs/>
                <w:sz w:val="24"/>
                <w:szCs w:val="24"/>
                <w:u w:val="single"/>
                <w:lang w:val="en-US" w:eastAsia="zh-CN"/>
              </w:rPr>
            </w:pPr>
            <w:r>
              <w:rPr>
                <w:rFonts w:hint="eastAsia"/>
                <w:b/>
                <w:bCs/>
                <w:sz w:val="24"/>
                <w:szCs w:val="24"/>
                <w:u w:val="single"/>
                <w:lang w:val="en-US" w:eastAsia="zh-CN"/>
              </w:rPr>
              <w:t>鹌鹑蛋生产工艺用排水情况一览表</w:t>
            </w:r>
          </w:p>
          <w:tbl>
            <w:tblPr>
              <w:tblStyle w:val="2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50"/>
              <w:gridCol w:w="1119"/>
              <w:gridCol w:w="1274"/>
              <w:gridCol w:w="1383"/>
              <w:gridCol w:w="1385"/>
              <w:gridCol w:w="1388"/>
            </w:tblGrid>
            <w:tr w14:paraId="62DF5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4" w:type="pct"/>
                  <w:tcBorders>
                    <w:tl2br w:val="nil"/>
                    <w:tr2bl w:val="nil"/>
                  </w:tcBorders>
                  <w:vAlign w:val="center"/>
                </w:tcPr>
                <w:p w14:paraId="67A1815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用水类型</w:t>
                  </w:r>
                </w:p>
              </w:tc>
              <w:tc>
                <w:tcPr>
                  <w:tcW w:w="674" w:type="pct"/>
                  <w:tcBorders>
                    <w:tl2br w:val="nil"/>
                    <w:tr2bl w:val="nil"/>
                  </w:tcBorders>
                  <w:vAlign w:val="center"/>
                </w:tcPr>
                <w:p w14:paraId="73AD513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用水占比</w:t>
                  </w:r>
                </w:p>
              </w:tc>
              <w:tc>
                <w:tcPr>
                  <w:tcW w:w="767" w:type="pct"/>
                  <w:tcBorders>
                    <w:tl2br w:val="nil"/>
                    <w:tr2bl w:val="nil"/>
                  </w:tcBorders>
                  <w:vAlign w:val="center"/>
                </w:tcPr>
                <w:p w14:paraId="70BCFFC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用水量t/a</w:t>
                  </w:r>
                </w:p>
              </w:tc>
              <w:tc>
                <w:tcPr>
                  <w:tcW w:w="833" w:type="pct"/>
                  <w:tcBorders>
                    <w:tl2br w:val="nil"/>
                    <w:tr2bl w:val="nil"/>
                  </w:tcBorders>
                  <w:vAlign w:val="center"/>
                </w:tcPr>
                <w:p w14:paraId="20E9E5C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排水系数</w:t>
                  </w:r>
                </w:p>
              </w:tc>
              <w:tc>
                <w:tcPr>
                  <w:tcW w:w="834" w:type="pct"/>
                  <w:tcBorders>
                    <w:tl2br w:val="nil"/>
                    <w:tr2bl w:val="nil"/>
                  </w:tcBorders>
                  <w:vAlign w:val="center"/>
                </w:tcPr>
                <w:p w14:paraId="1E0C514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排水量t/a</w:t>
                  </w:r>
                </w:p>
              </w:tc>
              <w:tc>
                <w:tcPr>
                  <w:tcW w:w="835" w:type="pct"/>
                  <w:tcBorders>
                    <w:tl2br w:val="nil"/>
                    <w:tr2bl w:val="nil"/>
                  </w:tcBorders>
                  <w:vAlign w:val="center"/>
                </w:tcPr>
                <w:p w14:paraId="5FE84C9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备注</w:t>
                  </w:r>
                </w:p>
              </w:tc>
            </w:tr>
            <w:tr w14:paraId="08732F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4" w:type="pct"/>
                  <w:tcBorders>
                    <w:tl2br w:val="nil"/>
                    <w:tr2bl w:val="nil"/>
                  </w:tcBorders>
                  <w:vAlign w:val="center"/>
                </w:tcPr>
                <w:p w14:paraId="35630E8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鹌鹑蛋清洗用水</w:t>
                  </w:r>
                </w:p>
              </w:tc>
              <w:tc>
                <w:tcPr>
                  <w:tcW w:w="674" w:type="pct"/>
                  <w:tcBorders>
                    <w:tl2br w:val="nil"/>
                    <w:tr2bl w:val="nil"/>
                  </w:tcBorders>
                  <w:vAlign w:val="center"/>
                </w:tcPr>
                <w:p w14:paraId="2D77095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30%</w:t>
                  </w:r>
                </w:p>
              </w:tc>
              <w:tc>
                <w:tcPr>
                  <w:tcW w:w="767" w:type="pct"/>
                  <w:tcBorders>
                    <w:tl2br w:val="nil"/>
                    <w:tr2bl w:val="nil"/>
                  </w:tcBorders>
                  <w:vAlign w:val="center"/>
                </w:tcPr>
                <w:p w14:paraId="3F114C1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9000</w:t>
                  </w:r>
                </w:p>
              </w:tc>
              <w:tc>
                <w:tcPr>
                  <w:tcW w:w="833" w:type="pct"/>
                  <w:tcBorders>
                    <w:tl2br w:val="nil"/>
                    <w:tr2bl w:val="nil"/>
                  </w:tcBorders>
                  <w:vAlign w:val="center"/>
                </w:tcPr>
                <w:p w14:paraId="6B6E589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0.9</w:t>
                  </w:r>
                </w:p>
              </w:tc>
              <w:tc>
                <w:tcPr>
                  <w:tcW w:w="834" w:type="pct"/>
                  <w:tcBorders>
                    <w:tl2br w:val="nil"/>
                    <w:tr2bl w:val="nil"/>
                  </w:tcBorders>
                  <w:vAlign w:val="center"/>
                </w:tcPr>
                <w:p w14:paraId="7386308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8100</w:t>
                  </w:r>
                </w:p>
              </w:tc>
              <w:tc>
                <w:tcPr>
                  <w:tcW w:w="835" w:type="pct"/>
                  <w:tcBorders>
                    <w:tl2br w:val="nil"/>
                    <w:tr2bl w:val="nil"/>
                  </w:tcBorders>
                  <w:vAlign w:val="center"/>
                </w:tcPr>
                <w:p w14:paraId="1F048B4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104B5F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4" w:type="pct"/>
                  <w:tcBorders>
                    <w:tl2br w:val="nil"/>
                    <w:tr2bl w:val="nil"/>
                  </w:tcBorders>
                  <w:vAlign w:val="center"/>
                </w:tcPr>
                <w:p w14:paraId="289D888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煮蛋用水</w:t>
                  </w:r>
                </w:p>
              </w:tc>
              <w:tc>
                <w:tcPr>
                  <w:tcW w:w="674" w:type="pct"/>
                  <w:tcBorders>
                    <w:tl2br w:val="nil"/>
                    <w:tr2bl w:val="nil"/>
                  </w:tcBorders>
                  <w:vAlign w:val="center"/>
                </w:tcPr>
                <w:p w14:paraId="033BFD0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35%</w:t>
                  </w:r>
                </w:p>
              </w:tc>
              <w:tc>
                <w:tcPr>
                  <w:tcW w:w="767" w:type="pct"/>
                  <w:tcBorders>
                    <w:tl2br w:val="nil"/>
                    <w:tr2bl w:val="nil"/>
                  </w:tcBorders>
                  <w:vAlign w:val="center"/>
                </w:tcPr>
                <w:p w14:paraId="5F64EA0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10500</w:t>
                  </w:r>
                </w:p>
              </w:tc>
              <w:tc>
                <w:tcPr>
                  <w:tcW w:w="833" w:type="pct"/>
                  <w:tcBorders>
                    <w:tl2br w:val="nil"/>
                    <w:tr2bl w:val="nil"/>
                  </w:tcBorders>
                  <w:vAlign w:val="center"/>
                </w:tcPr>
                <w:p w14:paraId="3CF9A36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0.8</w:t>
                  </w:r>
                </w:p>
              </w:tc>
              <w:tc>
                <w:tcPr>
                  <w:tcW w:w="834" w:type="pct"/>
                  <w:tcBorders>
                    <w:tl2br w:val="nil"/>
                    <w:tr2bl w:val="nil"/>
                  </w:tcBorders>
                  <w:vAlign w:val="center"/>
                </w:tcPr>
                <w:p w14:paraId="7037210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8400</w:t>
                  </w:r>
                </w:p>
              </w:tc>
              <w:tc>
                <w:tcPr>
                  <w:tcW w:w="835" w:type="pct"/>
                  <w:tcBorders>
                    <w:tl2br w:val="nil"/>
                    <w:tr2bl w:val="nil"/>
                  </w:tcBorders>
                  <w:vAlign w:val="center"/>
                </w:tcPr>
                <w:p w14:paraId="381D515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4045AB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4" w:type="pct"/>
                  <w:tcBorders>
                    <w:tl2br w:val="nil"/>
                    <w:tr2bl w:val="nil"/>
                  </w:tcBorders>
                  <w:vAlign w:val="center"/>
                </w:tcPr>
                <w:p w14:paraId="0A0A69C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冷却用水</w:t>
                  </w:r>
                </w:p>
              </w:tc>
              <w:tc>
                <w:tcPr>
                  <w:tcW w:w="674" w:type="pct"/>
                  <w:tcBorders>
                    <w:tl2br w:val="nil"/>
                    <w:tr2bl w:val="nil"/>
                  </w:tcBorders>
                  <w:vAlign w:val="center"/>
                </w:tcPr>
                <w:p w14:paraId="31842D1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20%</w:t>
                  </w:r>
                </w:p>
              </w:tc>
              <w:tc>
                <w:tcPr>
                  <w:tcW w:w="767" w:type="pct"/>
                  <w:tcBorders>
                    <w:tl2br w:val="nil"/>
                    <w:tr2bl w:val="nil"/>
                  </w:tcBorders>
                  <w:vAlign w:val="center"/>
                </w:tcPr>
                <w:p w14:paraId="3FB195C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6000</w:t>
                  </w:r>
                </w:p>
              </w:tc>
              <w:tc>
                <w:tcPr>
                  <w:tcW w:w="833" w:type="pct"/>
                  <w:tcBorders>
                    <w:tl2br w:val="nil"/>
                    <w:tr2bl w:val="nil"/>
                  </w:tcBorders>
                  <w:vAlign w:val="center"/>
                </w:tcPr>
                <w:p w14:paraId="743AD23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0.8</w:t>
                  </w:r>
                </w:p>
              </w:tc>
              <w:tc>
                <w:tcPr>
                  <w:tcW w:w="834" w:type="pct"/>
                  <w:tcBorders>
                    <w:tl2br w:val="nil"/>
                    <w:tr2bl w:val="nil"/>
                  </w:tcBorders>
                  <w:vAlign w:val="center"/>
                </w:tcPr>
                <w:p w14:paraId="35C3F0C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4800</w:t>
                  </w:r>
                </w:p>
              </w:tc>
              <w:tc>
                <w:tcPr>
                  <w:tcW w:w="835" w:type="pct"/>
                  <w:tcBorders>
                    <w:tl2br w:val="nil"/>
                    <w:tr2bl w:val="nil"/>
                  </w:tcBorders>
                  <w:vAlign w:val="center"/>
                </w:tcPr>
                <w:p w14:paraId="4D057FC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0A5F3F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4" w:type="pct"/>
                  <w:tcBorders>
                    <w:tl2br w:val="nil"/>
                    <w:tr2bl w:val="nil"/>
                  </w:tcBorders>
                  <w:vAlign w:val="center"/>
                </w:tcPr>
                <w:p w14:paraId="7FC445C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碎/剥壳用水</w:t>
                  </w:r>
                </w:p>
              </w:tc>
              <w:tc>
                <w:tcPr>
                  <w:tcW w:w="674" w:type="pct"/>
                  <w:tcBorders>
                    <w:tl2br w:val="nil"/>
                    <w:tr2bl w:val="nil"/>
                  </w:tcBorders>
                  <w:vAlign w:val="center"/>
                </w:tcPr>
                <w:p w14:paraId="4A3227D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10%</w:t>
                  </w:r>
                </w:p>
              </w:tc>
              <w:tc>
                <w:tcPr>
                  <w:tcW w:w="767" w:type="pct"/>
                  <w:tcBorders>
                    <w:tl2br w:val="nil"/>
                    <w:tr2bl w:val="nil"/>
                  </w:tcBorders>
                  <w:vAlign w:val="center"/>
                </w:tcPr>
                <w:p w14:paraId="72355B5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3000</w:t>
                  </w:r>
                </w:p>
              </w:tc>
              <w:tc>
                <w:tcPr>
                  <w:tcW w:w="833" w:type="pct"/>
                  <w:tcBorders>
                    <w:tl2br w:val="nil"/>
                    <w:tr2bl w:val="nil"/>
                  </w:tcBorders>
                  <w:vAlign w:val="center"/>
                </w:tcPr>
                <w:p w14:paraId="4419991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0.9</w:t>
                  </w:r>
                </w:p>
              </w:tc>
              <w:tc>
                <w:tcPr>
                  <w:tcW w:w="834" w:type="pct"/>
                  <w:tcBorders>
                    <w:tl2br w:val="nil"/>
                    <w:tr2bl w:val="nil"/>
                  </w:tcBorders>
                  <w:vAlign w:val="center"/>
                </w:tcPr>
                <w:p w14:paraId="02821B8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2700</w:t>
                  </w:r>
                </w:p>
              </w:tc>
              <w:tc>
                <w:tcPr>
                  <w:tcW w:w="835" w:type="pct"/>
                  <w:tcBorders>
                    <w:tl2br w:val="nil"/>
                    <w:tr2bl w:val="nil"/>
                  </w:tcBorders>
                  <w:vAlign w:val="center"/>
                </w:tcPr>
                <w:p w14:paraId="4A9BA62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3E695D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4" w:type="pct"/>
                  <w:tcBorders>
                    <w:tl2br w:val="nil"/>
                    <w:tr2bl w:val="nil"/>
                  </w:tcBorders>
                  <w:vAlign w:val="center"/>
                </w:tcPr>
                <w:p w14:paraId="082EA07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卤制用水</w:t>
                  </w:r>
                </w:p>
              </w:tc>
              <w:tc>
                <w:tcPr>
                  <w:tcW w:w="674" w:type="pct"/>
                  <w:tcBorders>
                    <w:tl2br w:val="nil"/>
                    <w:tr2bl w:val="nil"/>
                  </w:tcBorders>
                  <w:vAlign w:val="center"/>
                </w:tcPr>
                <w:p w14:paraId="2CBF028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5%</w:t>
                  </w:r>
                </w:p>
              </w:tc>
              <w:tc>
                <w:tcPr>
                  <w:tcW w:w="767" w:type="pct"/>
                  <w:tcBorders>
                    <w:tl2br w:val="nil"/>
                    <w:tr2bl w:val="nil"/>
                  </w:tcBorders>
                  <w:vAlign w:val="center"/>
                </w:tcPr>
                <w:p w14:paraId="7A1BC1FD">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1500</w:t>
                  </w:r>
                </w:p>
              </w:tc>
              <w:tc>
                <w:tcPr>
                  <w:tcW w:w="833" w:type="pct"/>
                  <w:tcBorders>
                    <w:tl2br w:val="nil"/>
                    <w:tr2bl w:val="nil"/>
                  </w:tcBorders>
                  <w:vAlign w:val="center"/>
                </w:tcPr>
                <w:p w14:paraId="0E8068B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c>
                <w:tcPr>
                  <w:tcW w:w="834" w:type="pct"/>
                  <w:tcBorders>
                    <w:tl2br w:val="nil"/>
                    <w:tr2bl w:val="nil"/>
                  </w:tcBorders>
                  <w:vAlign w:val="center"/>
                </w:tcPr>
                <w:p w14:paraId="601ECE3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1000</w:t>
                  </w:r>
                </w:p>
              </w:tc>
              <w:tc>
                <w:tcPr>
                  <w:tcW w:w="835" w:type="pct"/>
                  <w:tcBorders>
                    <w:tl2br w:val="nil"/>
                    <w:tr2bl w:val="nil"/>
                  </w:tcBorders>
                  <w:vAlign w:val="center"/>
                </w:tcPr>
                <w:p w14:paraId="52B51F4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卤水三锅一换，卤制过程中产品带走约500t</w:t>
                  </w:r>
                </w:p>
              </w:tc>
            </w:tr>
            <w:tr w14:paraId="1E922A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54" w:type="pct"/>
                  <w:tcBorders>
                    <w:tl2br w:val="nil"/>
                    <w:tr2bl w:val="nil"/>
                  </w:tcBorders>
                  <w:vAlign w:val="center"/>
                </w:tcPr>
                <w:p w14:paraId="1515905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合计</w:t>
                  </w:r>
                </w:p>
              </w:tc>
              <w:tc>
                <w:tcPr>
                  <w:tcW w:w="674" w:type="pct"/>
                  <w:tcBorders>
                    <w:tl2br w:val="nil"/>
                    <w:tr2bl w:val="nil"/>
                  </w:tcBorders>
                  <w:vAlign w:val="center"/>
                </w:tcPr>
                <w:p w14:paraId="60BC732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100%</w:t>
                  </w:r>
                </w:p>
              </w:tc>
              <w:tc>
                <w:tcPr>
                  <w:tcW w:w="767" w:type="pct"/>
                  <w:tcBorders>
                    <w:tl2br w:val="nil"/>
                    <w:tr2bl w:val="nil"/>
                  </w:tcBorders>
                  <w:vAlign w:val="center"/>
                </w:tcPr>
                <w:p w14:paraId="7A53352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30000</w:t>
                  </w:r>
                </w:p>
              </w:tc>
              <w:tc>
                <w:tcPr>
                  <w:tcW w:w="833" w:type="pct"/>
                  <w:tcBorders>
                    <w:tl2br w:val="nil"/>
                    <w:tr2bl w:val="nil"/>
                  </w:tcBorders>
                  <w:vAlign w:val="center"/>
                </w:tcPr>
                <w:p w14:paraId="2312370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c>
                <w:tcPr>
                  <w:tcW w:w="834" w:type="pct"/>
                  <w:tcBorders>
                    <w:tl2br w:val="nil"/>
                    <w:tr2bl w:val="nil"/>
                  </w:tcBorders>
                  <w:vAlign w:val="center"/>
                </w:tcPr>
                <w:p w14:paraId="56079BD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25000</w:t>
                  </w:r>
                </w:p>
              </w:tc>
              <w:tc>
                <w:tcPr>
                  <w:tcW w:w="835" w:type="pct"/>
                  <w:tcBorders>
                    <w:tl2br w:val="nil"/>
                    <w:tr2bl w:val="nil"/>
                  </w:tcBorders>
                  <w:vAlign w:val="center"/>
                </w:tcPr>
                <w:p w14:paraId="047282F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bl>
          <w:p w14:paraId="4F6D5D10">
            <w:pPr>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beforeAutospacing="0" w:after="0" w:afterAutospacing="0" w:line="360" w:lineRule="auto"/>
              <w:ind w:left="0" w:leftChars="0" w:right="0" w:firstLine="480" w:firstLineChars="200"/>
              <w:textAlignment w:val="auto"/>
              <w:rPr>
                <w:rFonts w:hint="default"/>
                <w:sz w:val="24"/>
                <w:u w:val="single"/>
                <w:lang w:val="en-US" w:eastAsia="zh-CN"/>
              </w:rPr>
            </w:pPr>
            <w:r>
              <w:rPr>
                <w:rFonts w:hint="eastAsia"/>
                <w:sz w:val="24"/>
                <w:u w:val="single"/>
                <w:lang w:val="en-US" w:eastAsia="zh-CN"/>
              </w:rPr>
              <w:t>根据上表可得到，鹌鹑蛋年用水量为30000吨，废水年排放量为</w:t>
            </w:r>
            <w:r>
              <w:rPr>
                <w:rFonts w:hint="eastAsia"/>
                <w:sz w:val="24"/>
                <w:highlight w:val="none"/>
                <w:u w:val="single"/>
                <w:lang w:val="en-US" w:eastAsia="zh-CN"/>
              </w:rPr>
              <w:t>25000吨</w:t>
            </w:r>
            <w:r>
              <w:rPr>
                <w:rFonts w:hint="eastAsia"/>
                <w:sz w:val="24"/>
                <w:u w:val="single"/>
                <w:lang w:val="en-US" w:eastAsia="zh-CN"/>
              </w:rPr>
              <w:t>。</w:t>
            </w:r>
          </w:p>
          <w:p w14:paraId="17B3314D">
            <w:pPr>
              <w:keepNext w:val="0"/>
              <w:keepLines w:val="0"/>
              <w:widowControl/>
              <w:numPr>
                <w:ilvl w:val="1"/>
                <w:numId w:val="10"/>
              </w:numPr>
              <w:suppressLineNumbers w:val="0"/>
              <w:spacing w:before="0" w:beforeAutospacing="0" w:after="0" w:afterAutospacing="0" w:line="360" w:lineRule="auto"/>
              <w:ind w:left="840" w:leftChars="0" w:right="0" w:hanging="420" w:firstLineChars="0"/>
              <w:rPr>
                <w:rFonts w:hint="default"/>
                <w:sz w:val="24"/>
                <w:u w:val="single"/>
              </w:rPr>
            </w:pPr>
            <w:r>
              <w:rPr>
                <w:rFonts w:hint="eastAsia"/>
                <w:sz w:val="24"/>
                <w:u w:val="single"/>
                <w:lang w:val="en-US" w:eastAsia="zh-CN"/>
              </w:rPr>
              <w:t>产品洗袋用排水</w:t>
            </w:r>
          </w:p>
          <w:p w14:paraId="38701EE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sz w:val="24"/>
                <w:u w:val="single"/>
                <w:lang w:val="en-US" w:eastAsia="zh-CN"/>
              </w:rPr>
            </w:pPr>
            <w:r>
              <w:rPr>
                <w:rFonts w:hint="eastAsia"/>
                <w:sz w:val="24"/>
                <w:u w:val="single"/>
                <w:lang w:val="en-US" w:eastAsia="zh-CN"/>
              </w:rPr>
              <w:t>根据建设方提供的生产工艺相关信息，本项目肉制品生产工艺中杀菌前后均需要对包装袋进行清洗，鹌鹑蛋制品生产工艺仅杀菌后需对包装袋进行清洗，清洗用水量根据建设单位提供相关设计资料，产品洗袋用水系数为“1.5m</w:t>
            </w:r>
            <w:r>
              <w:rPr>
                <w:rFonts w:hint="eastAsia"/>
                <w:sz w:val="24"/>
                <w:u w:val="single"/>
                <w:vertAlign w:val="superscript"/>
                <w:lang w:val="en-US" w:eastAsia="zh-CN"/>
              </w:rPr>
              <w:t>3</w:t>
            </w:r>
            <w:r>
              <w:rPr>
                <w:rFonts w:hint="eastAsia"/>
                <w:sz w:val="24"/>
                <w:u w:val="single"/>
                <w:lang w:val="en-US" w:eastAsia="zh-CN"/>
              </w:rPr>
              <w:t>/t</w:t>
            </w:r>
            <w:r>
              <w:rPr>
                <w:rFonts w:hint="default" w:ascii="Times New Roman" w:hAnsi="Times New Roman" w:cs="Times New Roman"/>
                <w:sz w:val="24"/>
                <w:u w:val="single"/>
                <w:lang w:val="en-US" w:eastAsia="zh-CN"/>
              </w:rPr>
              <w:t>·</w:t>
            </w:r>
            <w:r>
              <w:rPr>
                <w:rFonts w:hint="eastAsia"/>
                <w:sz w:val="24"/>
                <w:u w:val="single"/>
                <w:lang w:val="en-US" w:eastAsia="zh-CN"/>
              </w:rPr>
              <w:t>产品”，本项目产品量为肉制品5000t、鹌鹑蛋3000t，则产品洗袋总用水量为19500t/a（肉制品15000t/a，鹌鹑蛋4500t/a），其中新鲜水用水12000t/a，蒸汽冷凝水回用水7500t/a，排水系数取0.9，即该环节废水产生总量为</w:t>
            </w:r>
            <w:r>
              <w:rPr>
                <w:rFonts w:hint="eastAsia"/>
                <w:sz w:val="24"/>
                <w:highlight w:val="none"/>
                <w:u w:val="single"/>
                <w:lang w:val="en-US" w:eastAsia="zh-CN"/>
              </w:rPr>
              <w:t>17550t/a</w:t>
            </w:r>
            <w:r>
              <w:rPr>
                <w:rFonts w:hint="eastAsia"/>
                <w:sz w:val="24"/>
                <w:u w:val="single"/>
                <w:lang w:val="en-US" w:eastAsia="zh-CN"/>
              </w:rPr>
              <w:t>（肉制品13500t/a，鹌鹑蛋4050t/a）。</w:t>
            </w:r>
          </w:p>
          <w:p w14:paraId="60B69882">
            <w:pPr>
              <w:keepNext w:val="0"/>
              <w:keepLines w:val="0"/>
              <w:widowControl/>
              <w:numPr>
                <w:ilvl w:val="1"/>
                <w:numId w:val="10"/>
              </w:numPr>
              <w:suppressLineNumbers w:val="0"/>
              <w:spacing w:before="0" w:beforeAutospacing="0" w:after="0" w:afterAutospacing="0" w:line="360" w:lineRule="auto"/>
              <w:ind w:left="840" w:leftChars="0" w:right="0" w:hanging="420" w:firstLineChars="0"/>
              <w:rPr>
                <w:rFonts w:hint="default"/>
                <w:sz w:val="24"/>
                <w:u w:val="single"/>
              </w:rPr>
            </w:pPr>
            <w:r>
              <w:rPr>
                <w:rFonts w:hint="eastAsia"/>
                <w:sz w:val="24"/>
                <w:u w:val="single"/>
                <w:lang w:val="en-US" w:eastAsia="zh-CN"/>
              </w:rPr>
              <w:t>设备清洗用排水</w:t>
            </w:r>
          </w:p>
          <w:p w14:paraId="7C56B1B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sz w:val="24"/>
                <w:u w:val="single"/>
                <w:lang w:val="en-US"/>
              </w:rPr>
            </w:pPr>
            <w:r>
              <w:rPr>
                <w:rFonts w:hint="eastAsia"/>
                <w:sz w:val="24"/>
                <w:u w:val="single"/>
                <w:lang w:val="en-US" w:eastAsia="zh-CN"/>
              </w:rPr>
              <w:t>生产设备和工具器皿每天生产结束后都需要进行清洗，根据建设单位提供相关设计资料，清洗用水量约1.5m</w:t>
            </w:r>
            <w:r>
              <w:rPr>
                <w:rFonts w:hint="eastAsia"/>
                <w:sz w:val="24"/>
                <w:u w:val="single"/>
                <w:vertAlign w:val="superscript"/>
                <w:lang w:val="en-US" w:eastAsia="zh-CN"/>
              </w:rPr>
              <w:t>3</w:t>
            </w:r>
            <w:r>
              <w:rPr>
                <w:rFonts w:hint="eastAsia"/>
                <w:sz w:val="24"/>
                <w:u w:val="single"/>
                <w:vertAlign w:val="baseline"/>
                <w:lang w:val="en-US" w:eastAsia="zh-CN"/>
              </w:rPr>
              <w:t>/套，本项目需清洗的设备共有21套（肉制品14套，鹌鹑蛋7套），即设备清洗用水量为31.5m</w:t>
            </w:r>
            <w:r>
              <w:rPr>
                <w:rFonts w:hint="eastAsia"/>
                <w:sz w:val="24"/>
                <w:u w:val="single"/>
                <w:vertAlign w:val="superscript"/>
                <w:lang w:val="en-US" w:eastAsia="zh-CN"/>
              </w:rPr>
              <w:t>3</w:t>
            </w:r>
            <w:r>
              <w:rPr>
                <w:rFonts w:hint="eastAsia"/>
                <w:sz w:val="24"/>
                <w:u w:val="single"/>
                <w:vertAlign w:val="baseline"/>
                <w:lang w:val="en-US" w:eastAsia="zh-CN"/>
              </w:rPr>
              <w:t>/d（7875m</w:t>
            </w:r>
            <w:r>
              <w:rPr>
                <w:rFonts w:hint="eastAsia"/>
                <w:sz w:val="24"/>
                <w:u w:val="single"/>
                <w:vertAlign w:val="superscript"/>
                <w:lang w:val="en-US" w:eastAsia="zh-CN"/>
              </w:rPr>
              <w:t>3</w:t>
            </w:r>
            <w:r>
              <w:rPr>
                <w:rFonts w:hint="eastAsia"/>
                <w:sz w:val="24"/>
                <w:u w:val="single"/>
                <w:vertAlign w:val="baseline"/>
                <w:lang w:val="en-US" w:eastAsia="zh-CN"/>
              </w:rPr>
              <w:t>/a，肉制品5250m</w:t>
            </w:r>
            <w:r>
              <w:rPr>
                <w:rFonts w:hint="eastAsia"/>
                <w:sz w:val="24"/>
                <w:u w:val="single"/>
                <w:vertAlign w:val="superscript"/>
                <w:lang w:val="en-US" w:eastAsia="zh-CN"/>
              </w:rPr>
              <w:t>3</w:t>
            </w:r>
            <w:r>
              <w:rPr>
                <w:rFonts w:hint="eastAsia"/>
                <w:sz w:val="24"/>
                <w:u w:val="single"/>
                <w:vertAlign w:val="baseline"/>
                <w:lang w:val="en-US" w:eastAsia="zh-CN"/>
              </w:rPr>
              <w:t>/a，鹌鹑蛋2625m</w:t>
            </w:r>
            <w:r>
              <w:rPr>
                <w:rFonts w:hint="eastAsia"/>
                <w:sz w:val="24"/>
                <w:u w:val="single"/>
                <w:vertAlign w:val="superscript"/>
                <w:lang w:val="en-US" w:eastAsia="zh-CN"/>
              </w:rPr>
              <w:t>3</w:t>
            </w:r>
            <w:r>
              <w:rPr>
                <w:rFonts w:hint="eastAsia"/>
                <w:sz w:val="24"/>
                <w:u w:val="single"/>
                <w:vertAlign w:val="baseline"/>
                <w:lang w:val="en-US" w:eastAsia="zh-CN"/>
              </w:rPr>
              <w:t>/a）</w:t>
            </w:r>
            <w:r>
              <w:rPr>
                <w:rFonts w:hint="eastAsia"/>
                <w:sz w:val="24"/>
                <w:u w:val="single"/>
                <w:lang w:val="en-US" w:eastAsia="zh-CN"/>
              </w:rPr>
              <w:t>，排水系数取0.8，则该环节年排放废水量为6300m</w:t>
            </w:r>
            <w:r>
              <w:rPr>
                <w:rFonts w:hint="eastAsia"/>
                <w:sz w:val="24"/>
                <w:u w:val="single"/>
                <w:vertAlign w:val="superscript"/>
                <w:lang w:val="en-US" w:eastAsia="zh-CN"/>
              </w:rPr>
              <w:t>3</w:t>
            </w:r>
            <w:r>
              <w:rPr>
                <w:rFonts w:hint="eastAsia"/>
                <w:sz w:val="24"/>
                <w:u w:val="single"/>
                <w:lang w:val="en-US" w:eastAsia="zh-CN"/>
              </w:rPr>
              <w:t>/a（肉制品4200</w:t>
            </w:r>
            <w:r>
              <w:rPr>
                <w:rFonts w:hint="eastAsia" w:ascii="Times New Roman" w:eastAsia="宋体"/>
                <w:sz w:val="24"/>
                <w:highlight w:val="none"/>
                <w:u w:val="single"/>
                <w:lang w:val="en-US" w:eastAsia="zh-CN"/>
              </w:rPr>
              <w:t>m</w:t>
            </w:r>
            <w:r>
              <w:rPr>
                <w:rFonts w:hint="eastAsia" w:ascii="Times New Roman" w:eastAsia="宋体"/>
                <w:sz w:val="24"/>
                <w:highlight w:val="none"/>
                <w:u w:val="single"/>
                <w:vertAlign w:val="superscript"/>
                <w:lang w:val="en-US" w:eastAsia="zh-CN"/>
              </w:rPr>
              <w:t>3</w:t>
            </w:r>
            <w:r>
              <w:rPr>
                <w:rFonts w:hint="eastAsia" w:ascii="Times New Roman" w:eastAsia="宋体"/>
                <w:sz w:val="24"/>
                <w:highlight w:val="none"/>
                <w:u w:val="single"/>
                <w:lang w:val="en-US" w:eastAsia="zh-CN"/>
              </w:rPr>
              <w:t>/a</w:t>
            </w:r>
            <w:r>
              <w:rPr>
                <w:rFonts w:hint="eastAsia"/>
                <w:sz w:val="24"/>
                <w:u w:val="single"/>
                <w:lang w:val="en-US" w:eastAsia="zh-CN"/>
              </w:rPr>
              <w:t>，鹌鹑蛋2100</w:t>
            </w:r>
            <w:r>
              <w:rPr>
                <w:rFonts w:hint="eastAsia" w:ascii="Times New Roman" w:eastAsia="宋体"/>
                <w:sz w:val="24"/>
                <w:highlight w:val="none"/>
                <w:u w:val="single"/>
                <w:lang w:val="en-US" w:eastAsia="zh-CN"/>
              </w:rPr>
              <w:t>m</w:t>
            </w:r>
            <w:r>
              <w:rPr>
                <w:rFonts w:hint="eastAsia" w:ascii="Times New Roman" w:eastAsia="宋体"/>
                <w:sz w:val="24"/>
                <w:highlight w:val="none"/>
                <w:u w:val="single"/>
                <w:vertAlign w:val="superscript"/>
                <w:lang w:val="en-US" w:eastAsia="zh-CN"/>
              </w:rPr>
              <w:t>3</w:t>
            </w:r>
            <w:r>
              <w:rPr>
                <w:rFonts w:hint="eastAsia" w:ascii="Times New Roman" w:eastAsia="宋体"/>
                <w:sz w:val="24"/>
                <w:highlight w:val="none"/>
                <w:u w:val="single"/>
                <w:lang w:val="en-US" w:eastAsia="zh-CN"/>
              </w:rPr>
              <w:t>/a</w:t>
            </w:r>
            <w:r>
              <w:rPr>
                <w:rFonts w:hint="eastAsia"/>
                <w:sz w:val="24"/>
                <w:u w:val="single"/>
                <w:lang w:val="en-US" w:eastAsia="zh-CN"/>
              </w:rPr>
              <w:t>）。</w:t>
            </w:r>
          </w:p>
          <w:p w14:paraId="178DEBDC">
            <w:pPr>
              <w:keepNext w:val="0"/>
              <w:keepLines w:val="0"/>
              <w:widowControl/>
              <w:numPr>
                <w:ilvl w:val="1"/>
                <w:numId w:val="10"/>
              </w:numPr>
              <w:suppressLineNumbers w:val="0"/>
              <w:spacing w:before="0" w:beforeAutospacing="0" w:after="0" w:afterAutospacing="0" w:line="360" w:lineRule="auto"/>
              <w:ind w:left="840" w:leftChars="0" w:right="0" w:hanging="420" w:firstLineChars="0"/>
              <w:rPr>
                <w:rFonts w:hint="default"/>
                <w:sz w:val="24"/>
                <w:u w:val="single"/>
              </w:rPr>
            </w:pPr>
            <w:r>
              <w:rPr>
                <w:rFonts w:hint="eastAsia"/>
                <w:sz w:val="24"/>
                <w:u w:val="single"/>
                <w:lang w:val="en-US" w:eastAsia="zh-CN"/>
              </w:rPr>
              <w:t>地面清洗用排水</w:t>
            </w:r>
          </w:p>
          <w:p w14:paraId="0A66153D">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eastAsia="宋体"/>
                <w:sz w:val="24"/>
                <w:highlight w:val="yellow"/>
                <w:u w:val="single"/>
                <w:lang w:val="en-US" w:eastAsia="zh-CN"/>
              </w:rPr>
            </w:pPr>
            <w:r>
              <w:rPr>
                <w:rFonts w:hint="eastAsia"/>
                <w:sz w:val="24"/>
                <w:highlight w:val="none"/>
                <w:u w:val="single"/>
                <w:lang w:val="en-US" w:eastAsia="zh-CN"/>
              </w:rPr>
              <w:t>为保持生产车间清洁、卫生，需定期对生产车间地面进行清洗，根据建设单位提供资料，生产车间每周清洗一次，清洗用水量根据建设单位提供数据，地面清洗水量为2L/m</w:t>
            </w:r>
            <w:r>
              <w:rPr>
                <w:rFonts w:hint="eastAsia"/>
                <w:sz w:val="24"/>
                <w:highlight w:val="none"/>
                <w:u w:val="single"/>
                <w:vertAlign w:val="superscript"/>
                <w:lang w:val="en-US" w:eastAsia="zh-CN"/>
              </w:rPr>
              <w:t>2</w:t>
            </w:r>
            <w:r>
              <w:rPr>
                <w:rFonts w:hint="eastAsia"/>
                <w:sz w:val="24"/>
                <w:highlight w:val="none"/>
                <w:u w:val="single"/>
                <w:lang w:val="en-US" w:eastAsia="zh-CN"/>
              </w:rPr>
              <w:t>，本项目肉制品生产车间占地面积约950m</w:t>
            </w:r>
            <w:r>
              <w:rPr>
                <w:rFonts w:hint="eastAsia"/>
                <w:sz w:val="24"/>
                <w:highlight w:val="none"/>
                <w:u w:val="single"/>
                <w:vertAlign w:val="superscript"/>
                <w:lang w:val="en-US" w:eastAsia="zh-CN"/>
              </w:rPr>
              <w:t>2</w:t>
            </w:r>
            <w:r>
              <w:rPr>
                <w:rFonts w:hint="eastAsia"/>
                <w:sz w:val="24"/>
                <w:highlight w:val="none"/>
                <w:u w:val="single"/>
                <w:lang w:val="en-US" w:eastAsia="zh-CN"/>
              </w:rPr>
              <w:t>，鹌鹑蛋生产车间占地面积约3339m</w:t>
            </w:r>
            <w:r>
              <w:rPr>
                <w:rFonts w:hint="eastAsia"/>
                <w:sz w:val="24"/>
                <w:highlight w:val="none"/>
                <w:u w:val="single"/>
                <w:vertAlign w:val="superscript"/>
                <w:lang w:val="en-US" w:eastAsia="zh-CN"/>
              </w:rPr>
              <w:t>2</w:t>
            </w:r>
            <w:r>
              <w:rPr>
                <w:rFonts w:hint="eastAsia"/>
                <w:sz w:val="24"/>
                <w:highlight w:val="none"/>
                <w:u w:val="single"/>
                <w:lang w:val="en-US" w:eastAsia="zh-CN"/>
              </w:rPr>
              <w:t>，即本项目地面清洗用水量为8.578m</w:t>
            </w:r>
            <w:r>
              <w:rPr>
                <w:rFonts w:hint="eastAsia"/>
                <w:sz w:val="24"/>
                <w:highlight w:val="none"/>
                <w:u w:val="single"/>
                <w:vertAlign w:val="superscript"/>
                <w:lang w:val="en-US" w:eastAsia="zh-CN"/>
              </w:rPr>
              <w:t>3</w:t>
            </w:r>
            <w:r>
              <w:rPr>
                <w:rFonts w:hint="eastAsia"/>
                <w:sz w:val="24"/>
                <w:highlight w:val="none"/>
                <w:u w:val="single"/>
                <w:lang w:val="en-US" w:eastAsia="zh-CN"/>
              </w:rPr>
              <w:t>/次（411.74m</w:t>
            </w:r>
            <w:r>
              <w:rPr>
                <w:rFonts w:hint="eastAsia"/>
                <w:sz w:val="24"/>
                <w:highlight w:val="none"/>
                <w:u w:val="single"/>
                <w:vertAlign w:val="superscript"/>
                <w:lang w:val="en-US" w:eastAsia="zh-CN"/>
              </w:rPr>
              <w:t>3</w:t>
            </w:r>
            <w:r>
              <w:rPr>
                <w:rFonts w:hint="eastAsia"/>
                <w:sz w:val="24"/>
                <w:highlight w:val="none"/>
                <w:u w:val="single"/>
                <w:lang w:val="en-US" w:eastAsia="zh-CN"/>
              </w:rPr>
              <w:t>/a，肉制品91.2</w:t>
            </w:r>
            <w:r>
              <w:rPr>
                <w:rFonts w:hint="eastAsia" w:ascii="Times New Roman" w:eastAsia="宋体"/>
                <w:sz w:val="24"/>
                <w:highlight w:val="none"/>
                <w:u w:val="single"/>
                <w:lang w:val="en-US" w:eastAsia="zh-CN"/>
              </w:rPr>
              <w:t>m</w:t>
            </w:r>
            <w:r>
              <w:rPr>
                <w:rFonts w:hint="eastAsia" w:ascii="Times New Roman" w:eastAsia="宋体"/>
                <w:sz w:val="24"/>
                <w:highlight w:val="none"/>
                <w:u w:val="single"/>
                <w:vertAlign w:val="superscript"/>
                <w:lang w:val="en-US" w:eastAsia="zh-CN"/>
              </w:rPr>
              <w:t>3</w:t>
            </w:r>
            <w:r>
              <w:rPr>
                <w:rFonts w:hint="eastAsia" w:ascii="Times New Roman" w:eastAsia="宋体"/>
                <w:sz w:val="24"/>
                <w:highlight w:val="none"/>
                <w:u w:val="single"/>
                <w:lang w:val="en-US" w:eastAsia="zh-CN"/>
              </w:rPr>
              <w:t>/a</w:t>
            </w:r>
            <w:r>
              <w:rPr>
                <w:rFonts w:hint="eastAsia"/>
                <w:sz w:val="24"/>
                <w:highlight w:val="none"/>
                <w:u w:val="single"/>
                <w:lang w:val="en-US" w:eastAsia="zh-CN"/>
              </w:rPr>
              <w:t>，鹌鹑蛋320.54</w:t>
            </w:r>
            <w:r>
              <w:rPr>
                <w:rFonts w:hint="eastAsia" w:ascii="Times New Roman" w:eastAsia="宋体"/>
                <w:sz w:val="24"/>
                <w:highlight w:val="none"/>
                <w:u w:val="single"/>
                <w:lang w:val="en-US" w:eastAsia="zh-CN"/>
              </w:rPr>
              <w:t>m</w:t>
            </w:r>
            <w:r>
              <w:rPr>
                <w:rFonts w:hint="eastAsia" w:ascii="Times New Roman" w:eastAsia="宋体"/>
                <w:sz w:val="24"/>
                <w:highlight w:val="none"/>
                <w:u w:val="single"/>
                <w:vertAlign w:val="superscript"/>
                <w:lang w:val="en-US" w:eastAsia="zh-CN"/>
              </w:rPr>
              <w:t>3</w:t>
            </w:r>
            <w:r>
              <w:rPr>
                <w:rFonts w:hint="eastAsia" w:ascii="Times New Roman" w:eastAsia="宋体"/>
                <w:sz w:val="24"/>
                <w:highlight w:val="none"/>
                <w:u w:val="single"/>
                <w:lang w:val="en-US" w:eastAsia="zh-CN"/>
              </w:rPr>
              <w:t>/a</w:t>
            </w:r>
            <w:r>
              <w:rPr>
                <w:rFonts w:hint="eastAsia"/>
                <w:sz w:val="24"/>
                <w:highlight w:val="none"/>
                <w:u w:val="single"/>
                <w:lang w:val="en-US" w:eastAsia="zh-CN"/>
              </w:rPr>
              <w:t>），排水系数取0.8，则本项目废水产生量为329.39</w:t>
            </w:r>
            <w:r>
              <w:rPr>
                <w:rFonts w:hint="eastAsia" w:ascii="Times New Roman" w:eastAsia="宋体"/>
                <w:sz w:val="24"/>
                <w:highlight w:val="none"/>
                <w:u w:val="single"/>
                <w:lang w:val="en-US" w:eastAsia="zh-CN"/>
              </w:rPr>
              <w:t>m</w:t>
            </w:r>
            <w:r>
              <w:rPr>
                <w:rFonts w:hint="eastAsia" w:ascii="Times New Roman" w:eastAsia="宋体"/>
                <w:sz w:val="24"/>
                <w:highlight w:val="none"/>
                <w:u w:val="single"/>
                <w:vertAlign w:val="superscript"/>
                <w:lang w:val="en-US" w:eastAsia="zh-CN"/>
              </w:rPr>
              <w:t>3</w:t>
            </w:r>
            <w:r>
              <w:rPr>
                <w:rFonts w:hint="eastAsia" w:ascii="Times New Roman" w:eastAsia="宋体"/>
                <w:sz w:val="24"/>
                <w:highlight w:val="none"/>
                <w:u w:val="single"/>
                <w:lang w:val="en-US" w:eastAsia="zh-CN"/>
              </w:rPr>
              <w:t>/a</w:t>
            </w:r>
            <w:r>
              <w:rPr>
                <w:rFonts w:hint="eastAsia"/>
                <w:sz w:val="24"/>
                <w:highlight w:val="none"/>
                <w:u w:val="single"/>
                <w:lang w:val="en-US" w:eastAsia="zh-CN"/>
              </w:rPr>
              <w:t>（肉制品72.96</w:t>
            </w:r>
            <w:r>
              <w:rPr>
                <w:rFonts w:hint="eastAsia" w:ascii="Times New Roman" w:eastAsia="宋体"/>
                <w:sz w:val="24"/>
                <w:highlight w:val="none"/>
                <w:u w:val="single"/>
                <w:lang w:val="en-US" w:eastAsia="zh-CN"/>
              </w:rPr>
              <w:t>m</w:t>
            </w:r>
            <w:r>
              <w:rPr>
                <w:rFonts w:hint="eastAsia" w:ascii="Times New Roman" w:eastAsia="宋体"/>
                <w:sz w:val="24"/>
                <w:highlight w:val="none"/>
                <w:u w:val="single"/>
                <w:vertAlign w:val="superscript"/>
                <w:lang w:val="en-US" w:eastAsia="zh-CN"/>
              </w:rPr>
              <w:t>3</w:t>
            </w:r>
            <w:r>
              <w:rPr>
                <w:rFonts w:hint="eastAsia" w:ascii="Times New Roman" w:eastAsia="宋体"/>
                <w:sz w:val="24"/>
                <w:highlight w:val="none"/>
                <w:u w:val="single"/>
                <w:lang w:val="en-US" w:eastAsia="zh-CN"/>
              </w:rPr>
              <w:t>/a</w:t>
            </w:r>
            <w:r>
              <w:rPr>
                <w:rFonts w:hint="eastAsia"/>
                <w:sz w:val="24"/>
                <w:highlight w:val="none"/>
                <w:u w:val="single"/>
                <w:lang w:val="en-US" w:eastAsia="zh-CN"/>
              </w:rPr>
              <w:t>，鹌鹑蛋256.43</w:t>
            </w:r>
            <w:r>
              <w:rPr>
                <w:rFonts w:hint="eastAsia" w:ascii="Times New Roman" w:eastAsia="宋体"/>
                <w:sz w:val="24"/>
                <w:highlight w:val="none"/>
                <w:u w:val="single"/>
                <w:lang w:val="en-US" w:eastAsia="zh-CN"/>
              </w:rPr>
              <w:t>m</w:t>
            </w:r>
            <w:r>
              <w:rPr>
                <w:rFonts w:hint="eastAsia" w:ascii="Times New Roman" w:eastAsia="宋体"/>
                <w:sz w:val="24"/>
                <w:highlight w:val="none"/>
                <w:u w:val="single"/>
                <w:vertAlign w:val="superscript"/>
                <w:lang w:val="en-US" w:eastAsia="zh-CN"/>
              </w:rPr>
              <w:t>3</w:t>
            </w:r>
            <w:r>
              <w:rPr>
                <w:rFonts w:hint="eastAsia" w:ascii="Times New Roman" w:eastAsia="宋体"/>
                <w:sz w:val="24"/>
                <w:highlight w:val="none"/>
                <w:u w:val="single"/>
                <w:lang w:val="en-US" w:eastAsia="zh-CN"/>
              </w:rPr>
              <w:t>/a</w:t>
            </w:r>
            <w:r>
              <w:rPr>
                <w:rFonts w:hint="eastAsia"/>
                <w:sz w:val="24"/>
                <w:highlight w:val="none"/>
                <w:u w:val="single"/>
                <w:lang w:val="en-US" w:eastAsia="zh-CN"/>
              </w:rPr>
              <w:t>）。</w:t>
            </w:r>
          </w:p>
          <w:p w14:paraId="3DF71A3B">
            <w:pPr>
              <w:keepNext w:val="0"/>
              <w:keepLines w:val="0"/>
              <w:widowControl/>
              <w:numPr>
                <w:ilvl w:val="0"/>
                <w:numId w:val="9"/>
              </w:numPr>
              <w:suppressLineNumbers w:val="0"/>
              <w:spacing w:before="0" w:beforeAutospacing="0" w:after="0" w:afterAutospacing="0" w:line="360" w:lineRule="auto"/>
              <w:ind w:left="0" w:right="0" w:firstLine="480" w:firstLineChars="200"/>
              <w:rPr>
                <w:rFonts w:hint="default"/>
                <w:sz w:val="24"/>
                <w:u w:val="single"/>
                <w:lang w:val="en-US"/>
              </w:rPr>
            </w:pPr>
            <w:r>
              <w:rPr>
                <w:rFonts w:hint="eastAsia"/>
                <w:sz w:val="24"/>
                <w:u w:val="single"/>
                <w:lang w:val="en-US" w:eastAsia="zh-CN"/>
              </w:rPr>
              <w:t>生活用水</w:t>
            </w:r>
          </w:p>
          <w:p w14:paraId="75943265">
            <w:pPr>
              <w:keepNext w:val="0"/>
              <w:keepLines w:val="0"/>
              <w:widowControl/>
              <w:suppressLineNumbers w:val="0"/>
              <w:spacing w:before="0" w:beforeAutospacing="0" w:after="0" w:afterAutospacing="0" w:line="360" w:lineRule="auto"/>
              <w:ind w:left="0" w:right="0" w:firstLine="480" w:firstLineChars="200"/>
              <w:contextualSpacing/>
              <w:rPr>
                <w:rFonts w:hint="default"/>
                <w:color w:val="auto"/>
                <w:u w:val="single"/>
                <w:lang w:val="en-US"/>
              </w:rPr>
            </w:pPr>
            <w:r>
              <w:rPr>
                <w:rFonts w:hint="eastAsia"/>
                <w:sz w:val="24"/>
                <w:u w:val="single"/>
                <w:lang w:val="en-US" w:eastAsia="zh-CN"/>
              </w:rPr>
              <w:t>本项目新增劳动定员85人，年工作时间250天，日工作时间24小时倒班制，员工在厂区食宿，按照人均用水量145L/人</w:t>
            </w:r>
            <w:r>
              <w:rPr>
                <w:rFonts w:hint="default" w:ascii="Times New Roman" w:hAnsi="Times New Roman" w:cs="Times New Roman"/>
                <w:sz w:val="24"/>
                <w:u w:val="single"/>
                <w:lang w:val="en-US" w:eastAsia="zh-CN"/>
              </w:rPr>
              <w:t>·</w:t>
            </w:r>
            <w:r>
              <w:rPr>
                <w:rFonts w:hint="eastAsia"/>
                <w:sz w:val="24"/>
                <w:u w:val="single"/>
                <w:lang w:val="en-US" w:eastAsia="zh-CN"/>
              </w:rPr>
              <w:t>d计算，则总用水量为3081.25m</w:t>
            </w:r>
            <w:r>
              <w:rPr>
                <w:rFonts w:hint="eastAsia"/>
                <w:sz w:val="24"/>
                <w:u w:val="single"/>
                <w:vertAlign w:val="superscript"/>
                <w:lang w:val="en-US" w:eastAsia="zh-CN"/>
              </w:rPr>
              <w:t>3</w:t>
            </w:r>
            <w:r>
              <w:rPr>
                <w:rFonts w:hint="eastAsia"/>
                <w:sz w:val="24"/>
                <w:u w:val="single"/>
                <w:lang w:val="en-US" w:eastAsia="zh-CN"/>
              </w:rPr>
              <w:t>/a，排污系数折算0.8，生活污水排放量为2465m</w:t>
            </w:r>
            <w:r>
              <w:rPr>
                <w:rFonts w:hint="eastAsia"/>
                <w:sz w:val="24"/>
                <w:u w:val="single"/>
                <w:vertAlign w:val="superscript"/>
                <w:lang w:val="en-US" w:eastAsia="zh-CN"/>
              </w:rPr>
              <w:t>3</w:t>
            </w:r>
            <w:r>
              <w:rPr>
                <w:rFonts w:hint="eastAsia"/>
                <w:sz w:val="24"/>
                <w:u w:val="single"/>
                <w:lang w:val="en-US" w:eastAsia="zh-CN"/>
              </w:rPr>
              <w:t>/a。</w:t>
            </w:r>
          </w:p>
          <w:p w14:paraId="1B5554DF">
            <w:pPr>
              <w:pStyle w:val="41"/>
              <w:keepNext w:val="0"/>
              <w:keepLines w:val="0"/>
              <w:suppressLineNumbers w:val="0"/>
              <w:snapToGrid w:val="0"/>
              <w:spacing w:before="0" w:beforeAutospacing="0" w:after="0" w:afterAutospacing="0" w:line="360" w:lineRule="auto"/>
              <w:ind w:left="0" w:right="0" w:firstLine="480" w:firstLineChars="200"/>
              <w:rPr>
                <w:rFonts w:hint="default"/>
                <w:color w:val="auto"/>
                <w:highlight w:val="none"/>
                <w:u w:val="single"/>
                <w:lang w:val="en-US" w:eastAsia="zh-CN"/>
              </w:rPr>
            </w:pPr>
            <w:r>
              <w:rPr>
                <w:rFonts w:hint="default"/>
                <w:color w:val="auto"/>
                <w:szCs w:val="20"/>
                <w:highlight w:val="none"/>
                <w:u w:val="single"/>
              </w:rPr>
              <w:t>综上所述，本项目总用水量</w:t>
            </w:r>
            <w:r>
              <w:rPr>
                <w:rFonts w:hint="eastAsia"/>
                <w:color w:val="auto"/>
                <w:szCs w:val="20"/>
                <w:highlight w:val="none"/>
                <w:u w:val="single"/>
                <w:lang w:val="en-US" w:eastAsia="zh-CN"/>
              </w:rPr>
              <w:t>94021.79</w:t>
            </w:r>
            <w:r>
              <w:rPr>
                <w:rFonts w:hint="default"/>
                <w:color w:val="auto"/>
                <w:highlight w:val="none"/>
                <w:u w:val="single"/>
              </w:rPr>
              <w:t>t</w:t>
            </w:r>
            <w:r>
              <w:rPr>
                <w:rFonts w:hint="default"/>
                <w:color w:val="auto"/>
                <w:szCs w:val="20"/>
                <w:highlight w:val="none"/>
                <w:u w:val="single"/>
              </w:rPr>
              <w:t>/a，项目总排水量为</w:t>
            </w:r>
            <w:r>
              <w:rPr>
                <w:rFonts w:hint="eastAsia"/>
                <w:color w:val="auto"/>
                <w:szCs w:val="20"/>
                <w:highlight w:val="none"/>
                <w:u w:val="single"/>
                <w:lang w:val="en-US" w:eastAsia="zh-CN"/>
              </w:rPr>
              <w:t>69110.39</w:t>
            </w:r>
            <w:r>
              <w:rPr>
                <w:rFonts w:hint="default"/>
                <w:color w:val="auto"/>
                <w:highlight w:val="none"/>
                <w:u w:val="single"/>
              </w:rPr>
              <w:t>t/a</w:t>
            </w:r>
            <w:r>
              <w:rPr>
                <w:rFonts w:hint="eastAsia"/>
                <w:color w:val="auto"/>
                <w:highlight w:val="none"/>
                <w:u w:val="single"/>
                <w:lang w:eastAsia="zh-CN"/>
              </w:rPr>
              <w:t>，</w:t>
            </w:r>
            <w:r>
              <w:rPr>
                <w:rFonts w:hint="eastAsia"/>
                <w:color w:val="auto"/>
                <w:highlight w:val="none"/>
                <w:u w:val="single"/>
                <w:lang w:val="en-US" w:eastAsia="zh-CN"/>
              </w:rPr>
              <w:t>本项目总用排水量见下表2-10，水平衡见下图2-1。</w:t>
            </w:r>
          </w:p>
          <w:p w14:paraId="107D0951">
            <w:pPr>
              <w:pStyle w:val="41"/>
              <w:keepNext w:val="0"/>
              <w:keepLines w:val="0"/>
              <w:suppressLineNumbers w:val="0"/>
              <w:autoSpaceDE/>
              <w:autoSpaceDN/>
              <w:snapToGrid w:val="0"/>
              <w:spacing w:before="0" w:beforeAutospacing="0" w:after="0" w:afterAutospacing="0" w:line="240" w:lineRule="auto"/>
              <w:ind w:left="0" w:right="0" w:firstLine="0" w:firstLineChars="0"/>
              <w:jc w:val="center"/>
              <w:rPr>
                <w:rFonts w:hint="eastAsia"/>
                <w:color w:val="auto"/>
                <w:szCs w:val="20"/>
                <w:highlight w:val="none"/>
                <w:u w:val="single"/>
                <w:lang w:val="en-US" w:eastAsia="zh-CN"/>
              </w:rPr>
            </w:pPr>
            <w:r>
              <w:rPr>
                <w:rFonts w:hint="eastAsia"/>
                <w:b/>
                <w:bCs/>
                <w:color w:val="auto"/>
                <w:szCs w:val="24"/>
                <w:u w:val="single"/>
                <w:lang w:val="en-US" w:eastAsia="zh-CN"/>
              </w:rPr>
              <w:t>表2-10</w:t>
            </w:r>
            <w:r>
              <w:rPr>
                <w:rFonts w:hint="eastAsia"/>
                <w:color w:val="auto"/>
                <w:szCs w:val="20"/>
                <w:highlight w:val="none"/>
                <w:u w:val="single"/>
                <w:lang w:val="en-US" w:eastAsia="zh-CN"/>
              </w:rPr>
              <w:t xml:space="preserve"> 项目总用排水量一览表</w:t>
            </w:r>
          </w:p>
          <w:tbl>
            <w:tblPr>
              <w:tblStyle w:val="25"/>
              <w:tblW w:w="4998"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68"/>
              <w:gridCol w:w="1383"/>
              <w:gridCol w:w="1341"/>
              <w:gridCol w:w="1336"/>
              <w:gridCol w:w="1871"/>
            </w:tblGrid>
            <w:tr w14:paraId="2F2FF3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5D6E45E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用水类型</w:t>
                  </w:r>
                </w:p>
              </w:tc>
              <w:tc>
                <w:tcPr>
                  <w:tcW w:w="833" w:type="pct"/>
                  <w:tcBorders>
                    <w:tl2br w:val="nil"/>
                    <w:tr2bl w:val="nil"/>
                  </w:tcBorders>
                  <w:vAlign w:val="center"/>
                </w:tcPr>
                <w:p w14:paraId="51A6D54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用水量t/a</w:t>
                  </w:r>
                </w:p>
              </w:tc>
              <w:tc>
                <w:tcPr>
                  <w:tcW w:w="807" w:type="pct"/>
                  <w:tcBorders>
                    <w:tl2br w:val="nil"/>
                    <w:tr2bl w:val="nil"/>
                  </w:tcBorders>
                  <w:vAlign w:val="center"/>
                </w:tcPr>
                <w:p w14:paraId="070FEB8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排水系数</w:t>
                  </w:r>
                </w:p>
              </w:tc>
              <w:tc>
                <w:tcPr>
                  <w:tcW w:w="804" w:type="pct"/>
                  <w:tcBorders>
                    <w:tl2br w:val="nil"/>
                    <w:tr2bl w:val="nil"/>
                  </w:tcBorders>
                  <w:vAlign w:val="center"/>
                </w:tcPr>
                <w:p w14:paraId="0397FFA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排水量t/a</w:t>
                  </w:r>
                </w:p>
              </w:tc>
              <w:tc>
                <w:tcPr>
                  <w:tcW w:w="1126" w:type="pct"/>
                  <w:tcBorders>
                    <w:tl2br w:val="nil"/>
                    <w:tr2bl w:val="nil"/>
                  </w:tcBorders>
                  <w:vAlign w:val="center"/>
                </w:tcPr>
                <w:p w14:paraId="4BCDAD3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u w:val="single"/>
                      <w:vertAlign w:val="baseline"/>
                      <w:lang w:val="en-US" w:eastAsia="zh-CN"/>
                    </w:rPr>
                  </w:pPr>
                  <w:r>
                    <w:rPr>
                      <w:rFonts w:hint="eastAsia"/>
                      <w:b/>
                      <w:bCs/>
                      <w:sz w:val="21"/>
                      <w:szCs w:val="21"/>
                      <w:u w:val="single"/>
                      <w:vertAlign w:val="baseline"/>
                      <w:lang w:val="en-US" w:eastAsia="zh-CN"/>
                    </w:rPr>
                    <w:t>备注</w:t>
                  </w:r>
                </w:p>
              </w:tc>
            </w:tr>
            <w:tr w14:paraId="1DC441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65845E80">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肉制品前端预处理用水</w:t>
                  </w:r>
                </w:p>
              </w:tc>
              <w:tc>
                <w:tcPr>
                  <w:tcW w:w="833" w:type="pct"/>
                  <w:tcBorders>
                    <w:tl2br w:val="nil"/>
                    <w:tr2bl w:val="nil"/>
                  </w:tcBorders>
                  <w:vAlign w:val="center"/>
                </w:tcPr>
                <w:p w14:paraId="79F9911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18200</w:t>
                  </w:r>
                </w:p>
              </w:tc>
              <w:tc>
                <w:tcPr>
                  <w:tcW w:w="807" w:type="pct"/>
                  <w:tcBorders>
                    <w:tl2br w:val="nil"/>
                    <w:tr2bl w:val="nil"/>
                  </w:tcBorders>
                  <w:vAlign w:val="center"/>
                </w:tcPr>
                <w:p w14:paraId="690B791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0.9</w:t>
                  </w:r>
                </w:p>
              </w:tc>
              <w:tc>
                <w:tcPr>
                  <w:tcW w:w="804" w:type="pct"/>
                  <w:tcBorders>
                    <w:tl2br w:val="nil"/>
                    <w:tr2bl w:val="nil"/>
                  </w:tcBorders>
                  <w:vAlign w:val="center"/>
                </w:tcPr>
                <w:p w14:paraId="7F42AA9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16692</w:t>
                  </w:r>
                </w:p>
              </w:tc>
              <w:tc>
                <w:tcPr>
                  <w:tcW w:w="1126" w:type="pct"/>
                  <w:tcBorders>
                    <w:tl2br w:val="nil"/>
                    <w:tr2bl w:val="nil"/>
                  </w:tcBorders>
                  <w:vAlign w:val="center"/>
                </w:tcPr>
                <w:p w14:paraId="0E87A67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排水量包含312t解冻废水</w:t>
                  </w:r>
                </w:p>
              </w:tc>
            </w:tr>
            <w:tr w14:paraId="6F485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37BBED3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肉制品卤制用水</w:t>
                  </w:r>
                </w:p>
              </w:tc>
              <w:tc>
                <w:tcPr>
                  <w:tcW w:w="833" w:type="pct"/>
                  <w:tcBorders>
                    <w:tl2br w:val="nil"/>
                    <w:tr2bl w:val="nil"/>
                  </w:tcBorders>
                  <w:vAlign w:val="center"/>
                </w:tcPr>
                <w:p w14:paraId="184C5BB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528.8</w:t>
                  </w:r>
                </w:p>
              </w:tc>
              <w:tc>
                <w:tcPr>
                  <w:tcW w:w="807" w:type="pct"/>
                  <w:tcBorders>
                    <w:tl2br w:val="nil"/>
                    <w:tr2bl w:val="nil"/>
                  </w:tcBorders>
                  <w:vAlign w:val="center"/>
                </w:tcPr>
                <w:p w14:paraId="2E9EBEB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c>
                <w:tcPr>
                  <w:tcW w:w="804" w:type="pct"/>
                  <w:tcBorders>
                    <w:tl2br w:val="nil"/>
                    <w:tr2bl w:val="nil"/>
                  </w:tcBorders>
                  <w:vAlign w:val="center"/>
                </w:tcPr>
                <w:p w14:paraId="29AE2A7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24</w:t>
                  </w:r>
                </w:p>
              </w:tc>
              <w:tc>
                <w:tcPr>
                  <w:tcW w:w="1126" w:type="pct"/>
                  <w:tcBorders>
                    <w:tl2br w:val="nil"/>
                    <w:tr2bl w:val="nil"/>
                  </w:tcBorders>
                  <w:vAlign w:val="center"/>
                </w:tcPr>
                <w:p w14:paraId="056A496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产生废水为卤锅废水更换</w:t>
                  </w:r>
                </w:p>
              </w:tc>
            </w:tr>
            <w:tr w14:paraId="692F76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7FA5C63D">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蛋制品前端预处理用水</w:t>
                  </w:r>
                </w:p>
              </w:tc>
              <w:tc>
                <w:tcPr>
                  <w:tcW w:w="833" w:type="pct"/>
                  <w:tcBorders>
                    <w:tl2br w:val="nil"/>
                    <w:tr2bl w:val="nil"/>
                  </w:tcBorders>
                  <w:vAlign w:val="center"/>
                </w:tcPr>
                <w:p w14:paraId="3037044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30000</w:t>
                  </w:r>
                </w:p>
              </w:tc>
              <w:tc>
                <w:tcPr>
                  <w:tcW w:w="807" w:type="pct"/>
                  <w:tcBorders>
                    <w:tl2br w:val="nil"/>
                    <w:tr2bl w:val="nil"/>
                  </w:tcBorders>
                  <w:vAlign w:val="center"/>
                </w:tcPr>
                <w:p w14:paraId="4074016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c>
                <w:tcPr>
                  <w:tcW w:w="804" w:type="pct"/>
                  <w:tcBorders>
                    <w:tl2br w:val="nil"/>
                    <w:tr2bl w:val="nil"/>
                  </w:tcBorders>
                  <w:vAlign w:val="center"/>
                </w:tcPr>
                <w:p w14:paraId="4443FB9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25000</w:t>
                  </w:r>
                </w:p>
              </w:tc>
              <w:tc>
                <w:tcPr>
                  <w:tcW w:w="1126" w:type="pct"/>
                  <w:tcBorders>
                    <w:tl2br w:val="nil"/>
                    <w:tr2bl w:val="nil"/>
                  </w:tcBorders>
                  <w:vAlign w:val="center"/>
                </w:tcPr>
                <w:p w14:paraId="62DB33FD">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5269CC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1F5680E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产品洗袋用水</w:t>
                  </w:r>
                </w:p>
              </w:tc>
              <w:tc>
                <w:tcPr>
                  <w:tcW w:w="833" w:type="pct"/>
                  <w:tcBorders>
                    <w:tl2br w:val="nil"/>
                    <w:tr2bl w:val="nil"/>
                  </w:tcBorders>
                  <w:vAlign w:val="center"/>
                </w:tcPr>
                <w:p w14:paraId="66DF72D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19500</w:t>
                  </w:r>
                </w:p>
              </w:tc>
              <w:tc>
                <w:tcPr>
                  <w:tcW w:w="807" w:type="pct"/>
                  <w:tcBorders>
                    <w:tl2br w:val="nil"/>
                    <w:tr2bl w:val="nil"/>
                  </w:tcBorders>
                  <w:vAlign w:val="center"/>
                </w:tcPr>
                <w:p w14:paraId="0018A9D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0.9</w:t>
                  </w:r>
                </w:p>
              </w:tc>
              <w:tc>
                <w:tcPr>
                  <w:tcW w:w="804" w:type="pct"/>
                  <w:tcBorders>
                    <w:tl2br w:val="nil"/>
                    <w:tr2bl w:val="nil"/>
                  </w:tcBorders>
                  <w:vAlign w:val="center"/>
                </w:tcPr>
                <w:p w14:paraId="6CA7120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17550</w:t>
                  </w:r>
                </w:p>
              </w:tc>
              <w:tc>
                <w:tcPr>
                  <w:tcW w:w="1126" w:type="pct"/>
                  <w:tcBorders>
                    <w:tl2br w:val="nil"/>
                    <w:tr2bl w:val="nil"/>
                  </w:tcBorders>
                  <w:vAlign w:val="center"/>
                </w:tcPr>
                <w:p w14:paraId="5538B9A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用水量中7500t来自于锅炉冷凝水</w:t>
                  </w:r>
                </w:p>
              </w:tc>
            </w:tr>
            <w:tr w14:paraId="6E3D31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7BD78C5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设备清洗用水</w:t>
                  </w:r>
                </w:p>
              </w:tc>
              <w:tc>
                <w:tcPr>
                  <w:tcW w:w="833" w:type="pct"/>
                  <w:tcBorders>
                    <w:tl2br w:val="nil"/>
                    <w:tr2bl w:val="nil"/>
                  </w:tcBorders>
                  <w:vAlign w:val="center"/>
                </w:tcPr>
                <w:p w14:paraId="4C57449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7875</w:t>
                  </w:r>
                </w:p>
              </w:tc>
              <w:tc>
                <w:tcPr>
                  <w:tcW w:w="807" w:type="pct"/>
                  <w:tcBorders>
                    <w:tl2br w:val="nil"/>
                    <w:tr2bl w:val="nil"/>
                  </w:tcBorders>
                  <w:vAlign w:val="center"/>
                </w:tcPr>
                <w:p w14:paraId="4D10CA0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0.8</w:t>
                  </w:r>
                </w:p>
              </w:tc>
              <w:tc>
                <w:tcPr>
                  <w:tcW w:w="804" w:type="pct"/>
                  <w:tcBorders>
                    <w:tl2br w:val="nil"/>
                    <w:tr2bl w:val="nil"/>
                  </w:tcBorders>
                  <w:vAlign w:val="center"/>
                </w:tcPr>
                <w:p w14:paraId="1294BE6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6300</w:t>
                  </w:r>
                </w:p>
              </w:tc>
              <w:tc>
                <w:tcPr>
                  <w:tcW w:w="1126" w:type="pct"/>
                  <w:tcBorders>
                    <w:tl2br w:val="nil"/>
                    <w:tr2bl w:val="nil"/>
                  </w:tcBorders>
                  <w:vAlign w:val="center"/>
                </w:tcPr>
                <w:p w14:paraId="6A493B9C">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7DDE30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40A27272">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地面清洗用水</w:t>
                  </w:r>
                </w:p>
              </w:tc>
              <w:tc>
                <w:tcPr>
                  <w:tcW w:w="833" w:type="pct"/>
                  <w:tcBorders>
                    <w:tl2br w:val="nil"/>
                    <w:tr2bl w:val="nil"/>
                  </w:tcBorders>
                  <w:vAlign w:val="center"/>
                </w:tcPr>
                <w:p w14:paraId="4557516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411.74</w:t>
                  </w:r>
                </w:p>
              </w:tc>
              <w:tc>
                <w:tcPr>
                  <w:tcW w:w="807" w:type="pct"/>
                  <w:tcBorders>
                    <w:tl2br w:val="nil"/>
                    <w:tr2bl w:val="nil"/>
                  </w:tcBorders>
                  <w:vAlign w:val="center"/>
                </w:tcPr>
                <w:p w14:paraId="1B98C29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0.8</w:t>
                  </w:r>
                </w:p>
              </w:tc>
              <w:tc>
                <w:tcPr>
                  <w:tcW w:w="804" w:type="pct"/>
                  <w:tcBorders>
                    <w:tl2br w:val="nil"/>
                    <w:tr2bl w:val="nil"/>
                  </w:tcBorders>
                  <w:vAlign w:val="center"/>
                </w:tcPr>
                <w:p w14:paraId="03862E0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329.39</w:t>
                  </w:r>
                </w:p>
              </w:tc>
              <w:tc>
                <w:tcPr>
                  <w:tcW w:w="1126" w:type="pct"/>
                  <w:tcBorders>
                    <w:tl2br w:val="nil"/>
                    <w:tr2bl w:val="nil"/>
                  </w:tcBorders>
                  <w:vAlign w:val="center"/>
                </w:tcPr>
                <w:p w14:paraId="2C00D10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7B714A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1D68361D">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锅炉用水</w:t>
                  </w:r>
                </w:p>
              </w:tc>
              <w:tc>
                <w:tcPr>
                  <w:tcW w:w="833" w:type="pct"/>
                  <w:tcBorders>
                    <w:tl2br w:val="nil"/>
                    <w:tr2bl w:val="nil"/>
                  </w:tcBorders>
                  <w:vAlign w:val="center"/>
                </w:tcPr>
                <w:p w14:paraId="6BF74BB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21925</w:t>
                  </w:r>
                </w:p>
              </w:tc>
              <w:tc>
                <w:tcPr>
                  <w:tcW w:w="807" w:type="pct"/>
                  <w:tcBorders>
                    <w:tl2br w:val="nil"/>
                    <w:tr2bl w:val="nil"/>
                  </w:tcBorders>
                  <w:vAlign w:val="center"/>
                </w:tcPr>
                <w:p w14:paraId="1B0909F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c>
                <w:tcPr>
                  <w:tcW w:w="804" w:type="pct"/>
                  <w:tcBorders>
                    <w:tl2br w:val="nil"/>
                    <w:tr2bl w:val="nil"/>
                  </w:tcBorders>
                  <w:vAlign w:val="center"/>
                </w:tcPr>
                <w:p w14:paraId="66064FA7">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750</w:t>
                  </w:r>
                </w:p>
              </w:tc>
              <w:tc>
                <w:tcPr>
                  <w:tcW w:w="1126" w:type="pct"/>
                  <w:tcBorders>
                    <w:tl2br w:val="nil"/>
                    <w:tr2bl w:val="nil"/>
                  </w:tcBorders>
                  <w:vAlign w:val="center"/>
                </w:tcPr>
                <w:p w14:paraId="050FF446">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300t定期排污水和450t冷凝水</w:t>
                  </w:r>
                </w:p>
              </w:tc>
            </w:tr>
            <w:tr w14:paraId="702CD4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288568F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生活用水</w:t>
                  </w:r>
                </w:p>
              </w:tc>
              <w:tc>
                <w:tcPr>
                  <w:tcW w:w="833" w:type="pct"/>
                  <w:tcBorders>
                    <w:tl2br w:val="nil"/>
                    <w:tr2bl w:val="nil"/>
                  </w:tcBorders>
                  <w:vAlign w:val="center"/>
                </w:tcPr>
                <w:p w14:paraId="4CE9332F">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3081.25</w:t>
                  </w:r>
                </w:p>
              </w:tc>
              <w:tc>
                <w:tcPr>
                  <w:tcW w:w="807" w:type="pct"/>
                  <w:tcBorders>
                    <w:tl2br w:val="nil"/>
                    <w:tr2bl w:val="nil"/>
                  </w:tcBorders>
                  <w:vAlign w:val="center"/>
                </w:tcPr>
                <w:p w14:paraId="0971470B">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0.8</w:t>
                  </w:r>
                </w:p>
              </w:tc>
              <w:tc>
                <w:tcPr>
                  <w:tcW w:w="804" w:type="pct"/>
                  <w:tcBorders>
                    <w:tl2br w:val="nil"/>
                    <w:tr2bl w:val="nil"/>
                  </w:tcBorders>
                  <w:vAlign w:val="center"/>
                </w:tcPr>
                <w:p w14:paraId="0A604F64">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2465</w:t>
                  </w:r>
                </w:p>
              </w:tc>
              <w:tc>
                <w:tcPr>
                  <w:tcW w:w="1126" w:type="pct"/>
                  <w:tcBorders>
                    <w:tl2br w:val="nil"/>
                    <w:tr2bl w:val="nil"/>
                  </w:tcBorders>
                  <w:vAlign w:val="center"/>
                </w:tcPr>
                <w:p w14:paraId="617B131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r w14:paraId="1A5597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6" w:type="pct"/>
                  <w:tcBorders>
                    <w:tl2br w:val="nil"/>
                    <w:tr2bl w:val="nil"/>
                  </w:tcBorders>
                  <w:vAlign w:val="center"/>
                </w:tcPr>
                <w:p w14:paraId="3C9B7F6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合计</w:t>
                  </w:r>
                </w:p>
              </w:tc>
              <w:tc>
                <w:tcPr>
                  <w:tcW w:w="833" w:type="pct"/>
                  <w:tcBorders>
                    <w:tl2br w:val="nil"/>
                    <w:tr2bl w:val="nil"/>
                  </w:tcBorders>
                  <w:vAlign w:val="center"/>
                </w:tcPr>
                <w:p w14:paraId="19B2467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94021.79</w:t>
                  </w:r>
                </w:p>
              </w:tc>
              <w:tc>
                <w:tcPr>
                  <w:tcW w:w="807" w:type="pct"/>
                  <w:tcBorders>
                    <w:tl2br w:val="nil"/>
                    <w:tr2bl w:val="nil"/>
                  </w:tcBorders>
                  <w:vAlign w:val="center"/>
                </w:tcPr>
                <w:p w14:paraId="638F2CA1">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c>
                <w:tcPr>
                  <w:tcW w:w="804" w:type="pct"/>
                  <w:tcBorders>
                    <w:tl2br w:val="nil"/>
                    <w:tr2bl w:val="nil"/>
                  </w:tcBorders>
                  <w:vAlign w:val="center"/>
                </w:tcPr>
                <w:p w14:paraId="3FB82DD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69110.39</w:t>
                  </w:r>
                </w:p>
              </w:tc>
              <w:tc>
                <w:tcPr>
                  <w:tcW w:w="1126" w:type="pct"/>
                  <w:tcBorders>
                    <w:tl2br w:val="nil"/>
                    <w:tr2bl w:val="nil"/>
                  </w:tcBorders>
                  <w:vAlign w:val="center"/>
                </w:tcPr>
                <w:p w14:paraId="167573C3">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u w:val="single"/>
                      <w:vertAlign w:val="baseline"/>
                      <w:lang w:val="en-US" w:eastAsia="zh-CN"/>
                    </w:rPr>
                  </w:pPr>
                  <w:r>
                    <w:rPr>
                      <w:rFonts w:hint="eastAsia"/>
                      <w:sz w:val="21"/>
                      <w:szCs w:val="21"/>
                      <w:u w:val="single"/>
                      <w:vertAlign w:val="baseline"/>
                      <w:lang w:val="en-US" w:eastAsia="zh-CN"/>
                    </w:rPr>
                    <w:t>/</w:t>
                  </w:r>
                </w:p>
              </w:tc>
            </w:tr>
          </w:tbl>
          <w:p w14:paraId="496DDB4F">
            <w:pPr>
              <w:pStyle w:val="41"/>
              <w:keepNext w:val="0"/>
              <w:keepLines w:val="0"/>
              <w:suppressLineNumbers w:val="0"/>
              <w:snapToGrid w:val="0"/>
              <w:spacing w:before="0" w:beforeAutospacing="0" w:after="0" w:afterAutospacing="0" w:line="360" w:lineRule="auto"/>
              <w:ind w:left="0" w:right="0" w:firstLine="480" w:firstLineChars="200"/>
              <w:rPr>
                <w:rFonts w:hint="default"/>
                <w:color w:val="auto"/>
                <w:highlight w:val="yellow"/>
                <w:u w:val="single"/>
              </w:rPr>
            </w:pPr>
          </w:p>
          <w:p w14:paraId="4F328444">
            <w:pPr>
              <w:pStyle w:val="11"/>
              <w:keepNext w:val="0"/>
              <w:keepLines w:val="0"/>
              <w:suppressLineNumbers w:val="0"/>
              <w:spacing w:before="0" w:beforeAutospacing="0" w:after="0" w:afterAutospacing="0" w:line="240" w:lineRule="auto"/>
              <w:ind w:left="0" w:leftChars="0" w:right="0" w:rightChars="0" w:firstLine="0" w:firstLineChars="0"/>
              <w:jc w:val="center"/>
              <w:rPr>
                <w:rFonts w:hint="default"/>
                <w:b/>
                <w:bCs/>
                <w:sz w:val="24"/>
                <w:szCs w:val="24"/>
                <w:u w:val="single"/>
              </w:rPr>
            </w:pPr>
            <w:r>
              <w:rPr>
                <w:rFonts w:hint="default"/>
                <w:b/>
                <w:bCs/>
                <w:sz w:val="24"/>
                <w:szCs w:val="24"/>
                <w:u w:val="single"/>
              </w:rPr>
              <w:object>
                <v:shape id="_x0000_i1025" o:spt="75" type="#_x0000_t75" style="height:373.9pt;width:415.05pt;" o:ole="t" filled="f" o:preferrelative="t" stroked="f" coordsize="21600,21600">
                  <v:path/>
                  <v:fill on="f" focussize="0,0"/>
                  <v:stroke on="f"/>
                  <v:imagedata r:id="rId22" o:title=""/>
                  <o:lock v:ext="edit" aspectratio="f"/>
                  <w10:wrap type="none"/>
                  <w10:anchorlock/>
                </v:shape>
                <o:OLEObject Type="Embed" ProgID="Visio.Drawing.15" ShapeID="_x0000_i1025" DrawAspect="Content" ObjectID="_1468075725" r:id="rId21">
                  <o:LockedField>false</o:LockedField>
                </o:OLEObject>
              </w:object>
            </w:r>
          </w:p>
          <w:p w14:paraId="7B5D570D">
            <w:pPr>
              <w:pStyle w:val="11"/>
              <w:keepNext w:val="0"/>
              <w:keepLines w:val="0"/>
              <w:suppressLineNumbers w:val="0"/>
              <w:spacing w:before="0" w:beforeAutospacing="0" w:after="0" w:afterAutospacing="0" w:line="240" w:lineRule="auto"/>
              <w:ind w:left="0"/>
              <w:jc w:val="center"/>
              <w:rPr>
                <w:rFonts w:hint="default"/>
                <w:b/>
                <w:bCs/>
                <w:sz w:val="24"/>
                <w:szCs w:val="24"/>
                <w:highlight w:val="none"/>
                <w:u w:val="single"/>
              </w:rPr>
            </w:pPr>
            <w:r>
              <w:rPr>
                <w:rFonts w:hint="default"/>
                <w:b/>
                <w:bCs/>
                <w:sz w:val="24"/>
                <w:szCs w:val="24"/>
                <w:highlight w:val="none"/>
                <w:u w:val="single"/>
              </w:rPr>
              <w:t xml:space="preserve">图2-1 </w:t>
            </w:r>
            <w:r>
              <w:rPr>
                <w:rFonts w:hint="eastAsia"/>
                <w:b/>
                <w:bCs/>
                <w:sz w:val="24"/>
                <w:szCs w:val="24"/>
                <w:highlight w:val="none"/>
                <w:u w:val="single"/>
                <w:lang w:val="en-US" w:eastAsia="zh-CN"/>
              </w:rPr>
              <w:t>项目</w:t>
            </w:r>
            <w:r>
              <w:rPr>
                <w:rFonts w:hint="default"/>
                <w:b/>
                <w:bCs/>
                <w:sz w:val="24"/>
                <w:szCs w:val="24"/>
                <w:highlight w:val="none"/>
                <w:u w:val="single"/>
              </w:rPr>
              <w:t>水平衡图 t/a</w:t>
            </w:r>
          </w:p>
          <w:p w14:paraId="04A2CBBC">
            <w:pPr>
              <w:keepNext w:val="0"/>
              <w:keepLines w:val="0"/>
              <w:numPr>
                <w:ilvl w:val="0"/>
                <w:numId w:val="5"/>
              </w:numPr>
              <w:suppressLineNumbers w:val="0"/>
              <w:adjustRightInd w:val="0"/>
              <w:snapToGrid w:val="0"/>
              <w:spacing w:before="0" w:beforeLines="0" w:beforeAutospacing="0" w:after="0" w:afterAutospacing="0" w:line="360" w:lineRule="auto"/>
              <w:ind w:left="0" w:right="0" w:firstLine="0" w:firstLineChars="0"/>
              <w:rPr>
                <w:rFonts w:hint="default"/>
                <w:b/>
                <w:bCs w:val="0"/>
                <w:sz w:val="28"/>
                <w:szCs w:val="28"/>
                <w:highlight w:val="none"/>
              </w:rPr>
            </w:pPr>
            <w:r>
              <w:rPr>
                <w:rFonts w:hint="eastAsia"/>
                <w:b/>
                <w:bCs w:val="0"/>
                <w:sz w:val="28"/>
                <w:szCs w:val="28"/>
                <w:highlight w:val="none"/>
                <w:lang w:val="en-US" w:eastAsia="zh-CN"/>
              </w:rPr>
              <w:t>平面布局</w:t>
            </w:r>
          </w:p>
          <w:p w14:paraId="0775CE69">
            <w:pPr>
              <w:pStyle w:val="7"/>
              <w:keepNext w:val="0"/>
              <w:keepLines w:val="0"/>
              <w:suppressLineNumbers w:val="0"/>
              <w:spacing w:before="0" w:beforeLines="0" w:beforeAutospacing="0" w:after="0" w:afterAutospacing="0" w:line="360" w:lineRule="auto"/>
              <w:ind w:left="0" w:right="0" w:firstLine="560"/>
              <w:rPr>
                <w:rFonts w:hint="eastAsia"/>
                <w:b w:val="0"/>
                <w:bCs/>
                <w:sz w:val="24"/>
                <w:szCs w:val="24"/>
                <w:highlight w:val="none"/>
                <w:lang w:val="en-US" w:eastAsia="zh-CN"/>
              </w:rPr>
            </w:pPr>
            <w:r>
              <w:rPr>
                <w:rFonts w:hint="eastAsia"/>
                <w:b w:val="0"/>
                <w:bCs/>
                <w:sz w:val="24"/>
                <w:szCs w:val="24"/>
                <w:highlight w:val="none"/>
                <w:lang w:val="en-US" w:eastAsia="zh-CN"/>
              </w:rPr>
              <w:t>本项目为改扩建项目，肉制品及鹌鹑蛋制品生产线均设置在综合生产车间内，进大门后，厂区右手边为成品仓库，左手边为综合生产车间。本项目新增肉制品前端生产线布置在综合生产车间1楼，包括两个新建肉制品冷库；综合生产车间2楼为杀菌及包装车间，辅料及包材仓库也设置在综合车间二楼；新增鹌鹑蛋制品生产线以及拌料及罐装工序均布置在综合生产3楼。锅炉房布置在综合生产车间东北侧，靠近围墙，锅炉房拆除原有导热油锅炉后，新增一台4t/h生物质蒸汽锅炉。车间内部平面布置图详见附件。</w:t>
            </w:r>
          </w:p>
          <w:p w14:paraId="6C566099">
            <w:pPr>
              <w:keepNext w:val="0"/>
              <w:keepLines w:val="0"/>
              <w:numPr>
                <w:ilvl w:val="0"/>
                <w:numId w:val="5"/>
              </w:numPr>
              <w:suppressLineNumbers w:val="0"/>
              <w:adjustRightInd w:val="0"/>
              <w:snapToGrid w:val="0"/>
              <w:spacing w:before="0" w:beforeLines="0" w:beforeAutospacing="0" w:after="0" w:afterAutospacing="0" w:line="360" w:lineRule="auto"/>
              <w:ind w:left="0" w:right="0"/>
              <w:rPr>
                <w:rFonts w:hint="default"/>
                <w:b/>
                <w:sz w:val="28"/>
                <w:szCs w:val="28"/>
              </w:rPr>
            </w:pPr>
            <w:r>
              <w:rPr>
                <w:rFonts w:hint="default"/>
                <w:b/>
                <w:sz w:val="28"/>
                <w:szCs w:val="28"/>
              </w:rPr>
              <w:t>劳动定员及工作制度</w:t>
            </w:r>
          </w:p>
          <w:p w14:paraId="4532E5EA">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bCs/>
                <w:szCs w:val="21"/>
              </w:rPr>
            </w:pPr>
            <w:r>
              <w:rPr>
                <w:rFonts w:hint="default"/>
                <w:bCs/>
                <w:sz w:val="24"/>
              </w:rPr>
              <w:t>本项目</w:t>
            </w:r>
            <w:r>
              <w:rPr>
                <w:rFonts w:hint="eastAsia"/>
                <w:bCs/>
                <w:sz w:val="24"/>
                <w:lang w:val="en-US" w:eastAsia="zh-CN"/>
              </w:rPr>
              <w:t>新增</w:t>
            </w:r>
            <w:r>
              <w:rPr>
                <w:rFonts w:hint="eastAsia"/>
                <w:bCs/>
                <w:sz w:val="24"/>
              </w:rPr>
              <w:t>劳动定员85名，采用</w:t>
            </w:r>
            <w:r>
              <w:rPr>
                <w:rFonts w:hint="eastAsia"/>
                <w:bCs/>
                <w:sz w:val="24"/>
                <w:lang w:val="en-US" w:eastAsia="zh-CN"/>
              </w:rPr>
              <w:t>24小时倒班制</w:t>
            </w:r>
            <w:r>
              <w:rPr>
                <w:rFonts w:hint="eastAsia"/>
                <w:bCs/>
                <w:sz w:val="24"/>
              </w:rPr>
              <w:t>，年工作</w:t>
            </w:r>
            <w:r>
              <w:rPr>
                <w:rFonts w:hint="eastAsia"/>
                <w:bCs/>
                <w:sz w:val="24"/>
                <w:lang w:val="en-US" w:eastAsia="zh-CN"/>
              </w:rPr>
              <w:t>时间</w:t>
            </w:r>
            <w:r>
              <w:rPr>
                <w:rFonts w:hint="eastAsia"/>
                <w:bCs/>
                <w:sz w:val="24"/>
              </w:rPr>
              <w:t>为</w:t>
            </w:r>
            <w:r>
              <w:rPr>
                <w:rFonts w:hint="eastAsia"/>
                <w:bCs/>
                <w:sz w:val="24"/>
                <w:lang w:val="en-US" w:eastAsia="zh-CN"/>
              </w:rPr>
              <w:t>250</w:t>
            </w:r>
            <w:r>
              <w:rPr>
                <w:rFonts w:hint="eastAsia"/>
                <w:bCs/>
                <w:sz w:val="24"/>
              </w:rPr>
              <w:t>天</w:t>
            </w:r>
            <w:r>
              <w:rPr>
                <w:rFonts w:hint="eastAsia"/>
                <w:bCs/>
                <w:sz w:val="24"/>
                <w:lang w:eastAsia="zh-CN"/>
              </w:rPr>
              <w:t>。</w:t>
            </w:r>
          </w:p>
        </w:tc>
      </w:tr>
      <w:tr w14:paraId="26DFD4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253" w:type="pct"/>
            <w:vAlign w:val="center"/>
          </w:tcPr>
          <w:p w14:paraId="5D930207">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szCs w:val="24"/>
              </w:rPr>
            </w:pPr>
            <w:r>
              <w:rPr>
                <w:rFonts w:hint="default" w:ascii="Times New Roman" w:hAnsi="Times New Roman"/>
                <w:szCs w:val="24"/>
              </w:rPr>
              <w:t>工艺流程和产排污环节</w:t>
            </w:r>
          </w:p>
        </w:tc>
        <w:tc>
          <w:tcPr>
            <w:tcW w:w="4746" w:type="pct"/>
          </w:tcPr>
          <w:p w14:paraId="44E5F15E">
            <w:pPr>
              <w:keepNext w:val="0"/>
              <w:keepLines w:val="0"/>
              <w:widowControl/>
              <w:suppressLineNumbers w:val="0"/>
              <w:autoSpaceDE w:val="0"/>
              <w:snapToGrid w:val="0"/>
              <w:spacing w:before="240" w:beforeLines="100" w:beforeAutospacing="0" w:after="0" w:afterAutospacing="0" w:line="360" w:lineRule="auto"/>
              <w:ind w:left="0" w:right="0"/>
              <w:rPr>
                <w:rFonts w:hint="default"/>
                <w:sz w:val="24"/>
              </w:rPr>
            </w:pPr>
            <w:r>
              <w:rPr>
                <w:rFonts w:hint="default"/>
                <w:sz w:val="24"/>
              </w:rPr>
              <w:t>1、施工期工程分析及污染源分析</w:t>
            </w:r>
          </w:p>
          <w:p w14:paraId="5E916ACF">
            <w:pPr>
              <w:keepNext w:val="0"/>
              <w:keepLines w:val="0"/>
              <w:widowControl/>
              <w:suppressLineNumbers w:val="0"/>
              <w:snapToGrid w:val="0"/>
              <w:spacing w:before="0" w:beforeAutospacing="0" w:after="0" w:afterAutospacing="0" w:line="360" w:lineRule="auto"/>
              <w:ind w:left="0" w:right="0" w:firstLine="480" w:firstLineChars="200"/>
              <w:rPr>
                <w:rFonts w:hint="default"/>
                <w:sz w:val="24"/>
              </w:rPr>
            </w:pPr>
            <w:r>
              <w:rPr>
                <w:rFonts w:hint="default"/>
                <w:sz w:val="24"/>
              </w:rPr>
              <w:t>本项目</w:t>
            </w:r>
            <w:r>
              <w:rPr>
                <w:rFonts w:hint="eastAsia"/>
                <w:sz w:val="24"/>
                <w:lang w:val="en-US" w:eastAsia="zh-CN"/>
              </w:rPr>
              <w:t>拟在厂区锅炉房新增一台4t/h蒸汽锅炉、一条年产5000吨肉制品生产线以及一条年产3000吨鹌鹑蛋生产线，</w:t>
            </w:r>
            <w:r>
              <w:rPr>
                <w:rFonts w:hint="default"/>
                <w:sz w:val="24"/>
              </w:rPr>
              <w:t>施工内容主要包括在现有车间内安装设备、调试等等。施工期的污染随施工期的结束而消失。项目施工过程中，污染源产生环节见如下。</w:t>
            </w:r>
          </w:p>
          <w:p w14:paraId="6629884F">
            <w:pPr>
              <w:keepNext w:val="0"/>
              <w:keepLines w:val="0"/>
              <w:widowControl/>
              <w:suppressLineNumbers w:val="0"/>
              <w:spacing w:before="0" w:beforeAutospacing="0" w:after="0" w:afterAutospacing="0" w:line="360" w:lineRule="auto"/>
              <w:ind w:left="0" w:right="0"/>
              <w:jc w:val="center"/>
              <w:rPr>
                <w:rFonts w:hint="default"/>
                <w:sz w:val="24"/>
              </w:rPr>
            </w:pPr>
            <w:r>
              <w:rPr>
                <w:rFonts w:hint="default"/>
                <w:sz w:val="24"/>
              </w:rPr>
              <w:object>
                <v:shape id="_x0000_i1026" o:spt="75" type="#_x0000_t75" style="height:74.4pt;width:401.05pt;" o:ole="t" filled="f" o:preferrelative="t" stroked="f" coordsize="21600,21600">
                  <v:path/>
                  <v:fill on="f" focussize="0,0"/>
                  <v:stroke on="f"/>
                  <v:imagedata r:id="rId24" o:title=""/>
                  <o:lock v:ext="edit" aspectratio="f"/>
                  <w10:wrap type="none"/>
                  <w10:anchorlock/>
                </v:shape>
                <o:OLEObject Type="Embed" ProgID="Visio.Drawing.11" ShapeID="_x0000_i1026" DrawAspect="Content" ObjectID="_1468075726" r:id="rId23">
                  <o:LockedField>false</o:LockedField>
                </o:OLEObject>
              </w:object>
            </w:r>
          </w:p>
          <w:p w14:paraId="31C153E2">
            <w:pPr>
              <w:keepNext w:val="0"/>
              <w:keepLines w:val="0"/>
              <w:suppressLineNumbers w:val="0"/>
              <w:spacing w:before="0" w:beforeAutospacing="0" w:after="0" w:afterAutospacing="0" w:line="360" w:lineRule="auto"/>
              <w:ind w:left="0" w:right="0"/>
              <w:jc w:val="center"/>
              <w:rPr>
                <w:rFonts w:hint="default"/>
                <w:b/>
                <w:sz w:val="24"/>
              </w:rPr>
            </w:pPr>
            <w:r>
              <w:rPr>
                <w:rFonts w:hint="default"/>
                <w:b/>
                <w:sz w:val="24"/>
                <w:szCs w:val="24"/>
              </w:rPr>
              <w:t>图2-2 施工期工艺流程及产污节点图</w:t>
            </w:r>
          </w:p>
          <w:p w14:paraId="4C418536">
            <w:pPr>
              <w:keepNext w:val="0"/>
              <w:keepLines w:val="0"/>
              <w:widowControl/>
              <w:numPr>
                <w:ilvl w:val="0"/>
                <w:numId w:val="11"/>
              </w:numPr>
              <w:suppressLineNumbers w:val="0"/>
              <w:snapToGrid w:val="0"/>
              <w:spacing w:before="0" w:beforeAutospacing="0" w:after="0" w:afterAutospacing="0" w:line="360" w:lineRule="auto"/>
              <w:ind w:left="0" w:right="0"/>
              <w:rPr>
                <w:rFonts w:hint="default"/>
                <w:sz w:val="24"/>
              </w:rPr>
            </w:pPr>
            <w:r>
              <w:rPr>
                <w:rFonts w:hint="default"/>
                <w:sz w:val="24"/>
              </w:rPr>
              <w:t>运营期工程分析及污染源分析</w:t>
            </w:r>
          </w:p>
          <w:p w14:paraId="10DE47BD">
            <w:pPr>
              <w:keepNext w:val="0"/>
              <w:keepLines w:val="0"/>
              <w:numPr>
                <w:ilvl w:val="0"/>
                <w:numId w:val="12"/>
              </w:numPr>
              <w:suppressLineNumbers w:val="0"/>
              <w:spacing w:before="0" w:beforeAutospacing="0" w:after="0" w:afterAutospacing="0" w:line="360" w:lineRule="auto"/>
              <w:ind w:left="0" w:right="0"/>
              <w:jc w:val="left"/>
              <w:rPr>
                <w:rFonts w:hint="eastAsia"/>
                <w:b w:val="0"/>
                <w:bCs/>
                <w:sz w:val="24"/>
                <w:lang w:eastAsia="zh-CN"/>
              </w:rPr>
            </w:pPr>
            <w:r>
              <w:rPr>
                <w:rFonts w:hint="eastAsia"/>
                <w:b w:val="0"/>
                <w:bCs/>
                <w:sz w:val="24"/>
                <w:lang w:eastAsia="zh-CN"/>
              </w:rPr>
              <w:t>肉制品生产工艺流程及产污节点</w:t>
            </w:r>
          </w:p>
          <w:p w14:paraId="6CFB19D2">
            <w:pPr>
              <w:pStyle w:val="11"/>
              <w:keepNext w:val="0"/>
              <w:keepLines w:val="0"/>
              <w:suppressLineNumbers w:val="0"/>
              <w:spacing w:before="0" w:beforeAutospacing="0" w:after="0" w:afterAutospacing="0"/>
              <w:ind w:left="0" w:leftChars="0" w:right="0" w:rightChars="0" w:firstLine="0" w:firstLineChars="0"/>
              <w:jc w:val="center"/>
              <w:rPr>
                <w:rFonts w:hint="eastAsia"/>
                <w:lang w:eastAsia="zh-CN"/>
              </w:rPr>
            </w:pPr>
            <w:r>
              <w:rPr>
                <w:rFonts w:hint="eastAsia"/>
                <w:lang w:eastAsia="zh-CN"/>
              </w:rPr>
              <w:object>
                <v:shape id="_x0000_i1027" o:spt="75" type="#_x0000_t75" style="height:133.8pt;width:388.9pt;" o:ole="t" filled="f" o:preferrelative="t" stroked="f" coordsize="21600,21600">
                  <v:path/>
                  <v:fill on="f" focussize="0,0"/>
                  <v:stroke on="f"/>
                  <v:imagedata r:id="rId26" cropbottom="5249f" o:title=""/>
                  <o:lock v:ext="edit" aspectratio="f"/>
                  <w10:wrap type="none"/>
                  <w10:anchorlock/>
                </v:shape>
                <o:OLEObject Type="Embed" ProgID="Visio.Drawing.15" ShapeID="_x0000_i1027" DrawAspect="Content" ObjectID="_1468075727" r:id="rId25">
                  <o:LockedField>false</o:LockedField>
                </o:OLEObject>
              </w:object>
            </w:r>
          </w:p>
          <w:p w14:paraId="2EAA5F10">
            <w:pPr>
              <w:pStyle w:val="32"/>
              <w:keepNext w:val="0"/>
              <w:keepLines w:val="0"/>
              <w:suppressLineNumbers w:val="0"/>
              <w:spacing w:before="0" w:beforeAutospacing="0" w:after="0" w:afterAutospacing="0"/>
              <w:ind w:left="0" w:leftChars="0" w:right="0" w:rightChars="0" w:firstLine="0" w:firstLineChars="0"/>
              <w:jc w:val="center"/>
              <w:rPr>
                <w:rFonts w:hint="default"/>
                <w:b/>
                <w:bCs/>
                <w:lang w:val="en-US" w:eastAsia="zh-CN"/>
              </w:rPr>
            </w:pPr>
            <w:r>
              <w:rPr>
                <w:rFonts w:hint="default" w:ascii="Times New Roman" w:hAnsi="Times New Roman" w:cs="Times New Roman"/>
                <w:b/>
                <w:bCs/>
                <w:sz w:val="24"/>
                <w:szCs w:val="24"/>
                <w:lang w:val="en-US" w:eastAsia="zh-CN"/>
              </w:rPr>
              <w:t>图2-3 肉制品生产工艺及产污节点图</w:t>
            </w:r>
          </w:p>
          <w:p w14:paraId="50EAC6BE">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left"/>
              <w:textAlignment w:val="auto"/>
              <w:rPr>
                <w:rFonts w:hint="eastAsia"/>
                <w:lang w:eastAsia="zh-CN"/>
              </w:rPr>
            </w:pPr>
            <w:r>
              <w:rPr>
                <w:rFonts w:hint="eastAsia"/>
                <w:b/>
                <w:bCs/>
                <w:lang w:val="en-US" w:eastAsia="zh-CN"/>
              </w:rPr>
              <w:t>肉制品生产</w:t>
            </w:r>
            <w:r>
              <w:rPr>
                <w:rFonts w:hint="eastAsia"/>
                <w:b/>
                <w:bCs/>
                <w:lang w:eastAsia="zh-CN"/>
              </w:rPr>
              <w:t>工艺流程简述</w:t>
            </w:r>
            <w:r>
              <w:rPr>
                <w:rFonts w:hint="eastAsia"/>
                <w:lang w:eastAsia="zh-CN"/>
              </w:rPr>
              <w:t>：</w:t>
            </w:r>
          </w:p>
          <w:p w14:paraId="4898293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原料验收</w:t>
            </w:r>
            <w:r>
              <w:rPr>
                <w:rFonts w:hint="eastAsia"/>
                <w:lang w:eastAsia="zh-CN"/>
              </w:rPr>
              <w:t>：原料验收员严格按照公司的验收标准验收；</w:t>
            </w:r>
          </w:p>
          <w:p w14:paraId="32EB2F3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浸泡解冻</w:t>
            </w:r>
            <w:r>
              <w:rPr>
                <w:rFonts w:hint="eastAsia"/>
                <w:lang w:eastAsia="zh-CN"/>
              </w:rPr>
              <w:t>：将来料冷冻的肉制品用冷水浸泡解冻；</w:t>
            </w:r>
          </w:p>
          <w:p w14:paraId="2BEF4B1A">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腌制</w:t>
            </w:r>
            <w:r>
              <w:rPr>
                <w:rFonts w:hint="eastAsia"/>
                <w:lang w:eastAsia="zh-CN"/>
              </w:rPr>
              <w:t>：将解冻后的肉制品在2-4℃环境下腌制；</w:t>
            </w:r>
          </w:p>
          <w:p w14:paraId="7B394215">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清理定型</w:t>
            </w:r>
            <w:r>
              <w:rPr>
                <w:rFonts w:hint="eastAsia"/>
                <w:lang w:eastAsia="zh-CN"/>
              </w:rPr>
              <w:t>：将腌制后的肉制品按照肉的自然结构，去除其他杂质；</w:t>
            </w:r>
          </w:p>
          <w:p w14:paraId="71D2D915">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焯水</w:t>
            </w:r>
            <w:r>
              <w:rPr>
                <w:rFonts w:hint="eastAsia"/>
                <w:lang w:eastAsia="zh-CN"/>
              </w:rPr>
              <w:t>：将清理后的肉质品放入焯水机中焯水；</w:t>
            </w:r>
          </w:p>
          <w:p w14:paraId="33B00206">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油炸</w:t>
            </w:r>
            <w:r>
              <w:rPr>
                <w:rFonts w:hint="eastAsia"/>
                <w:lang w:eastAsia="zh-CN"/>
              </w:rPr>
              <w:t>：焯水后的肉制品放入油炸机中油炸，</w:t>
            </w:r>
            <w:r>
              <w:rPr>
                <w:rFonts w:hint="eastAsia"/>
                <w:lang w:val="en-US" w:eastAsia="zh-CN"/>
              </w:rPr>
              <w:t>油炸过程采用锅炉蒸汽间接加热食用油</w:t>
            </w:r>
            <w:r>
              <w:rPr>
                <w:rFonts w:hint="eastAsia"/>
                <w:lang w:eastAsia="zh-CN"/>
              </w:rPr>
              <w:t>；</w:t>
            </w:r>
          </w:p>
          <w:p w14:paraId="764329ED">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卤制</w:t>
            </w:r>
            <w:r>
              <w:rPr>
                <w:rFonts w:hint="eastAsia"/>
                <w:lang w:eastAsia="zh-CN"/>
              </w:rPr>
              <w:t>：卤汁熬制过程为将各类卤料包括八角、香叶、桂皮、辣椒、</w:t>
            </w:r>
            <w:r>
              <w:rPr>
                <w:rFonts w:hint="eastAsia"/>
                <w:lang w:val="en-US" w:eastAsia="zh-CN"/>
              </w:rPr>
              <w:t>膏类</w:t>
            </w:r>
            <w:r>
              <w:rPr>
                <w:rFonts w:hint="eastAsia"/>
                <w:lang w:eastAsia="zh-CN"/>
              </w:rPr>
              <w:t>等按一定比例加入食盐、糖、味精等进行熬煮成卤汁。油炸后的肉制品由输送线送至卤制间，用中火卤制约1小时左右，关火，并将原料在卤汁中浸泡一段时间使其入味随后捞出摊凉；</w:t>
            </w:r>
          </w:p>
          <w:p w14:paraId="7710FA67">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冷却裁切</w:t>
            </w:r>
            <w:r>
              <w:rPr>
                <w:rFonts w:hint="eastAsia"/>
                <w:lang w:eastAsia="zh-CN"/>
              </w:rPr>
              <w:t>：将卤制好的肉制品取出，待冷却后分割成小块；</w:t>
            </w:r>
          </w:p>
          <w:p w14:paraId="65E4F09F">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拌料</w:t>
            </w:r>
            <w:r>
              <w:rPr>
                <w:rFonts w:hint="eastAsia"/>
                <w:lang w:eastAsia="zh-CN"/>
              </w:rPr>
              <w:t>：分割后的卤制产品按照配方加入调味料进行拌料；</w:t>
            </w:r>
          </w:p>
          <w:p w14:paraId="27C6AD8A">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内包装</w:t>
            </w:r>
            <w:r>
              <w:rPr>
                <w:rFonts w:hint="eastAsia"/>
                <w:lang w:eastAsia="zh-CN"/>
              </w:rPr>
              <w:t>：将产品按照规格包装；</w:t>
            </w:r>
          </w:p>
          <w:p w14:paraId="1F337789">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过水</w:t>
            </w:r>
            <w:r>
              <w:rPr>
                <w:rFonts w:hint="eastAsia"/>
                <w:lang w:eastAsia="zh-CN"/>
              </w:rPr>
              <w:t>：采用清洗过水的方式，清洗过水的温度保持在40-50℃之间；</w:t>
            </w:r>
          </w:p>
          <w:p w14:paraId="1611C4C5">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杀菌</w:t>
            </w:r>
            <w:r>
              <w:rPr>
                <w:rFonts w:hint="eastAsia"/>
                <w:lang w:eastAsia="zh-CN"/>
              </w:rPr>
              <w:t>：将灌装好的包装袋置于杀菌釜内杀菌；</w:t>
            </w:r>
          </w:p>
          <w:p w14:paraId="06C9DC1B">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清洗烘干</w:t>
            </w:r>
            <w:r>
              <w:rPr>
                <w:rFonts w:hint="eastAsia"/>
                <w:lang w:eastAsia="zh-CN"/>
              </w:rPr>
              <w:t>：对杀菌完毕的产品进行水洗将清洗干净的产品通过振动筛均匀的进入5层烘干机；</w:t>
            </w:r>
          </w:p>
          <w:p w14:paraId="1D0C7CE7">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金检</w:t>
            </w:r>
            <w:r>
              <w:rPr>
                <w:rFonts w:hint="eastAsia"/>
                <w:lang w:eastAsia="zh-CN"/>
              </w:rPr>
              <w:t>：产品均匀进入金属探测器进行金属检测，进入X光机进行非金属检测；</w:t>
            </w:r>
          </w:p>
          <w:p w14:paraId="7472DAC2">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外包装</w:t>
            </w:r>
            <w:r>
              <w:rPr>
                <w:rFonts w:hint="eastAsia"/>
                <w:lang w:eastAsia="zh-CN"/>
              </w:rPr>
              <w:t>：将经过金检的产品堆放在分拣台上进行拣选，按照产品包装要求装入中袋或套袋中，封口备用，将封好的中袋和套袋产品按装箱要求装入箱中，</w:t>
            </w:r>
            <w:r>
              <w:rPr>
                <w:rFonts w:hint="eastAsia"/>
                <w:lang w:val="en-US" w:eastAsia="zh-CN"/>
              </w:rPr>
              <w:t>推入封箱机进行封箱</w:t>
            </w:r>
            <w:r>
              <w:rPr>
                <w:rFonts w:hint="eastAsia"/>
                <w:lang w:eastAsia="zh-CN"/>
              </w:rPr>
              <w:t>；</w:t>
            </w:r>
          </w:p>
          <w:p w14:paraId="3C5A7A55">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firstLine="482" w:firstLineChars="200"/>
              <w:jc w:val="left"/>
              <w:textAlignment w:val="auto"/>
              <w:rPr>
                <w:rFonts w:hint="eastAsia"/>
                <w:lang w:eastAsia="zh-CN"/>
              </w:rPr>
            </w:pPr>
            <w:r>
              <w:rPr>
                <w:rFonts w:hint="eastAsia"/>
                <w:b/>
                <w:bCs/>
                <w:lang w:eastAsia="zh-CN"/>
              </w:rPr>
              <w:t>入库</w:t>
            </w:r>
            <w:r>
              <w:rPr>
                <w:rFonts w:hint="eastAsia"/>
                <w:lang w:eastAsia="zh-CN"/>
              </w:rPr>
              <w:t>：产品入库应按产品的品种、规格和生产批次入常温库储存，仓库管理员做好入库的相关记录，确保仓库卫生、干燥、阴凉、通风，产品离地离墙码放，码放整齐，并做好标识。</w:t>
            </w:r>
          </w:p>
          <w:p w14:paraId="46BFD8EA">
            <w:pPr>
              <w:keepNext w:val="0"/>
              <w:keepLines w:val="0"/>
              <w:numPr>
                <w:ilvl w:val="0"/>
                <w:numId w:val="12"/>
              </w:numPr>
              <w:suppressLineNumbers w:val="0"/>
              <w:spacing w:before="0" w:beforeAutospacing="0" w:after="0" w:afterAutospacing="0" w:line="360" w:lineRule="auto"/>
              <w:ind w:left="0" w:right="0"/>
              <w:jc w:val="left"/>
              <w:rPr>
                <w:rFonts w:hint="eastAsia"/>
                <w:b w:val="0"/>
                <w:bCs/>
                <w:sz w:val="24"/>
                <w:lang w:eastAsia="zh-CN"/>
              </w:rPr>
            </w:pPr>
            <w:r>
              <w:rPr>
                <w:rFonts w:hint="eastAsia"/>
                <w:b w:val="0"/>
                <w:bCs/>
                <w:sz w:val="24"/>
                <w:lang w:eastAsia="zh-CN"/>
              </w:rPr>
              <w:t>鹌鹑蛋制品生产工艺流程及产污节点</w:t>
            </w:r>
          </w:p>
          <w:p w14:paraId="28F0D343">
            <w:pPr>
              <w:keepNext w:val="0"/>
              <w:keepLines w:val="0"/>
              <w:numPr>
                <w:ilvl w:val="0"/>
                <w:numId w:val="0"/>
              </w:numPr>
              <w:suppressLineNumbers w:val="0"/>
              <w:spacing w:before="0" w:beforeAutospacing="0" w:after="0" w:afterAutospacing="0" w:line="360" w:lineRule="auto"/>
              <w:ind w:left="0" w:leftChars="0" w:right="0" w:rightChars="0" w:firstLine="0" w:firstLineChars="0"/>
              <w:jc w:val="center"/>
              <w:rPr>
                <w:rFonts w:hint="eastAsia"/>
                <w:b w:val="0"/>
                <w:bCs/>
                <w:sz w:val="24"/>
                <w:lang w:eastAsia="zh-CN"/>
              </w:rPr>
            </w:pPr>
            <w:r>
              <w:rPr>
                <w:rFonts w:hint="eastAsia"/>
                <w:b w:val="0"/>
                <w:bCs/>
                <w:sz w:val="24"/>
                <w:lang w:eastAsia="zh-CN"/>
              </w:rPr>
              <w:object>
                <v:shape id="_x0000_i1028" o:spt="75" type="#_x0000_t75" style="height:144.3pt;width:364.6pt;" o:ole="t" filled="f" o:preferrelative="t" stroked="f" coordsize="21600,21600">
                  <v:path/>
                  <v:fill on="f" focussize="0,0"/>
                  <v:stroke on="f"/>
                  <v:imagedata r:id="rId28" o:title=""/>
                  <o:lock v:ext="edit" aspectratio="f"/>
                  <w10:wrap type="none"/>
                  <w10:anchorlock/>
                </v:shape>
                <o:OLEObject Type="Embed" ProgID="Visio.Drawing.15" ShapeID="_x0000_i1028" DrawAspect="Content" ObjectID="_1468075728" r:id="rId27">
                  <o:LockedField>false</o:LockedField>
                </o:OLEObject>
              </w:object>
            </w:r>
          </w:p>
          <w:p w14:paraId="6AEFC390">
            <w:pPr>
              <w:pStyle w:val="11"/>
              <w:keepNext w:val="0"/>
              <w:keepLines w:val="0"/>
              <w:suppressLineNumbers w:val="0"/>
              <w:spacing w:before="0" w:beforeAutospacing="0" w:after="0" w:afterAutospacing="0"/>
              <w:ind w:left="0" w:leftChars="0" w:right="0" w:rightChars="0" w:firstLine="0" w:firstLineChars="0"/>
              <w:jc w:val="center"/>
              <w:rPr>
                <w:rFonts w:hint="default"/>
                <w:b/>
                <w:bCs w:val="0"/>
                <w:sz w:val="24"/>
                <w:szCs w:val="24"/>
                <w:lang w:val="en-US" w:eastAsia="zh-CN"/>
              </w:rPr>
            </w:pPr>
            <w:r>
              <w:rPr>
                <w:rFonts w:hint="eastAsia"/>
                <w:b/>
                <w:bCs w:val="0"/>
                <w:sz w:val="24"/>
                <w:szCs w:val="24"/>
                <w:lang w:val="en-US" w:eastAsia="zh-CN"/>
              </w:rPr>
              <w:t>图2-4 鹌鹑蛋制品生产工艺产污节点图</w:t>
            </w:r>
          </w:p>
          <w:p w14:paraId="1A1B1D46">
            <w:pPr>
              <w:keepNext w:val="0"/>
              <w:keepLines w:val="0"/>
              <w:numPr>
                <w:ilvl w:val="0"/>
                <w:numId w:val="0"/>
              </w:numPr>
              <w:suppressLineNumbers w:val="0"/>
              <w:spacing w:before="0" w:beforeAutospacing="0" w:after="0" w:afterAutospacing="0" w:line="360" w:lineRule="auto"/>
              <w:ind w:left="0" w:leftChars="0" w:right="0" w:rightChars="0" w:firstLine="0" w:firstLineChars="0"/>
              <w:jc w:val="left"/>
              <w:rPr>
                <w:rFonts w:hint="eastAsia"/>
                <w:b w:val="0"/>
                <w:bCs/>
                <w:sz w:val="24"/>
                <w:lang w:val="en-US" w:eastAsia="zh-CN"/>
              </w:rPr>
            </w:pPr>
            <w:r>
              <w:rPr>
                <w:rFonts w:hint="eastAsia"/>
                <w:b/>
                <w:bCs w:val="0"/>
                <w:sz w:val="24"/>
                <w:lang w:val="en-US" w:eastAsia="zh-CN"/>
              </w:rPr>
              <w:t>鹌鹑蛋生产工艺流程简述</w:t>
            </w:r>
            <w:r>
              <w:rPr>
                <w:rFonts w:hint="eastAsia"/>
                <w:b w:val="0"/>
                <w:bCs/>
                <w:sz w:val="24"/>
                <w:lang w:val="en-US" w:eastAsia="zh-CN"/>
              </w:rPr>
              <w:t>：</w:t>
            </w:r>
          </w:p>
          <w:p w14:paraId="34DEDFF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原料验收</w:t>
            </w:r>
            <w:r>
              <w:rPr>
                <w:rFonts w:hint="default"/>
                <w:b w:val="0"/>
                <w:bCs/>
                <w:sz w:val="24"/>
                <w:lang w:val="en-US" w:eastAsia="zh-CN"/>
              </w:rPr>
              <w:t>：原料验收员严格按照公司的验收标准验收。具有鹌鹑蛋固有的外形、色泽和气味；新鲜无异味，无异物。符合GB2749的相关要求</w:t>
            </w:r>
            <w:r>
              <w:rPr>
                <w:rFonts w:hint="eastAsia"/>
                <w:b w:val="0"/>
                <w:bCs/>
                <w:sz w:val="24"/>
                <w:lang w:val="en-US" w:eastAsia="zh-CN"/>
              </w:rPr>
              <w:t>；</w:t>
            </w:r>
          </w:p>
          <w:p w14:paraId="039E79B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预煮、煮熟、冷却</w:t>
            </w:r>
            <w:r>
              <w:rPr>
                <w:rFonts w:hint="default"/>
                <w:b w:val="0"/>
                <w:bCs/>
                <w:sz w:val="24"/>
                <w:lang w:val="en-US" w:eastAsia="zh-CN"/>
              </w:rPr>
              <w:t>：进入预煮锅，38</w:t>
            </w:r>
            <w:r>
              <w:rPr>
                <w:rFonts w:hint="eastAsia"/>
                <w:b w:val="0"/>
                <w:bCs/>
                <w:sz w:val="24"/>
                <w:lang w:val="en-US" w:eastAsia="zh-CN"/>
              </w:rPr>
              <w:t>℃</w:t>
            </w:r>
            <w:r>
              <w:rPr>
                <w:rFonts w:hint="default"/>
                <w:b w:val="0"/>
                <w:bCs/>
                <w:sz w:val="24"/>
                <w:lang w:val="en-US" w:eastAsia="zh-CN"/>
              </w:rPr>
              <w:t>，</w:t>
            </w:r>
            <w:r>
              <w:rPr>
                <w:rFonts w:hint="eastAsia"/>
                <w:b w:val="0"/>
                <w:bCs/>
                <w:sz w:val="24"/>
                <w:lang w:val="en-US" w:eastAsia="zh-CN"/>
              </w:rPr>
              <w:t>预煮</w:t>
            </w:r>
            <w:r>
              <w:rPr>
                <w:rFonts w:hint="default"/>
                <w:b w:val="0"/>
                <w:bCs/>
                <w:sz w:val="24"/>
                <w:lang w:val="en-US" w:eastAsia="zh-CN"/>
              </w:rPr>
              <w:t>15分钟；再进入蒸煮</w:t>
            </w:r>
            <w:r>
              <w:rPr>
                <w:rFonts w:hint="eastAsia"/>
                <w:b w:val="0"/>
                <w:bCs/>
                <w:sz w:val="24"/>
                <w:lang w:val="en-US" w:eastAsia="zh-CN"/>
              </w:rPr>
              <w:t>锅，</w:t>
            </w:r>
            <w:r>
              <w:rPr>
                <w:rFonts w:hint="default"/>
                <w:b w:val="0"/>
                <w:bCs/>
                <w:sz w:val="24"/>
                <w:lang w:val="en-US" w:eastAsia="zh-CN"/>
              </w:rPr>
              <w:t>沸腾后</w:t>
            </w:r>
            <w:r>
              <w:rPr>
                <w:rFonts w:hint="eastAsia"/>
                <w:b w:val="0"/>
                <w:bCs/>
                <w:sz w:val="24"/>
                <w:lang w:val="en-US" w:eastAsia="zh-CN"/>
              </w:rPr>
              <w:t>（97℃以上）煮制</w:t>
            </w:r>
            <w:r>
              <w:rPr>
                <w:rFonts w:hint="default"/>
                <w:b w:val="0"/>
                <w:bCs/>
                <w:sz w:val="24"/>
                <w:lang w:val="en-US" w:eastAsia="zh-CN"/>
              </w:rPr>
              <w:t>15</w:t>
            </w:r>
            <w:r>
              <w:rPr>
                <w:rFonts w:hint="eastAsia"/>
                <w:b w:val="0"/>
                <w:bCs/>
                <w:sz w:val="24"/>
                <w:lang w:val="en-US" w:eastAsia="zh-CN"/>
              </w:rPr>
              <w:t>分钟，煮制结束后转移至冷却槽中</w:t>
            </w:r>
            <w:r>
              <w:rPr>
                <w:rFonts w:hint="default"/>
                <w:b w:val="0"/>
                <w:bCs/>
                <w:sz w:val="24"/>
                <w:lang w:val="en-US" w:eastAsia="zh-CN"/>
              </w:rPr>
              <w:t>冷却到不烫手即可</w:t>
            </w:r>
            <w:r>
              <w:rPr>
                <w:rFonts w:hint="eastAsia"/>
                <w:b w:val="0"/>
                <w:bCs/>
                <w:sz w:val="24"/>
                <w:lang w:val="en-US" w:eastAsia="zh-CN"/>
              </w:rPr>
              <w:t>；</w:t>
            </w:r>
          </w:p>
          <w:p w14:paraId="67725EB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去壳</w:t>
            </w:r>
            <w:r>
              <w:rPr>
                <w:rFonts w:hint="default"/>
                <w:b w:val="0"/>
                <w:bCs/>
                <w:sz w:val="24"/>
                <w:lang w:val="en-US" w:eastAsia="zh-CN"/>
              </w:rPr>
              <w:t>：将煮熟的鹌鹑蛋通过滚筒进行破壳，再通过拍打式设备进行去壳，并清理干净表面膜及残壳，备用</w:t>
            </w:r>
            <w:r>
              <w:rPr>
                <w:rFonts w:hint="eastAsia"/>
                <w:b w:val="0"/>
                <w:bCs/>
                <w:sz w:val="24"/>
                <w:lang w:val="en-US" w:eastAsia="zh-CN"/>
              </w:rPr>
              <w:t>；</w:t>
            </w:r>
          </w:p>
          <w:p w14:paraId="257D8FE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挑选称重</w:t>
            </w:r>
            <w:r>
              <w:rPr>
                <w:rFonts w:hint="default"/>
                <w:b w:val="0"/>
                <w:bCs/>
                <w:sz w:val="24"/>
                <w:lang w:val="en-US" w:eastAsia="zh-CN"/>
              </w:rPr>
              <w:t>：将完成去壳的鹌鹑蛋进行挑选，去掉破损，颜色异常的；将正常的鹌鹑蛋按照要求称重，备用</w:t>
            </w:r>
            <w:r>
              <w:rPr>
                <w:rFonts w:hint="eastAsia"/>
                <w:b w:val="0"/>
                <w:bCs/>
                <w:sz w:val="24"/>
                <w:lang w:val="en-US" w:eastAsia="zh-CN"/>
              </w:rPr>
              <w:t>；</w:t>
            </w:r>
          </w:p>
          <w:p w14:paraId="0D51C90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卤制</w:t>
            </w:r>
            <w:r>
              <w:rPr>
                <w:rFonts w:hint="default"/>
                <w:b w:val="0"/>
                <w:bCs/>
                <w:sz w:val="24"/>
                <w:lang w:val="en-US" w:eastAsia="zh-CN"/>
              </w:rPr>
              <w:t>：按照卤水配方和工艺要求熬制好卤水，并补加好物料</w:t>
            </w:r>
            <w:r>
              <w:rPr>
                <w:rFonts w:hint="eastAsia"/>
                <w:b w:val="0"/>
                <w:bCs/>
                <w:sz w:val="24"/>
                <w:lang w:val="en-US" w:eastAsia="zh-CN"/>
              </w:rPr>
              <w:t>，</w:t>
            </w:r>
            <w:r>
              <w:rPr>
                <w:rFonts w:hint="default"/>
                <w:b w:val="0"/>
                <w:bCs/>
                <w:sz w:val="24"/>
                <w:lang w:val="en-US" w:eastAsia="zh-CN"/>
              </w:rPr>
              <w:t>先把卤水烧开，</w:t>
            </w:r>
            <w:r>
              <w:rPr>
                <w:rFonts w:hint="eastAsia"/>
                <w:b w:val="0"/>
                <w:bCs/>
                <w:sz w:val="24"/>
                <w:lang w:val="en-US" w:eastAsia="zh-CN"/>
              </w:rPr>
              <w:t>再</w:t>
            </w:r>
            <w:r>
              <w:rPr>
                <w:rFonts w:hint="default"/>
                <w:b w:val="0"/>
                <w:bCs/>
                <w:sz w:val="24"/>
                <w:lang w:val="en-US" w:eastAsia="zh-CN"/>
              </w:rPr>
              <w:t>将称好冷却后的鹌鹑蛋，按照标准加入卤水中，加热至沸腾开始计时，关气焖煮卤制1.5h，卤制过程温度保持90±5</w:t>
            </w:r>
            <w:r>
              <w:rPr>
                <w:rFonts w:hint="eastAsia"/>
                <w:b w:val="0"/>
                <w:bCs/>
                <w:sz w:val="24"/>
                <w:lang w:val="en-US" w:eastAsia="zh-CN"/>
              </w:rPr>
              <w:t>℃</w:t>
            </w:r>
            <w:r>
              <w:rPr>
                <w:rFonts w:hint="default"/>
                <w:b w:val="0"/>
                <w:bCs/>
                <w:sz w:val="24"/>
                <w:lang w:val="en-US" w:eastAsia="zh-CN"/>
              </w:rPr>
              <w:t>；卤制过程中要不断的轻微翻动蛋，打捞浮沫，使其卤制均匀</w:t>
            </w:r>
            <w:r>
              <w:rPr>
                <w:rFonts w:hint="eastAsia"/>
                <w:b w:val="0"/>
                <w:bCs/>
                <w:sz w:val="24"/>
                <w:lang w:val="en-US" w:eastAsia="zh-CN"/>
              </w:rPr>
              <w:t>；</w:t>
            </w:r>
          </w:p>
          <w:p w14:paraId="6275350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烘烤</w:t>
            </w:r>
            <w:r>
              <w:rPr>
                <w:rFonts w:hint="default"/>
                <w:b w:val="0"/>
                <w:bCs/>
                <w:sz w:val="24"/>
                <w:lang w:val="en-US" w:eastAsia="zh-CN"/>
              </w:rPr>
              <w:t>：卤制完并沥干的鹌鹑蛋沿线均匀单层平摊进入烘烤线，烘烤温度保持65度，时间15min，然后冷却，等待灌装。</w:t>
            </w:r>
          </w:p>
          <w:p w14:paraId="13D857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灌装、真空封口</w:t>
            </w:r>
            <w:r>
              <w:rPr>
                <w:rFonts w:hint="default"/>
                <w:b w:val="0"/>
                <w:bCs/>
                <w:sz w:val="24"/>
                <w:lang w:val="en-US" w:eastAsia="zh-CN"/>
              </w:rPr>
              <w:t>：</w:t>
            </w:r>
            <w:r>
              <w:rPr>
                <w:rFonts w:hint="eastAsia"/>
                <w:b w:val="0"/>
                <w:bCs/>
                <w:sz w:val="24"/>
                <w:lang w:val="en-US" w:eastAsia="zh-CN"/>
              </w:rPr>
              <w:t>灌装开始前先试机，确保机器正常运转，</w:t>
            </w:r>
            <w:r>
              <w:rPr>
                <w:rFonts w:hint="default"/>
                <w:b w:val="0"/>
                <w:bCs/>
                <w:sz w:val="24"/>
                <w:lang w:val="en-US" w:eastAsia="zh-CN"/>
              </w:rPr>
              <w:t>灌装时</w:t>
            </w:r>
            <w:r>
              <w:rPr>
                <w:rFonts w:hint="eastAsia"/>
                <w:b w:val="0"/>
                <w:bCs/>
                <w:sz w:val="24"/>
                <w:lang w:val="en-US" w:eastAsia="zh-CN"/>
              </w:rPr>
              <w:t>先</w:t>
            </w:r>
            <w:r>
              <w:rPr>
                <w:rFonts w:hint="default"/>
                <w:b w:val="0"/>
                <w:bCs/>
                <w:sz w:val="24"/>
                <w:lang w:val="en-US" w:eastAsia="zh-CN"/>
              </w:rPr>
              <w:t>检查鹌鹑蛋</w:t>
            </w:r>
            <w:r>
              <w:rPr>
                <w:rFonts w:hint="eastAsia"/>
                <w:b w:val="0"/>
                <w:bCs/>
                <w:sz w:val="24"/>
                <w:lang w:val="en-US" w:eastAsia="zh-CN"/>
              </w:rPr>
              <w:t>有无</w:t>
            </w:r>
            <w:r>
              <w:rPr>
                <w:rFonts w:hint="default"/>
                <w:b w:val="0"/>
                <w:bCs/>
                <w:sz w:val="24"/>
                <w:lang w:val="en-US" w:eastAsia="zh-CN"/>
              </w:rPr>
              <w:t>色泽</w:t>
            </w:r>
            <w:r>
              <w:rPr>
                <w:rFonts w:hint="eastAsia"/>
                <w:b w:val="0"/>
                <w:bCs/>
                <w:sz w:val="24"/>
                <w:lang w:val="en-US" w:eastAsia="zh-CN"/>
              </w:rPr>
              <w:t>、</w:t>
            </w:r>
            <w:r>
              <w:rPr>
                <w:rFonts w:hint="default"/>
                <w:b w:val="0"/>
                <w:bCs/>
                <w:sz w:val="24"/>
                <w:lang w:val="en-US" w:eastAsia="zh-CN"/>
              </w:rPr>
              <w:t>异味等异常现象，</w:t>
            </w:r>
            <w:r>
              <w:rPr>
                <w:rFonts w:hint="eastAsia"/>
                <w:b w:val="0"/>
                <w:bCs/>
                <w:sz w:val="24"/>
                <w:lang w:val="en-US" w:eastAsia="zh-CN"/>
              </w:rPr>
              <w:t>注意</w:t>
            </w:r>
            <w:r>
              <w:rPr>
                <w:rFonts w:hint="default"/>
                <w:b w:val="0"/>
                <w:bCs/>
                <w:sz w:val="24"/>
                <w:lang w:val="en-US" w:eastAsia="zh-CN"/>
              </w:rPr>
              <w:t>挑选异物，</w:t>
            </w:r>
            <w:r>
              <w:rPr>
                <w:rFonts w:hint="eastAsia"/>
                <w:b w:val="0"/>
                <w:bCs/>
                <w:sz w:val="24"/>
                <w:lang w:val="en-US" w:eastAsia="zh-CN"/>
              </w:rPr>
              <w:t>且</w:t>
            </w:r>
            <w:r>
              <w:rPr>
                <w:rFonts w:hint="default"/>
                <w:b w:val="0"/>
                <w:bCs/>
                <w:sz w:val="24"/>
                <w:lang w:val="en-US" w:eastAsia="zh-CN"/>
              </w:rPr>
              <w:t>保持下料口干净；灌装车间温度25±1℃。产品拌料至真空完毕控制在1小时</w:t>
            </w:r>
            <w:r>
              <w:rPr>
                <w:rFonts w:hint="eastAsia"/>
                <w:b w:val="0"/>
                <w:bCs/>
                <w:sz w:val="24"/>
                <w:lang w:val="en-US" w:eastAsia="zh-CN"/>
              </w:rPr>
              <w:t>；</w:t>
            </w:r>
          </w:p>
          <w:p w14:paraId="6B2C825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杀菌</w:t>
            </w:r>
            <w:r>
              <w:rPr>
                <w:rFonts w:hint="default"/>
                <w:b w:val="0"/>
                <w:bCs/>
                <w:sz w:val="24"/>
                <w:lang w:val="en-US" w:eastAsia="zh-CN"/>
              </w:rPr>
              <w:t>：确保杀菌框内装入产品适量，操作时要防止损伤包装袋导致产品散真空，顶层加盖封严。10min-25min-15min/116℃杀菌，并做好相应的杀菌记录</w:t>
            </w:r>
            <w:r>
              <w:rPr>
                <w:rFonts w:hint="eastAsia"/>
                <w:b w:val="0"/>
                <w:bCs/>
                <w:sz w:val="24"/>
                <w:lang w:val="en-US" w:eastAsia="zh-CN"/>
              </w:rPr>
              <w:t>，</w:t>
            </w:r>
            <w:r>
              <w:rPr>
                <w:rFonts w:hint="default"/>
                <w:b w:val="0"/>
                <w:bCs/>
                <w:sz w:val="24"/>
                <w:lang w:val="en-US" w:eastAsia="zh-CN"/>
              </w:rPr>
              <w:t>产品包装后至进杀菌釜的时间控制在60分钟之内；</w:t>
            </w:r>
          </w:p>
          <w:p w14:paraId="575060D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过水、清洗、烘干</w:t>
            </w:r>
            <w:r>
              <w:rPr>
                <w:rFonts w:hint="default"/>
                <w:b w:val="0"/>
                <w:bCs/>
                <w:sz w:val="24"/>
                <w:lang w:val="en-US" w:eastAsia="zh-CN"/>
              </w:rPr>
              <w:t>：采用清洗过水的方式，清洗过水的温度保持在40-50℃之间</w:t>
            </w:r>
            <w:r>
              <w:rPr>
                <w:rFonts w:hint="eastAsia"/>
                <w:b w:val="0"/>
                <w:bCs/>
                <w:sz w:val="24"/>
                <w:lang w:val="en-US" w:eastAsia="zh-CN"/>
              </w:rPr>
              <w:t>，再将</w:t>
            </w:r>
            <w:r>
              <w:rPr>
                <w:rFonts w:hint="default"/>
                <w:b w:val="0"/>
                <w:bCs/>
                <w:sz w:val="24"/>
                <w:lang w:val="en-US" w:eastAsia="zh-CN"/>
              </w:rPr>
              <w:t>将清洗干净的产品通过振动筛均匀的进入5层烘干机，打开风机，温度设置为38度，时间约13min，确保烘干后的产品表面干净且无水珠，</w:t>
            </w:r>
            <w:r>
              <w:rPr>
                <w:rFonts w:hint="eastAsia"/>
                <w:b w:val="0"/>
                <w:bCs/>
                <w:sz w:val="24"/>
                <w:lang w:val="en-US" w:eastAsia="zh-CN"/>
              </w:rPr>
              <w:t>且每日生产结束后应</w:t>
            </w:r>
            <w:r>
              <w:rPr>
                <w:rFonts w:hint="default"/>
                <w:b w:val="0"/>
                <w:bCs/>
                <w:sz w:val="24"/>
                <w:lang w:val="en-US" w:eastAsia="zh-CN"/>
              </w:rPr>
              <w:t>对烘干机内的余包、烘干机连接处的油包进行及时清理</w:t>
            </w:r>
            <w:r>
              <w:rPr>
                <w:rFonts w:hint="eastAsia"/>
                <w:b w:val="0"/>
                <w:bCs/>
                <w:sz w:val="24"/>
                <w:lang w:val="en-US" w:eastAsia="zh-CN"/>
              </w:rPr>
              <w:t>；</w:t>
            </w:r>
          </w:p>
          <w:p w14:paraId="5175285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金检</w:t>
            </w:r>
            <w:r>
              <w:rPr>
                <w:rFonts w:hint="default"/>
                <w:b w:val="0"/>
                <w:bCs/>
                <w:sz w:val="24"/>
                <w:lang w:val="en-US" w:eastAsia="zh-CN"/>
              </w:rPr>
              <w:t>：产品均匀进入金属探测器进行金属检测，进入X光机进行非金属检测；</w:t>
            </w:r>
          </w:p>
          <w:p w14:paraId="52E415C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拣包、装箱</w:t>
            </w:r>
            <w:r>
              <w:rPr>
                <w:rFonts w:hint="default"/>
                <w:b w:val="0"/>
                <w:bCs/>
                <w:sz w:val="24"/>
                <w:lang w:val="en-US" w:eastAsia="zh-CN"/>
              </w:rPr>
              <w:t>：按照产品包装要求装入中袋或套袋中，封口备用</w:t>
            </w:r>
            <w:r>
              <w:rPr>
                <w:rFonts w:hint="eastAsia"/>
                <w:b w:val="0"/>
                <w:bCs/>
                <w:sz w:val="24"/>
                <w:lang w:val="en-US" w:eastAsia="zh-CN"/>
              </w:rPr>
              <w:t>，</w:t>
            </w:r>
            <w:r>
              <w:rPr>
                <w:rFonts w:hint="default"/>
                <w:b w:val="0"/>
                <w:bCs/>
                <w:sz w:val="24"/>
                <w:lang w:val="en-US" w:eastAsia="zh-CN"/>
              </w:rPr>
              <w:t>将封好的中袋和套袋产品按装箱要求装入箱中</w:t>
            </w:r>
            <w:r>
              <w:rPr>
                <w:rFonts w:hint="eastAsia"/>
                <w:b w:val="0"/>
                <w:bCs/>
                <w:sz w:val="24"/>
                <w:lang w:val="en-US" w:eastAsia="zh-CN"/>
              </w:rPr>
              <w:t>，</w:t>
            </w:r>
            <w:r>
              <w:rPr>
                <w:rFonts w:hint="default"/>
                <w:b w:val="0"/>
                <w:bCs/>
                <w:sz w:val="24"/>
                <w:lang w:val="en-US" w:eastAsia="zh-CN"/>
              </w:rPr>
              <w:t>将纸箱推入封箱机内封口；</w:t>
            </w:r>
          </w:p>
          <w:p w14:paraId="7F605C5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jc w:val="left"/>
              <w:textAlignment w:val="auto"/>
              <w:rPr>
                <w:rFonts w:hint="default"/>
                <w:b w:val="0"/>
                <w:bCs/>
                <w:sz w:val="24"/>
                <w:lang w:val="en-US" w:eastAsia="zh-CN"/>
              </w:rPr>
            </w:pPr>
            <w:r>
              <w:rPr>
                <w:rFonts w:hint="default"/>
                <w:b/>
                <w:bCs w:val="0"/>
                <w:sz w:val="24"/>
                <w:lang w:val="en-US" w:eastAsia="zh-CN"/>
              </w:rPr>
              <w:t>入库</w:t>
            </w:r>
            <w:r>
              <w:rPr>
                <w:rFonts w:hint="default"/>
                <w:b w:val="0"/>
                <w:bCs/>
                <w:sz w:val="24"/>
                <w:lang w:val="en-US" w:eastAsia="zh-CN"/>
              </w:rPr>
              <w:t>：产品入库应按产品的品种、规格和生产批次入常温库储存，仓库管理员做好入库的相关记录，确保仓库卫生、干燥、阴凉、通风，产品离地离墙码放，码放整齐，并做好标识。</w:t>
            </w:r>
          </w:p>
          <w:p w14:paraId="5D073CC3">
            <w:pPr>
              <w:keepNext w:val="0"/>
              <w:keepLines w:val="0"/>
              <w:numPr>
                <w:ilvl w:val="0"/>
                <w:numId w:val="12"/>
              </w:numPr>
              <w:suppressLineNumbers w:val="0"/>
              <w:spacing w:before="0" w:beforeAutospacing="0" w:after="0" w:afterAutospacing="0" w:line="360" w:lineRule="auto"/>
              <w:ind w:left="0" w:right="0"/>
              <w:jc w:val="left"/>
              <w:rPr>
                <w:rFonts w:hint="eastAsia"/>
                <w:b w:val="0"/>
                <w:bCs/>
                <w:sz w:val="24"/>
                <w:highlight w:val="none"/>
                <w:lang w:eastAsia="zh-CN"/>
              </w:rPr>
            </w:pPr>
            <w:r>
              <w:rPr>
                <w:rFonts w:hint="eastAsia"/>
                <w:b w:val="0"/>
                <w:bCs/>
                <w:sz w:val="24"/>
                <w:highlight w:val="none"/>
                <w:lang w:val="en-US" w:eastAsia="zh-CN"/>
              </w:rPr>
              <w:t>生物质锅炉生产工艺及产污节点</w:t>
            </w:r>
          </w:p>
          <w:p w14:paraId="024F3E6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b/>
                <w:bCs w:val="0"/>
                <w:sz w:val="21"/>
                <w:szCs w:val="21"/>
                <w:highlight w:val="none"/>
                <w:lang w:val="en-US" w:eastAsia="zh-CN"/>
              </w:rPr>
            </w:pPr>
            <w:r>
              <w:rPr>
                <w:rFonts w:hint="eastAsia"/>
                <w:b/>
                <w:bCs w:val="0"/>
                <w:sz w:val="21"/>
                <w:szCs w:val="21"/>
                <w:highlight w:val="none"/>
                <w:lang w:val="en-US" w:eastAsia="zh-CN"/>
              </w:rPr>
              <w:object>
                <v:shape id="_x0000_i1029" o:spt="75" type="#_x0000_t75" style="height:81.2pt;width:369.15pt;" o:ole="t" filled="f" o:preferrelative="t" stroked="f" coordsize="21600,21600">
                  <v:path/>
                  <v:fill on="f" focussize="0,0"/>
                  <v:stroke on="f"/>
                  <v:imagedata r:id="rId30" cropbottom="-7846f" o:title=""/>
                  <o:lock v:ext="edit" aspectratio="f"/>
                  <w10:wrap type="none"/>
                  <w10:anchorlock/>
                </v:shape>
                <o:OLEObject Type="Embed" ProgID="Visio.Drawing.15" ShapeID="_x0000_i1029" DrawAspect="Content" ObjectID="_1468075729" r:id="rId29">
                  <o:LockedField>false</o:LockedField>
                </o:OLEObject>
              </w:object>
            </w:r>
          </w:p>
          <w:p w14:paraId="0704487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4"/>
                <w:lang w:val="en-US" w:eastAsia="zh-CN"/>
              </w:rPr>
            </w:pPr>
            <w:r>
              <w:rPr>
                <w:rFonts w:hint="eastAsia"/>
                <w:b/>
                <w:bCs w:val="0"/>
                <w:sz w:val="24"/>
                <w:szCs w:val="24"/>
                <w:highlight w:val="none"/>
                <w:lang w:val="en-US" w:eastAsia="zh-CN"/>
              </w:rPr>
              <w:t>图2-5生物质蒸汽锅炉产污节点图</w:t>
            </w:r>
          </w:p>
          <w:p w14:paraId="52A55937">
            <w:pPr>
              <w:pStyle w:val="23"/>
              <w:keepNext w:val="0"/>
              <w:keepLines w:val="0"/>
              <w:suppressLineNumbers w:val="0"/>
              <w:spacing w:before="0" w:beforeAutospacing="0" w:afterAutospacing="0"/>
              <w:ind w:left="0" w:leftChars="0" w:right="0" w:firstLine="0" w:firstLineChars="0"/>
              <w:jc w:val="both"/>
              <w:rPr>
                <w:rFonts w:hint="eastAsia"/>
                <w:lang w:eastAsia="zh-CN"/>
              </w:rPr>
            </w:pPr>
            <w:r>
              <w:rPr>
                <w:rFonts w:hint="eastAsia"/>
                <w:b/>
                <w:bCs/>
                <w:lang w:eastAsia="zh-CN"/>
              </w:rPr>
              <w:t>生产工艺简述</w:t>
            </w:r>
            <w:r>
              <w:rPr>
                <w:rFonts w:hint="eastAsia"/>
                <w:lang w:eastAsia="zh-CN"/>
              </w:rPr>
              <w:t>：</w:t>
            </w:r>
          </w:p>
          <w:p w14:paraId="1EA81E1A">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lang w:eastAsia="zh-CN"/>
              </w:rPr>
            </w:pPr>
            <w:r>
              <w:rPr>
                <w:rFonts w:hint="eastAsia"/>
                <w:lang w:eastAsia="zh-CN"/>
              </w:rPr>
              <w:t>自来水经软水制备系统处理后供给锅炉，锅炉燃料为生物质</w:t>
            </w:r>
            <w:r>
              <w:rPr>
                <w:rFonts w:hint="eastAsia"/>
                <w:lang w:val="en-US" w:eastAsia="zh-CN"/>
              </w:rPr>
              <w:t>成型燃料</w:t>
            </w:r>
            <w:r>
              <w:rPr>
                <w:rFonts w:hint="eastAsia"/>
                <w:lang w:eastAsia="zh-CN"/>
              </w:rPr>
              <w:t>，经管道输送至锅炉，通过生物质燃烧加热锅炉内的软水，使其蒸发为水蒸汽，然后通过管道输送至生产车间，用于</w:t>
            </w:r>
            <w:r>
              <w:rPr>
                <w:rFonts w:hint="eastAsia"/>
                <w:lang w:val="en-US" w:eastAsia="zh-CN"/>
              </w:rPr>
              <w:t>生产</w:t>
            </w:r>
            <w:r>
              <w:rPr>
                <w:rFonts w:hint="eastAsia"/>
                <w:lang w:eastAsia="zh-CN"/>
              </w:rPr>
              <w:t>工序。本项目锅炉废气通过</w:t>
            </w:r>
            <w:r>
              <w:rPr>
                <w:rFonts w:hint="eastAsia"/>
                <w:lang w:val="en-US" w:eastAsia="zh-CN"/>
              </w:rPr>
              <w:t>单管旋风除尘器+</w:t>
            </w:r>
            <w:r>
              <w:rPr>
                <w:rFonts w:hint="eastAsia"/>
                <w:lang w:eastAsia="zh-CN"/>
              </w:rPr>
              <w:t>布袋除尘</w:t>
            </w:r>
            <w:r>
              <w:rPr>
                <w:rFonts w:hint="eastAsia"/>
                <w:lang w:val="en-US" w:eastAsia="zh-CN"/>
              </w:rPr>
              <w:t>器</w:t>
            </w:r>
            <w:r>
              <w:rPr>
                <w:rFonts w:hint="eastAsia"/>
                <w:lang w:eastAsia="zh-CN"/>
              </w:rPr>
              <w:t>进行处理</w:t>
            </w:r>
            <w:r>
              <w:rPr>
                <w:rFonts w:hint="eastAsia"/>
                <w:lang w:val="en-US" w:eastAsia="zh-CN"/>
              </w:rPr>
              <w:t>达标后</w:t>
            </w:r>
            <w:r>
              <w:rPr>
                <w:rFonts w:hint="eastAsia"/>
                <w:lang w:eastAsia="zh-CN"/>
              </w:rPr>
              <w:t>，通过35m高</w:t>
            </w:r>
            <w:r>
              <w:rPr>
                <w:rFonts w:hint="eastAsia"/>
                <w:lang w:val="en-US" w:eastAsia="zh-CN"/>
              </w:rPr>
              <w:t>DA001</w:t>
            </w:r>
            <w:r>
              <w:rPr>
                <w:rFonts w:hint="eastAsia"/>
                <w:lang w:eastAsia="zh-CN"/>
              </w:rPr>
              <w:t>排气筒排放。</w:t>
            </w:r>
          </w:p>
          <w:p w14:paraId="266CAB93">
            <w:pPr>
              <w:keepNext w:val="0"/>
              <w:keepLines w:val="0"/>
              <w:widowControl/>
              <w:numPr>
                <w:ilvl w:val="0"/>
                <w:numId w:val="11"/>
              </w:numPr>
              <w:suppressLineNumbers w:val="0"/>
              <w:snapToGrid w:val="0"/>
              <w:spacing w:before="0" w:beforeAutospacing="0" w:after="0" w:afterAutospacing="0" w:line="360" w:lineRule="auto"/>
              <w:ind w:left="0" w:right="0"/>
              <w:rPr>
                <w:rFonts w:hint="default"/>
                <w:sz w:val="24"/>
              </w:rPr>
            </w:pPr>
            <w:r>
              <w:rPr>
                <w:rFonts w:hint="eastAsia"/>
                <w:sz w:val="24"/>
                <w:lang w:val="en-US" w:eastAsia="zh-CN"/>
              </w:rPr>
              <w:t>本项目</w:t>
            </w:r>
            <w:r>
              <w:rPr>
                <w:rFonts w:hint="default"/>
                <w:sz w:val="24"/>
              </w:rPr>
              <w:t>产排污节点</w:t>
            </w:r>
            <w:r>
              <w:rPr>
                <w:rFonts w:hint="eastAsia"/>
                <w:sz w:val="24"/>
                <w:lang w:val="en-US" w:eastAsia="zh-CN"/>
              </w:rPr>
              <w:t>一览表</w:t>
            </w:r>
          </w:p>
          <w:p w14:paraId="564802EA">
            <w:pPr>
              <w:keepNext w:val="0"/>
              <w:keepLines w:val="0"/>
              <w:suppressLineNumbers w:val="0"/>
              <w:spacing w:before="0" w:beforeAutospacing="0" w:after="0" w:afterAutospacing="0" w:line="360" w:lineRule="auto"/>
              <w:ind w:left="0" w:right="0" w:firstLine="480" w:firstLineChars="200"/>
              <w:rPr>
                <w:rFonts w:hint="default"/>
                <w:sz w:val="24"/>
                <w:u w:val="none"/>
              </w:rPr>
            </w:pPr>
            <w:r>
              <w:rPr>
                <w:rFonts w:hint="default"/>
                <w:sz w:val="24"/>
                <w:u w:val="none"/>
              </w:rPr>
              <w:t>本项目生产过程中主要产排污节点见下表。</w:t>
            </w:r>
          </w:p>
          <w:p w14:paraId="1C93900E">
            <w:pPr>
              <w:pStyle w:val="33"/>
              <w:keepNext w:val="0"/>
              <w:keepLines w:val="0"/>
              <w:numPr>
                <w:ilvl w:val="0"/>
                <w:numId w:val="7"/>
              </w:numPr>
              <w:suppressLineNumbers w:val="0"/>
              <w:spacing w:before="0" w:beforeAutospacing="0" w:after="0" w:afterAutospacing="0"/>
              <w:ind w:right="0" w:firstLineChars="0"/>
              <w:jc w:val="center"/>
              <w:rPr>
                <w:rFonts w:hint="default"/>
                <w:b/>
                <w:sz w:val="24"/>
                <w:u w:val="none"/>
              </w:rPr>
            </w:pPr>
            <w:r>
              <w:rPr>
                <w:rFonts w:hint="default"/>
                <w:b/>
                <w:sz w:val="24"/>
                <w:szCs w:val="24"/>
                <w:u w:val="none"/>
              </w:rPr>
              <w:t>项目产排污节点表</w:t>
            </w:r>
          </w:p>
          <w:tbl>
            <w:tblPr>
              <w:tblStyle w:val="24"/>
              <w:tblW w:w="8297" w:type="dxa"/>
              <w:tblInd w:w="-3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1341"/>
              <w:gridCol w:w="2253"/>
              <w:gridCol w:w="2107"/>
              <w:gridCol w:w="1809"/>
            </w:tblGrid>
            <w:tr w14:paraId="02C07B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74" w:type="pct"/>
                  <w:tcBorders>
                    <w:tl2br w:val="nil"/>
                    <w:tr2bl w:val="nil"/>
                  </w:tcBorders>
                  <w:vAlign w:val="center"/>
                </w:tcPr>
                <w:p w14:paraId="0ADE16F2">
                  <w:pPr>
                    <w:keepNext w:val="0"/>
                    <w:keepLines w:val="0"/>
                    <w:suppressLineNumbers w:val="0"/>
                    <w:spacing w:before="0" w:beforeAutospacing="0" w:after="0" w:afterAutospacing="0"/>
                    <w:ind w:left="0" w:right="0"/>
                    <w:jc w:val="center"/>
                    <w:rPr>
                      <w:rFonts w:hint="default"/>
                      <w:b/>
                      <w:bCs/>
                      <w:szCs w:val="21"/>
                      <w:u w:val="none"/>
                    </w:rPr>
                  </w:pPr>
                  <w:r>
                    <w:rPr>
                      <w:rFonts w:hint="default"/>
                      <w:b/>
                      <w:bCs/>
                      <w:szCs w:val="21"/>
                      <w:u w:val="none"/>
                    </w:rPr>
                    <w:t>类别</w:t>
                  </w:r>
                </w:p>
              </w:tc>
              <w:tc>
                <w:tcPr>
                  <w:tcW w:w="808" w:type="pct"/>
                  <w:tcBorders>
                    <w:tl2br w:val="nil"/>
                    <w:tr2bl w:val="nil"/>
                  </w:tcBorders>
                  <w:vAlign w:val="center"/>
                </w:tcPr>
                <w:p w14:paraId="6BEC354F">
                  <w:pPr>
                    <w:keepNext w:val="0"/>
                    <w:keepLines w:val="0"/>
                    <w:suppressLineNumbers w:val="0"/>
                    <w:spacing w:before="0" w:beforeAutospacing="0" w:after="0" w:afterAutospacing="0"/>
                    <w:ind w:left="0" w:right="0"/>
                    <w:jc w:val="center"/>
                    <w:rPr>
                      <w:rFonts w:hint="default"/>
                      <w:b/>
                      <w:bCs/>
                      <w:szCs w:val="21"/>
                      <w:u w:val="none"/>
                    </w:rPr>
                  </w:pPr>
                  <w:r>
                    <w:rPr>
                      <w:rFonts w:hint="default"/>
                      <w:b/>
                      <w:bCs/>
                      <w:szCs w:val="21"/>
                      <w:u w:val="none"/>
                    </w:rPr>
                    <w:t>产排污环节</w:t>
                  </w:r>
                </w:p>
              </w:tc>
              <w:tc>
                <w:tcPr>
                  <w:tcW w:w="1357" w:type="pct"/>
                  <w:tcBorders>
                    <w:tl2br w:val="nil"/>
                    <w:tr2bl w:val="nil"/>
                  </w:tcBorders>
                  <w:vAlign w:val="center"/>
                </w:tcPr>
                <w:p w14:paraId="3C1D2B93">
                  <w:pPr>
                    <w:keepNext w:val="0"/>
                    <w:keepLines w:val="0"/>
                    <w:suppressLineNumbers w:val="0"/>
                    <w:spacing w:before="0" w:beforeAutospacing="0" w:after="0" w:afterAutospacing="0"/>
                    <w:ind w:left="0" w:right="0"/>
                    <w:jc w:val="center"/>
                    <w:rPr>
                      <w:rFonts w:hint="default"/>
                      <w:b/>
                      <w:bCs/>
                      <w:szCs w:val="21"/>
                      <w:u w:val="none"/>
                    </w:rPr>
                  </w:pPr>
                  <w:r>
                    <w:rPr>
                      <w:rFonts w:hint="default"/>
                      <w:b/>
                      <w:bCs/>
                      <w:szCs w:val="21"/>
                      <w:u w:val="none"/>
                    </w:rPr>
                    <w:t>主要污染物</w:t>
                  </w:r>
                </w:p>
              </w:tc>
              <w:tc>
                <w:tcPr>
                  <w:tcW w:w="1269" w:type="pct"/>
                  <w:tcBorders>
                    <w:tl2br w:val="nil"/>
                    <w:tr2bl w:val="nil"/>
                  </w:tcBorders>
                  <w:vAlign w:val="center"/>
                </w:tcPr>
                <w:p w14:paraId="7300F227">
                  <w:pPr>
                    <w:keepNext w:val="0"/>
                    <w:keepLines w:val="0"/>
                    <w:suppressLineNumbers w:val="0"/>
                    <w:spacing w:before="0" w:beforeAutospacing="0" w:after="0" w:afterAutospacing="0"/>
                    <w:ind w:left="0" w:right="0"/>
                    <w:jc w:val="center"/>
                    <w:rPr>
                      <w:rFonts w:hint="default"/>
                      <w:b/>
                      <w:bCs/>
                      <w:szCs w:val="21"/>
                      <w:u w:val="none"/>
                    </w:rPr>
                  </w:pPr>
                  <w:r>
                    <w:rPr>
                      <w:rFonts w:hint="default"/>
                      <w:b/>
                      <w:bCs/>
                      <w:szCs w:val="21"/>
                      <w:u w:val="none"/>
                    </w:rPr>
                    <w:t>收集处理</w:t>
                  </w:r>
                </w:p>
              </w:tc>
              <w:tc>
                <w:tcPr>
                  <w:tcW w:w="1090" w:type="pct"/>
                  <w:tcBorders>
                    <w:tl2br w:val="nil"/>
                    <w:tr2bl w:val="nil"/>
                  </w:tcBorders>
                  <w:vAlign w:val="center"/>
                </w:tcPr>
                <w:p w14:paraId="146A955A">
                  <w:pPr>
                    <w:keepNext w:val="0"/>
                    <w:keepLines w:val="0"/>
                    <w:suppressLineNumbers w:val="0"/>
                    <w:spacing w:before="0" w:beforeAutospacing="0" w:after="0" w:afterAutospacing="0"/>
                    <w:ind w:left="0" w:right="0"/>
                    <w:jc w:val="center"/>
                    <w:rPr>
                      <w:rFonts w:hint="default"/>
                      <w:b/>
                      <w:bCs/>
                      <w:szCs w:val="21"/>
                      <w:u w:val="none"/>
                    </w:rPr>
                  </w:pPr>
                  <w:r>
                    <w:rPr>
                      <w:rFonts w:hint="default"/>
                      <w:b/>
                      <w:bCs/>
                      <w:szCs w:val="21"/>
                      <w:u w:val="none"/>
                    </w:rPr>
                    <w:t>排放方式</w:t>
                  </w:r>
                </w:p>
              </w:tc>
            </w:tr>
            <w:tr w14:paraId="2C7FEC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474" w:type="pct"/>
                  <w:vMerge w:val="restart"/>
                  <w:tcBorders>
                    <w:tl2br w:val="nil"/>
                    <w:tr2bl w:val="nil"/>
                  </w:tcBorders>
                  <w:vAlign w:val="center"/>
                </w:tcPr>
                <w:p w14:paraId="10CE84B3">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废水</w:t>
                  </w:r>
                </w:p>
              </w:tc>
              <w:tc>
                <w:tcPr>
                  <w:tcW w:w="808" w:type="pct"/>
                  <w:tcBorders>
                    <w:tl2br w:val="nil"/>
                    <w:tr2bl w:val="nil"/>
                  </w:tcBorders>
                  <w:vAlign w:val="center"/>
                </w:tcPr>
                <w:p w14:paraId="571C3C45">
                  <w:pPr>
                    <w:keepNext w:val="0"/>
                    <w:keepLines w:val="0"/>
                    <w:suppressLineNumbers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软水机反冲洗废水</w:t>
                  </w:r>
                </w:p>
              </w:tc>
              <w:tc>
                <w:tcPr>
                  <w:tcW w:w="1357" w:type="pct"/>
                  <w:tcBorders>
                    <w:tl2br w:val="nil"/>
                    <w:tr2bl w:val="nil"/>
                  </w:tcBorders>
                  <w:vAlign w:val="center"/>
                </w:tcPr>
                <w:p w14:paraId="4D89C121">
                  <w:pPr>
                    <w:keepNext w:val="0"/>
                    <w:keepLines w:val="0"/>
                    <w:suppressLineNumbers w:val="0"/>
                    <w:spacing w:before="0" w:beforeAutospacing="0" w:after="0" w:afterAutospacing="0"/>
                    <w:ind w:left="0" w:right="0"/>
                    <w:jc w:val="center"/>
                    <w:rPr>
                      <w:rFonts w:hint="eastAsia"/>
                      <w:szCs w:val="21"/>
                      <w:u w:val="none"/>
                      <w:lang w:val="en-US" w:eastAsia="zh-CN"/>
                    </w:rPr>
                  </w:pPr>
                  <w:r>
                    <w:rPr>
                      <w:rFonts w:hint="default"/>
                      <w:szCs w:val="21"/>
                      <w:u w:val="none"/>
                      <w:lang w:val="en-US" w:eastAsia="zh-CN"/>
                    </w:rPr>
                    <w:t>COD</w:t>
                  </w:r>
                  <w:r>
                    <w:rPr>
                      <w:rFonts w:hint="eastAsia"/>
                      <w:szCs w:val="21"/>
                      <w:u w:val="none"/>
                      <w:lang w:val="en-US" w:eastAsia="zh-CN"/>
                    </w:rPr>
                    <w:t>、SS、</w:t>
                  </w:r>
                </w:p>
                <w:p w14:paraId="5490D92D">
                  <w:pPr>
                    <w:keepNext w:val="0"/>
                    <w:keepLines w:val="0"/>
                    <w:suppressLineNumbers w:val="0"/>
                    <w:spacing w:before="0" w:beforeAutospacing="0" w:after="0" w:afterAutospacing="0"/>
                    <w:ind w:left="0" w:right="0"/>
                    <w:jc w:val="center"/>
                    <w:rPr>
                      <w:rFonts w:hint="default"/>
                      <w:szCs w:val="21"/>
                      <w:u w:val="none"/>
                      <w:lang w:val="en-US"/>
                    </w:rPr>
                  </w:pPr>
                  <w:r>
                    <w:rPr>
                      <w:rFonts w:hint="eastAsia"/>
                      <w:szCs w:val="21"/>
                      <w:u w:val="none"/>
                      <w:lang w:val="en-US" w:eastAsia="zh-CN"/>
                    </w:rPr>
                    <w:t>溶解性总固体</w:t>
                  </w:r>
                </w:p>
              </w:tc>
              <w:tc>
                <w:tcPr>
                  <w:tcW w:w="1269" w:type="pct"/>
                  <w:tcBorders>
                    <w:tl2br w:val="nil"/>
                    <w:tr2bl w:val="nil"/>
                  </w:tcBorders>
                  <w:vAlign w:val="center"/>
                </w:tcPr>
                <w:p w14:paraId="778224D1">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default" w:eastAsia="宋体"/>
                      <w:szCs w:val="21"/>
                      <w:u w:val="none"/>
                      <w:lang w:val="en-US" w:eastAsia="zh-CN"/>
                    </w:rPr>
                    <w:t>软水机反冲洗废水回用于冷渣机冷却水</w:t>
                  </w:r>
                </w:p>
              </w:tc>
              <w:tc>
                <w:tcPr>
                  <w:tcW w:w="1090" w:type="pct"/>
                  <w:vMerge w:val="restart"/>
                  <w:tcBorders>
                    <w:tl2br w:val="nil"/>
                    <w:tr2bl w:val="nil"/>
                  </w:tcBorders>
                  <w:vAlign w:val="center"/>
                </w:tcPr>
                <w:p w14:paraId="589D62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szCs w:val="21"/>
                      <w:u w:val="none"/>
                      <w:lang w:val="en-US" w:eastAsia="zh-CN"/>
                    </w:rPr>
                  </w:pPr>
                  <w:r>
                    <w:rPr>
                      <w:rFonts w:hint="eastAsia"/>
                      <w:szCs w:val="21"/>
                      <w:u w:val="none"/>
                      <w:lang w:val="en-US" w:eastAsia="zh-CN"/>
                    </w:rPr>
                    <w:t>不外排</w:t>
                  </w:r>
                </w:p>
              </w:tc>
            </w:tr>
            <w:tr w14:paraId="5E4EAB9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74" w:type="pct"/>
                  <w:vMerge w:val="continue"/>
                  <w:tcBorders>
                    <w:tl2br w:val="nil"/>
                    <w:tr2bl w:val="nil"/>
                  </w:tcBorders>
                  <w:vAlign w:val="center"/>
                </w:tcPr>
                <w:p w14:paraId="2F170DB7">
                  <w:pPr>
                    <w:keepNext w:val="0"/>
                    <w:keepLines w:val="0"/>
                    <w:suppressLineNumbers w:val="0"/>
                    <w:spacing w:before="0" w:beforeAutospacing="0" w:after="0" w:afterAutospacing="0"/>
                    <w:ind w:left="0" w:right="0"/>
                    <w:jc w:val="center"/>
                    <w:rPr>
                      <w:rFonts w:hint="default"/>
                    </w:rPr>
                  </w:pPr>
                </w:p>
              </w:tc>
              <w:tc>
                <w:tcPr>
                  <w:tcW w:w="808" w:type="pct"/>
                  <w:vMerge w:val="restart"/>
                  <w:tcBorders>
                    <w:tl2br w:val="nil"/>
                    <w:tr2bl w:val="nil"/>
                  </w:tcBorders>
                  <w:vAlign w:val="center"/>
                </w:tcPr>
                <w:p w14:paraId="4944F34A">
                  <w:pPr>
                    <w:keepNext w:val="0"/>
                    <w:keepLines w:val="0"/>
                    <w:suppressLineNumbers w:val="0"/>
                    <w:spacing w:before="0" w:beforeAutospacing="0" w:after="0" w:afterAutospacing="0"/>
                    <w:ind w:left="0" w:right="0"/>
                    <w:jc w:val="center"/>
                    <w:rPr>
                      <w:rFonts w:hint="default"/>
                      <w:szCs w:val="21"/>
                      <w:u w:val="none"/>
                      <w:lang w:val="en-US" w:eastAsia="zh-CN"/>
                    </w:rPr>
                  </w:pPr>
                  <w:r>
                    <w:rPr>
                      <w:rFonts w:hint="eastAsia"/>
                      <w:szCs w:val="21"/>
                      <w:u w:val="none"/>
                      <w:lang w:val="en-US" w:eastAsia="zh-CN"/>
                    </w:rPr>
                    <w:t>蒸汽冷凝水</w:t>
                  </w:r>
                </w:p>
              </w:tc>
              <w:tc>
                <w:tcPr>
                  <w:tcW w:w="1357" w:type="pct"/>
                  <w:vMerge w:val="restart"/>
                  <w:tcBorders>
                    <w:tl2br w:val="nil"/>
                    <w:tr2bl w:val="nil"/>
                  </w:tcBorders>
                  <w:vAlign w:val="center"/>
                </w:tcPr>
                <w:p w14:paraId="5C3EB307">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COD、SS、</w:t>
                  </w:r>
                </w:p>
                <w:p w14:paraId="013A856B">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溶解性总固体</w:t>
                  </w:r>
                </w:p>
              </w:tc>
              <w:tc>
                <w:tcPr>
                  <w:tcW w:w="1269" w:type="pct"/>
                  <w:tcBorders>
                    <w:tl2br w:val="nil"/>
                    <w:tr2bl w:val="nil"/>
                  </w:tcBorders>
                  <w:vAlign w:val="center"/>
                </w:tcPr>
                <w:p w14:paraId="224E9BEA">
                  <w:pPr>
                    <w:keepNext w:val="0"/>
                    <w:keepLines w:val="0"/>
                    <w:suppressLineNumbers w:val="0"/>
                    <w:spacing w:before="0" w:beforeAutospacing="0" w:after="0" w:afterAutospacing="0"/>
                    <w:ind w:left="0" w:right="0"/>
                    <w:jc w:val="center"/>
                    <w:rPr>
                      <w:rFonts w:hint="default"/>
                      <w:szCs w:val="21"/>
                      <w:highlight w:val="yellow"/>
                      <w:u w:val="none"/>
                      <w:lang w:val="en-US" w:eastAsia="zh-CN"/>
                    </w:rPr>
                  </w:pPr>
                  <w:r>
                    <w:rPr>
                      <w:rFonts w:hint="eastAsia"/>
                      <w:szCs w:val="21"/>
                      <w:highlight w:val="none"/>
                      <w:u w:val="none"/>
                      <w:lang w:val="en-US" w:eastAsia="zh-CN"/>
                    </w:rPr>
                    <w:t>回用于生产</w:t>
                  </w:r>
                </w:p>
              </w:tc>
              <w:tc>
                <w:tcPr>
                  <w:tcW w:w="1090" w:type="pct"/>
                  <w:vMerge w:val="continue"/>
                  <w:tcBorders>
                    <w:tl2br w:val="nil"/>
                    <w:tr2bl w:val="nil"/>
                  </w:tcBorders>
                  <w:vAlign w:val="center"/>
                </w:tcPr>
                <w:p w14:paraId="791CDC65">
                  <w:pPr>
                    <w:keepNext w:val="0"/>
                    <w:keepLines w:val="0"/>
                    <w:suppressLineNumbers w:val="0"/>
                    <w:spacing w:before="0" w:beforeAutospacing="0" w:after="0" w:afterAutospacing="0"/>
                    <w:ind w:left="0" w:right="0"/>
                    <w:jc w:val="center"/>
                    <w:rPr>
                      <w:rFonts w:hint="eastAsia"/>
                      <w:szCs w:val="21"/>
                      <w:u w:val="none"/>
                      <w:lang w:val="en-US" w:eastAsia="zh-CN"/>
                    </w:rPr>
                  </w:pPr>
                </w:p>
              </w:tc>
            </w:tr>
            <w:tr w14:paraId="3EB999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74" w:type="pct"/>
                  <w:vMerge w:val="continue"/>
                  <w:tcBorders>
                    <w:tl2br w:val="nil"/>
                    <w:tr2bl w:val="nil"/>
                  </w:tcBorders>
                  <w:vAlign w:val="center"/>
                </w:tcPr>
                <w:p w14:paraId="787158E4">
                  <w:pPr>
                    <w:keepNext w:val="0"/>
                    <w:keepLines w:val="0"/>
                    <w:suppressLineNumbers w:val="0"/>
                    <w:spacing w:before="0" w:beforeAutospacing="0" w:after="0" w:afterAutospacing="0"/>
                    <w:ind w:left="0" w:right="0"/>
                    <w:jc w:val="center"/>
                    <w:rPr>
                      <w:rFonts w:hint="default"/>
                    </w:rPr>
                  </w:pPr>
                </w:p>
              </w:tc>
              <w:tc>
                <w:tcPr>
                  <w:tcW w:w="808" w:type="pct"/>
                  <w:vMerge w:val="continue"/>
                  <w:tcBorders>
                    <w:tl2br w:val="nil"/>
                    <w:tr2bl w:val="nil"/>
                  </w:tcBorders>
                  <w:vAlign w:val="center"/>
                </w:tcPr>
                <w:p w14:paraId="6FD89D63">
                  <w:pPr>
                    <w:keepNext w:val="0"/>
                    <w:keepLines w:val="0"/>
                    <w:suppressLineNumbers w:val="0"/>
                    <w:spacing w:before="0" w:beforeAutospacing="0" w:after="0" w:afterAutospacing="0"/>
                    <w:ind w:left="0" w:right="0"/>
                    <w:jc w:val="center"/>
                    <w:rPr>
                      <w:rFonts w:hint="default"/>
                    </w:rPr>
                  </w:pPr>
                </w:p>
              </w:tc>
              <w:tc>
                <w:tcPr>
                  <w:tcW w:w="1357" w:type="pct"/>
                  <w:vMerge w:val="continue"/>
                  <w:tcBorders>
                    <w:tl2br w:val="nil"/>
                    <w:tr2bl w:val="nil"/>
                  </w:tcBorders>
                  <w:vAlign w:val="center"/>
                </w:tcPr>
                <w:p w14:paraId="1627A43C">
                  <w:pPr>
                    <w:keepNext w:val="0"/>
                    <w:keepLines w:val="0"/>
                    <w:suppressLineNumbers w:val="0"/>
                    <w:spacing w:before="0" w:beforeAutospacing="0" w:after="0" w:afterAutospacing="0"/>
                    <w:ind w:left="0" w:right="0"/>
                    <w:jc w:val="center"/>
                    <w:rPr>
                      <w:rFonts w:hint="default"/>
                    </w:rPr>
                  </w:pPr>
                </w:p>
              </w:tc>
              <w:tc>
                <w:tcPr>
                  <w:tcW w:w="1269" w:type="pct"/>
                  <w:tcBorders>
                    <w:tl2br w:val="nil"/>
                    <w:tr2bl w:val="nil"/>
                  </w:tcBorders>
                  <w:vAlign w:val="center"/>
                </w:tcPr>
                <w:p w14:paraId="761F511A">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highlight w:val="none"/>
                      <w:u w:val="none"/>
                      <w:lang w:val="en-US" w:eastAsia="zh-CN"/>
                    </w:rPr>
                    <w:t>车间分汽缸处的冷凝水排入隔油沉淀池</w:t>
                  </w:r>
                </w:p>
              </w:tc>
              <w:tc>
                <w:tcPr>
                  <w:tcW w:w="1090" w:type="pct"/>
                  <w:vMerge w:val="restart"/>
                  <w:tcBorders>
                    <w:tl2br w:val="nil"/>
                    <w:tr2bl w:val="nil"/>
                  </w:tcBorders>
                  <w:vAlign w:val="center"/>
                </w:tcPr>
                <w:p w14:paraId="48B1DEB3">
                  <w:pPr>
                    <w:keepNext w:val="0"/>
                    <w:keepLines w:val="0"/>
                    <w:suppressLineNumbers w:val="0"/>
                    <w:spacing w:before="0" w:beforeAutospacing="0" w:after="0" w:afterAutospacing="0"/>
                    <w:ind w:left="0" w:right="0"/>
                    <w:jc w:val="center"/>
                    <w:rPr>
                      <w:rFonts w:hint="default"/>
                      <w:szCs w:val="21"/>
                      <w:u w:val="none"/>
                    </w:rPr>
                  </w:pPr>
                  <w:r>
                    <w:rPr>
                      <w:rFonts w:hint="eastAsia"/>
                      <w:szCs w:val="21"/>
                      <w:u w:val="none"/>
                      <w:lang w:val="en-US" w:eastAsia="zh-CN"/>
                    </w:rPr>
                    <w:t>通过园区污水管网排入君山第二污水处理厂预处理中心，处理后的废水排入君山工业园第二污水处理厂深度处理，处理达标后外排长江</w:t>
                  </w:r>
                </w:p>
              </w:tc>
            </w:tr>
            <w:tr w14:paraId="734D41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474" w:type="pct"/>
                  <w:vMerge w:val="continue"/>
                  <w:tcBorders>
                    <w:tl2br w:val="nil"/>
                    <w:tr2bl w:val="nil"/>
                  </w:tcBorders>
                  <w:vAlign w:val="center"/>
                </w:tcPr>
                <w:p w14:paraId="39376E91">
                  <w:pPr>
                    <w:keepNext w:val="0"/>
                    <w:keepLines w:val="0"/>
                    <w:suppressLineNumbers w:val="0"/>
                    <w:spacing w:before="0" w:beforeAutospacing="0" w:after="0" w:afterAutospacing="0"/>
                    <w:ind w:left="0" w:right="0"/>
                    <w:jc w:val="center"/>
                    <w:rPr>
                      <w:rFonts w:hint="eastAsia"/>
                      <w:szCs w:val="21"/>
                      <w:u w:val="none"/>
                      <w:lang w:val="en-US" w:eastAsia="zh-CN"/>
                    </w:rPr>
                  </w:pPr>
                </w:p>
              </w:tc>
              <w:tc>
                <w:tcPr>
                  <w:tcW w:w="808" w:type="pct"/>
                  <w:tcBorders>
                    <w:tl2br w:val="nil"/>
                    <w:tr2bl w:val="nil"/>
                  </w:tcBorders>
                  <w:vAlign w:val="center"/>
                </w:tcPr>
                <w:p w14:paraId="1DF5AE54">
                  <w:pPr>
                    <w:keepNext w:val="0"/>
                    <w:keepLines w:val="0"/>
                    <w:suppressLineNumbers w:val="0"/>
                    <w:spacing w:before="0" w:beforeAutospacing="0" w:after="0" w:afterAutospacing="0"/>
                    <w:ind w:left="0" w:right="0"/>
                    <w:jc w:val="center"/>
                    <w:rPr>
                      <w:rFonts w:hint="default"/>
                      <w:szCs w:val="21"/>
                      <w:u w:val="none"/>
                      <w:lang w:val="en-US" w:eastAsia="zh-CN"/>
                    </w:rPr>
                  </w:pPr>
                  <w:r>
                    <w:rPr>
                      <w:rFonts w:hint="eastAsia"/>
                      <w:szCs w:val="21"/>
                      <w:u w:val="none"/>
                      <w:lang w:val="en-US" w:eastAsia="zh-CN"/>
                    </w:rPr>
                    <w:t>锅炉排污水</w:t>
                  </w:r>
                </w:p>
              </w:tc>
              <w:tc>
                <w:tcPr>
                  <w:tcW w:w="1357" w:type="pct"/>
                  <w:tcBorders>
                    <w:tl2br w:val="nil"/>
                    <w:tr2bl w:val="nil"/>
                  </w:tcBorders>
                  <w:vAlign w:val="center"/>
                </w:tcPr>
                <w:p w14:paraId="41B6C607">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COD、SS、</w:t>
                  </w:r>
                </w:p>
                <w:p w14:paraId="35F0A38B">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溶解性总固体</w:t>
                  </w:r>
                </w:p>
              </w:tc>
              <w:tc>
                <w:tcPr>
                  <w:tcW w:w="1269" w:type="pct"/>
                  <w:tcBorders>
                    <w:tl2br w:val="nil"/>
                    <w:tr2bl w:val="nil"/>
                  </w:tcBorders>
                  <w:vAlign w:val="center"/>
                </w:tcPr>
                <w:p w14:paraId="2172C484">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锅炉定期排污水排入隔油沉淀池</w:t>
                  </w:r>
                </w:p>
              </w:tc>
              <w:tc>
                <w:tcPr>
                  <w:tcW w:w="1090" w:type="pct"/>
                  <w:vMerge w:val="continue"/>
                  <w:tcBorders>
                    <w:tl2br w:val="nil"/>
                    <w:tr2bl w:val="nil"/>
                  </w:tcBorders>
                  <w:vAlign w:val="center"/>
                </w:tcPr>
                <w:p w14:paraId="6DF9B40F">
                  <w:pPr>
                    <w:keepNext w:val="0"/>
                    <w:keepLines w:val="0"/>
                    <w:suppressLineNumbers w:val="0"/>
                    <w:spacing w:before="0" w:beforeAutospacing="0" w:after="0" w:afterAutospacing="0"/>
                    <w:ind w:left="0" w:right="0"/>
                    <w:jc w:val="center"/>
                    <w:rPr>
                      <w:rFonts w:hint="eastAsia"/>
                      <w:szCs w:val="21"/>
                      <w:u w:val="none"/>
                      <w:lang w:val="en-US" w:eastAsia="zh-CN"/>
                    </w:rPr>
                  </w:pPr>
                </w:p>
              </w:tc>
            </w:tr>
            <w:tr w14:paraId="4C53CF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6D063EB1">
                  <w:pPr>
                    <w:keepNext w:val="0"/>
                    <w:keepLines w:val="0"/>
                    <w:suppressLineNumbers w:val="0"/>
                    <w:spacing w:before="0" w:beforeAutospacing="0" w:after="0" w:afterAutospacing="0"/>
                    <w:ind w:left="0" w:right="0"/>
                    <w:jc w:val="center"/>
                    <w:rPr>
                      <w:rFonts w:hint="eastAsia"/>
                      <w:szCs w:val="21"/>
                      <w:u w:val="none"/>
                      <w:lang w:val="en-US" w:eastAsia="zh-CN"/>
                    </w:rPr>
                  </w:pPr>
                </w:p>
              </w:tc>
              <w:tc>
                <w:tcPr>
                  <w:tcW w:w="808" w:type="pct"/>
                  <w:tcBorders>
                    <w:tl2br w:val="nil"/>
                    <w:tr2bl w:val="nil"/>
                  </w:tcBorders>
                  <w:vAlign w:val="center"/>
                </w:tcPr>
                <w:p w14:paraId="41DDA857">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肉制品预处理废水</w:t>
                  </w:r>
                </w:p>
              </w:tc>
              <w:tc>
                <w:tcPr>
                  <w:tcW w:w="1357" w:type="pct"/>
                  <w:tcBorders>
                    <w:tl2br w:val="nil"/>
                    <w:tr2bl w:val="nil"/>
                  </w:tcBorders>
                  <w:vAlign w:val="center"/>
                </w:tcPr>
                <w:p w14:paraId="74E49706">
                  <w:pPr>
                    <w:keepNext w:val="0"/>
                    <w:keepLines w:val="0"/>
                    <w:suppressLineNumbers w:val="0"/>
                    <w:spacing w:before="0" w:beforeAutospacing="0" w:after="0" w:afterAutospacing="0"/>
                    <w:ind w:left="0" w:right="0"/>
                    <w:jc w:val="center"/>
                    <w:rPr>
                      <w:rFonts w:hint="default"/>
                      <w:szCs w:val="21"/>
                      <w:u w:val="none"/>
                      <w:lang w:val="en-US" w:eastAsia="zh-CN"/>
                    </w:rPr>
                  </w:pPr>
                  <w:r>
                    <w:rPr>
                      <w:rFonts w:hint="eastAsia"/>
                      <w:szCs w:val="21"/>
                      <w:u w:val="none"/>
                      <w:lang w:val="en-US" w:eastAsia="zh-CN"/>
                    </w:rPr>
                    <w:t>COD、NH</w:t>
                  </w:r>
                  <w:r>
                    <w:rPr>
                      <w:rFonts w:hint="eastAsia"/>
                      <w:szCs w:val="21"/>
                      <w:u w:val="none"/>
                      <w:vertAlign w:val="subscript"/>
                      <w:lang w:val="en-US" w:eastAsia="zh-CN"/>
                    </w:rPr>
                    <w:t>3</w:t>
                  </w:r>
                  <w:r>
                    <w:rPr>
                      <w:rFonts w:hint="eastAsia"/>
                      <w:szCs w:val="21"/>
                      <w:u w:val="none"/>
                      <w:lang w:val="en-US" w:eastAsia="zh-CN"/>
                    </w:rPr>
                    <w:t>-N、TN、</w:t>
                  </w:r>
                </w:p>
                <w:p w14:paraId="634500DE">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SS、动植物油</w:t>
                  </w:r>
                </w:p>
              </w:tc>
              <w:tc>
                <w:tcPr>
                  <w:tcW w:w="1269" w:type="pct"/>
                  <w:vMerge w:val="restart"/>
                  <w:tcBorders>
                    <w:tl2br w:val="nil"/>
                    <w:tr2bl w:val="nil"/>
                  </w:tcBorders>
                  <w:vAlign w:val="center"/>
                </w:tcPr>
                <w:p w14:paraId="3BA047B1">
                  <w:pPr>
                    <w:keepNext w:val="0"/>
                    <w:keepLines w:val="0"/>
                    <w:suppressLineNumbers w:val="0"/>
                    <w:spacing w:before="0" w:beforeAutospacing="0" w:after="0" w:afterAutospacing="0"/>
                    <w:ind w:left="0" w:right="0"/>
                    <w:jc w:val="center"/>
                    <w:rPr>
                      <w:rFonts w:hint="default"/>
                      <w:szCs w:val="21"/>
                      <w:u w:val="none"/>
                    </w:rPr>
                  </w:pPr>
                  <w:r>
                    <w:rPr>
                      <w:rFonts w:hint="eastAsia"/>
                      <w:szCs w:val="21"/>
                      <w:u w:val="none"/>
                      <w:lang w:val="en-US" w:eastAsia="zh-CN"/>
                    </w:rPr>
                    <w:t>厂区自建隔油沉淀池</w:t>
                  </w:r>
                </w:p>
              </w:tc>
              <w:tc>
                <w:tcPr>
                  <w:tcW w:w="1090" w:type="pct"/>
                  <w:vMerge w:val="continue"/>
                  <w:tcBorders>
                    <w:tl2br w:val="nil"/>
                    <w:tr2bl w:val="nil"/>
                  </w:tcBorders>
                  <w:vAlign w:val="center"/>
                </w:tcPr>
                <w:p w14:paraId="654B2C48">
                  <w:pPr>
                    <w:keepNext w:val="0"/>
                    <w:keepLines w:val="0"/>
                    <w:suppressLineNumbers w:val="0"/>
                    <w:spacing w:before="0" w:beforeAutospacing="0" w:after="0" w:afterAutospacing="0"/>
                    <w:ind w:left="0" w:right="0"/>
                    <w:jc w:val="center"/>
                    <w:rPr>
                      <w:rFonts w:hint="default"/>
                      <w:szCs w:val="21"/>
                      <w:u w:val="none"/>
                    </w:rPr>
                  </w:pPr>
                </w:p>
              </w:tc>
            </w:tr>
            <w:tr w14:paraId="644668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7CEE6EA0">
                  <w:pPr>
                    <w:keepNext w:val="0"/>
                    <w:keepLines w:val="0"/>
                    <w:suppressLineNumbers w:val="0"/>
                    <w:spacing w:before="0" w:beforeAutospacing="0" w:after="0" w:afterAutospacing="0"/>
                    <w:ind w:left="0" w:right="0"/>
                    <w:jc w:val="center"/>
                    <w:rPr>
                      <w:rFonts w:hint="eastAsia"/>
                      <w:szCs w:val="21"/>
                      <w:u w:val="none"/>
                      <w:lang w:val="en-US" w:eastAsia="zh-CN"/>
                    </w:rPr>
                  </w:pPr>
                </w:p>
              </w:tc>
              <w:tc>
                <w:tcPr>
                  <w:tcW w:w="808" w:type="pct"/>
                  <w:tcBorders>
                    <w:tl2br w:val="nil"/>
                    <w:tr2bl w:val="nil"/>
                  </w:tcBorders>
                  <w:vAlign w:val="center"/>
                </w:tcPr>
                <w:p w14:paraId="37A6DBAD">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肉制品卤制废水</w:t>
                  </w:r>
                </w:p>
              </w:tc>
              <w:tc>
                <w:tcPr>
                  <w:tcW w:w="1357" w:type="pct"/>
                  <w:tcBorders>
                    <w:tl2br w:val="nil"/>
                    <w:tr2bl w:val="nil"/>
                  </w:tcBorders>
                  <w:vAlign w:val="center"/>
                </w:tcPr>
                <w:p w14:paraId="5600E9B9">
                  <w:pPr>
                    <w:keepNext w:val="0"/>
                    <w:keepLines w:val="0"/>
                    <w:suppressLineNumbers w:val="0"/>
                    <w:spacing w:before="0" w:beforeAutospacing="0" w:after="0" w:afterAutospacing="0"/>
                    <w:ind w:left="0" w:right="0"/>
                    <w:jc w:val="center"/>
                    <w:rPr>
                      <w:rFonts w:hint="default"/>
                      <w:szCs w:val="21"/>
                      <w:u w:val="none"/>
                      <w:lang w:val="en-US" w:eastAsia="zh-CN"/>
                    </w:rPr>
                  </w:pPr>
                  <w:r>
                    <w:rPr>
                      <w:rFonts w:hint="eastAsia"/>
                      <w:szCs w:val="21"/>
                      <w:u w:val="none"/>
                      <w:lang w:val="en-US" w:eastAsia="zh-CN"/>
                    </w:rPr>
                    <w:t>COD、SS、NH</w:t>
                  </w:r>
                  <w:r>
                    <w:rPr>
                      <w:rFonts w:hint="eastAsia"/>
                      <w:szCs w:val="21"/>
                      <w:u w:val="none"/>
                      <w:vertAlign w:val="subscript"/>
                      <w:lang w:val="en-US" w:eastAsia="zh-CN"/>
                    </w:rPr>
                    <w:t>3</w:t>
                  </w:r>
                  <w:r>
                    <w:rPr>
                      <w:rFonts w:hint="eastAsia"/>
                      <w:szCs w:val="21"/>
                      <w:u w:val="none"/>
                      <w:lang w:val="en-US" w:eastAsia="zh-CN"/>
                    </w:rPr>
                    <w:t>-N、TN</w:t>
                  </w:r>
                </w:p>
                <w:p w14:paraId="43409D5F">
                  <w:pPr>
                    <w:keepNext w:val="0"/>
                    <w:keepLines w:val="0"/>
                    <w:suppressLineNumbers w:val="0"/>
                    <w:spacing w:before="0" w:beforeAutospacing="0" w:after="0" w:afterAutospacing="0"/>
                    <w:ind w:left="0" w:right="0"/>
                    <w:jc w:val="center"/>
                    <w:rPr>
                      <w:rFonts w:hint="default"/>
                      <w:szCs w:val="21"/>
                      <w:u w:val="none"/>
                      <w:lang w:val="en-US"/>
                    </w:rPr>
                  </w:pPr>
                  <w:r>
                    <w:rPr>
                      <w:rFonts w:hint="eastAsia"/>
                      <w:szCs w:val="21"/>
                      <w:u w:val="none"/>
                      <w:lang w:val="en-US" w:eastAsia="zh-CN"/>
                    </w:rPr>
                    <w:t>动植物油</w:t>
                  </w:r>
                </w:p>
              </w:tc>
              <w:tc>
                <w:tcPr>
                  <w:tcW w:w="1269" w:type="pct"/>
                  <w:vMerge w:val="continue"/>
                  <w:tcBorders>
                    <w:tl2br w:val="nil"/>
                    <w:tr2bl w:val="nil"/>
                  </w:tcBorders>
                  <w:vAlign w:val="center"/>
                </w:tcPr>
                <w:p w14:paraId="50977757">
                  <w:pPr>
                    <w:keepNext w:val="0"/>
                    <w:keepLines w:val="0"/>
                    <w:suppressLineNumbers w:val="0"/>
                    <w:spacing w:before="0" w:beforeAutospacing="0" w:after="0" w:afterAutospacing="0"/>
                    <w:ind w:left="0" w:right="0"/>
                    <w:jc w:val="center"/>
                    <w:rPr>
                      <w:rFonts w:hint="default"/>
                      <w:szCs w:val="21"/>
                      <w:u w:val="none"/>
                    </w:rPr>
                  </w:pPr>
                </w:p>
              </w:tc>
              <w:tc>
                <w:tcPr>
                  <w:tcW w:w="1090" w:type="pct"/>
                  <w:vMerge w:val="continue"/>
                  <w:tcBorders>
                    <w:tl2br w:val="nil"/>
                    <w:tr2bl w:val="nil"/>
                  </w:tcBorders>
                  <w:vAlign w:val="center"/>
                </w:tcPr>
                <w:p w14:paraId="41B3502E">
                  <w:pPr>
                    <w:keepNext w:val="0"/>
                    <w:keepLines w:val="0"/>
                    <w:suppressLineNumbers w:val="0"/>
                    <w:spacing w:before="0" w:beforeAutospacing="0" w:after="0" w:afterAutospacing="0"/>
                    <w:ind w:left="0" w:right="0"/>
                    <w:jc w:val="center"/>
                    <w:rPr>
                      <w:rFonts w:hint="default"/>
                      <w:szCs w:val="21"/>
                      <w:u w:val="none"/>
                    </w:rPr>
                  </w:pPr>
                </w:p>
              </w:tc>
            </w:tr>
            <w:tr w14:paraId="44EE9E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19FCC783">
                  <w:pPr>
                    <w:keepNext w:val="0"/>
                    <w:keepLines w:val="0"/>
                    <w:suppressLineNumbers w:val="0"/>
                    <w:spacing w:before="0" w:beforeAutospacing="0" w:after="0" w:afterAutospacing="0"/>
                    <w:ind w:left="0" w:right="0"/>
                    <w:jc w:val="center"/>
                    <w:rPr>
                      <w:rFonts w:hint="eastAsia"/>
                      <w:szCs w:val="21"/>
                      <w:u w:val="none"/>
                      <w:lang w:val="en-US" w:eastAsia="zh-CN"/>
                    </w:rPr>
                  </w:pPr>
                </w:p>
              </w:tc>
              <w:tc>
                <w:tcPr>
                  <w:tcW w:w="808" w:type="pct"/>
                  <w:tcBorders>
                    <w:tl2br w:val="nil"/>
                    <w:tr2bl w:val="nil"/>
                  </w:tcBorders>
                  <w:vAlign w:val="center"/>
                </w:tcPr>
                <w:p w14:paraId="29F43F9C">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鹌鹑蛋生产工艺废水</w:t>
                  </w:r>
                </w:p>
              </w:tc>
              <w:tc>
                <w:tcPr>
                  <w:tcW w:w="1357" w:type="pct"/>
                  <w:tcBorders>
                    <w:tl2br w:val="nil"/>
                    <w:tr2bl w:val="nil"/>
                  </w:tcBorders>
                  <w:vAlign w:val="center"/>
                </w:tcPr>
                <w:p w14:paraId="133A9885">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COD、SS、NH</w:t>
                  </w:r>
                  <w:r>
                    <w:rPr>
                      <w:rFonts w:hint="eastAsia"/>
                      <w:szCs w:val="21"/>
                      <w:u w:val="none"/>
                      <w:vertAlign w:val="subscript"/>
                      <w:lang w:val="en-US" w:eastAsia="zh-CN"/>
                    </w:rPr>
                    <w:t>3</w:t>
                  </w:r>
                  <w:r>
                    <w:rPr>
                      <w:rFonts w:hint="eastAsia"/>
                      <w:szCs w:val="21"/>
                      <w:u w:val="none"/>
                      <w:lang w:val="en-US" w:eastAsia="zh-CN"/>
                    </w:rPr>
                    <w:t>-N、</w:t>
                  </w:r>
                </w:p>
                <w:p w14:paraId="6E7FFAD3">
                  <w:pPr>
                    <w:keepNext w:val="0"/>
                    <w:keepLines w:val="0"/>
                    <w:suppressLineNumbers w:val="0"/>
                    <w:spacing w:before="0" w:beforeAutospacing="0" w:after="0" w:afterAutospacing="0"/>
                    <w:ind w:left="0" w:right="0"/>
                    <w:jc w:val="center"/>
                    <w:rPr>
                      <w:rFonts w:hint="default"/>
                      <w:szCs w:val="21"/>
                      <w:u w:val="none"/>
                      <w:lang w:val="en-US"/>
                    </w:rPr>
                  </w:pPr>
                  <w:r>
                    <w:rPr>
                      <w:rFonts w:hint="eastAsia"/>
                      <w:szCs w:val="21"/>
                      <w:u w:val="none"/>
                      <w:lang w:val="en-US" w:eastAsia="zh-CN"/>
                    </w:rPr>
                    <w:t>动植物油</w:t>
                  </w:r>
                </w:p>
              </w:tc>
              <w:tc>
                <w:tcPr>
                  <w:tcW w:w="1269" w:type="pct"/>
                  <w:vMerge w:val="continue"/>
                  <w:tcBorders>
                    <w:tl2br w:val="nil"/>
                    <w:tr2bl w:val="nil"/>
                  </w:tcBorders>
                  <w:vAlign w:val="center"/>
                </w:tcPr>
                <w:p w14:paraId="78EF6E08">
                  <w:pPr>
                    <w:keepNext w:val="0"/>
                    <w:keepLines w:val="0"/>
                    <w:suppressLineNumbers w:val="0"/>
                    <w:spacing w:before="0" w:beforeAutospacing="0" w:after="0" w:afterAutospacing="0"/>
                    <w:ind w:left="0" w:right="0"/>
                    <w:jc w:val="center"/>
                    <w:rPr>
                      <w:rFonts w:hint="default"/>
                      <w:szCs w:val="21"/>
                      <w:u w:val="none"/>
                    </w:rPr>
                  </w:pPr>
                </w:p>
              </w:tc>
              <w:tc>
                <w:tcPr>
                  <w:tcW w:w="1090" w:type="pct"/>
                  <w:vMerge w:val="continue"/>
                  <w:tcBorders>
                    <w:tl2br w:val="nil"/>
                    <w:tr2bl w:val="nil"/>
                  </w:tcBorders>
                  <w:vAlign w:val="center"/>
                </w:tcPr>
                <w:p w14:paraId="4C5CBB69">
                  <w:pPr>
                    <w:keepNext w:val="0"/>
                    <w:keepLines w:val="0"/>
                    <w:suppressLineNumbers w:val="0"/>
                    <w:spacing w:before="0" w:beforeAutospacing="0" w:after="0" w:afterAutospacing="0"/>
                    <w:ind w:left="0" w:right="0"/>
                    <w:jc w:val="center"/>
                    <w:rPr>
                      <w:rFonts w:hint="default"/>
                      <w:szCs w:val="21"/>
                      <w:u w:val="none"/>
                    </w:rPr>
                  </w:pPr>
                </w:p>
              </w:tc>
            </w:tr>
            <w:tr w14:paraId="496FEC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14D4775C">
                  <w:pPr>
                    <w:keepNext w:val="0"/>
                    <w:keepLines w:val="0"/>
                    <w:suppressLineNumbers w:val="0"/>
                    <w:spacing w:before="0" w:beforeAutospacing="0" w:after="0" w:afterAutospacing="0"/>
                    <w:ind w:left="0" w:right="0"/>
                    <w:jc w:val="center"/>
                    <w:rPr>
                      <w:rFonts w:hint="eastAsia"/>
                      <w:szCs w:val="21"/>
                      <w:u w:val="none"/>
                      <w:lang w:val="en-US" w:eastAsia="zh-CN"/>
                    </w:rPr>
                  </w:pPr>
                </w:p>
              </w:tc>
              <w:tc>
                <w:tcPr>
                  <w:tcW w:w="808" w:type="pct"/>
                  <w:tcBorders>
                    <w:tl2br w:val="nil"/>
                    <w:tr2bl w:val="nil"/>
                  </w:tcBorders>
                  <w:vAlign w:val="center"/>
                </w:tcPr>
                <w:p w14:paraId="0EC40FEF">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洗袋废水</w:t>
                  </w:r>
                </w:p>
              </w:tc>
              <w:tc>
                <w:tcPr>
                  <w:tcW w:w="1357" w:type="pct"/>
                  <w:tcBorders>
                    <w:tl2br w:val="nil"/>
                    <w:tr2bl w:val="nil"/>
                  </w:tcBorders>
                  <w:vAlign w:val="center"/>
                </w:tcPr>
                <w:p w14:paraId="6AE766B2">
                  <w:pPr>
                    <w:keepNext w:val="0"/>
                    <w:keepLines w:val="0"/>
                    <w:suppressLineNumbers w:val="0"/>
                    <w:spacing w:before="0" w:beforeAutospacing="0" w:after="0" w:afterAutospacing="0"/>
                    <w:ind w:left="0" w:right="0"/>
                    <w:jc w:val="center"/>
                    <w:rPr>
                      <w:rFonts w:hint="default"/>
                      <w:szCs w:val="21"/>
                      <w:u w:val="none"/>
                    </w:rPr>
                  </w:pPr>
                  <w:r>
                    <w:rPr>
                      <w:rFonts w:hint="eastAsia"/>
                      <w:szCs w:val="21"/>
                      <w:u w:val="none"/>
                      <w:lang w:val="en-US" w:eastAsia="zh-CN"/>
                    </w:rPr>
                    <w:t>COD、SS、动植物油</w:t>
                  </w:r>
                </w:p>
              </w:tc>
              <w:tc>
                <w:tcPr>
                  <w:tcW w:w="1269" w:type="pct"/>
                  <w:vMerge w:val="continue"/>
                  <w:tcBorders>
                    <w:tl2br w:val="nil"/>
                    <w:tr2bl w:val="nil"/>
                  </w:tcBorders>
                  <w:vAlign w:val="center"/>
                </w:tcPr>
                <w:p w14:paraId="4590ACB0">
                  <w:pPr>
                    <w:keepNext w:val="0"/>
                    <w:keepLines w:val="0"/>
                    <w:suppressLineNumbers w:val="0"/>
                    <w:spacing w:before="0" w:beforeAutospacing="0" w:after="0" w:afterAutospacing="0"/>
                    <w:ind w:left="0" w:right="0"/>
                    <w:jc w:val="center"/>
                    <w:rPr>
                      <w:rFonts w:hint="default"/>
                      <w:szCs w:val="21"/>
                      <w:u w:val="none"/>
                    </w:rPr>
                  </w:pPr>
                </w:p>
              </w:tc>
              <w:tc>
                <w:tcPr>
                  <w:tcW w:w="1090" w:type="pct"/>
                  <w:vMerge w:val="continue"/>
                  <w:tcBorders>
                    <w:tl2br w:val="nil"/>
                    <w:tr2bl w:val="nil"/>
                  </w:tcBorders>
                  <w:vAlign w:val="center"/>
                </w:tcPr>
                <w:p w14:paraId="20CE6436">
                  <w:pPr>
                    <w:keepNext w:val="0"/>
                    <w:keepLines w:val="0"/>
                    <w:suppressLineNumbers w:val="0"/>
                    <w:spacing w:before="0" w:beforeAutospacing="0" w:after="0" w:afterAutospacing="0"/>
                    <w:ind w:left="0" w:right="0"/>
                    <w:jc w:val="center"/>
                    <w:rPr>
                      <w:rFonts w:hint="default"/>
                      <w:szCs w:val="21"/>
                      <w:u w:val="none"/>
                    </w:rPr>
                  </w:pPr>
                </w:p>
              </w:tc>
            </w:tr>
            <w:tr w14:paraId="5F886F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16300009">
                  <w:pPr>
                    <w:keepNext w:val="0"/>
                    <w:keepLines w:val="0"/>
                    <w:suppressLineNumbers w:val="0"/>
                    <w:spacing w:before="0" w:beforeAutospacing="0" w:after="0" w:afterAutospacing="0"/>
                    <w:ind w:left="0" w:right="0"/>
                    <w:jc w:val="center"/>
                    <w:rPr>
                      <w:rFonts w:hint="eastAsia"/>
                      <w:szCs w:val="21"/>
                      <w:u w:val="none"/>
                      <w:lang w:val="en-US" w:eastAsia="zh-CN"/>
                    </w:rPr>
                  </w:pPr>
                </w:p>
              </w:tc>
              <w:tc>
                <w:tcPr>
                  <w:tcW w:w="808" w:type="pct"/>
                  <w:tcBorders>
                    <w:tl2br w:val="nil"/>
                    <w:tr2bl w:val="nil"/>
                  </w:tcBorders>
                  <w:vAlign w:val="center"/>
                </w:tcPr>
                <w:p w14:paraId="332F15EB">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设备清洗废水</w:t>
                  </w:r>
                </w:p>
              </w:tc>
              <w:tc>
                <w:tcPr>
                  <w:tcW w:w="1357" w:type="pct"/>
                  <w:tcBorders>
                    <w:tl2br w:val="nil"/>
                    <w:tr2bl w:val="nil"/>
                  </w:tcBorders>
                  <w:vAlign w:val="center"/>
                </w:tcPr>
                <w:p w14:paraId="02CF9922">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COD、SS、</w:t>
                  </w:r>
                </w:p>
                <w:p w14:paraId="4DCB11C2">
                  <w:pPr>
                    <w:keepNext w:val="0"/>
                    <w:keepLines w:val="0"/>
                    <w:suppressLineNumbers w:val="0"/>
                    <w:spacing w:before="0" w:beforeAutospacing="0" w:after="0" w:afterAutospacing="0"/>
                    <w:ind w:left="0" w:right="0"/>
                    <w:jc w:val="center"/>
                    <w:rPr>
                      <w:rFonts w:hint="default"/>
                      <w:szCs w:val="21"/>
                      <w:u w:val="none"/>
                    </w:rPr>
                  </w:pPr>
                  <w:r>
                    <w:rPr>
                      <w:rFonts w:hint="eastAsia"/>
                      <w:szCs w:val="21"/>
                      <w:u w:val="none"/>
                      <w:lang w:val="en-US" w:eastAsia="zh-CN"/>
                    </w:rPr>
                    <w:t>NH</w:t>
                  </w:r>
                  <w:r>
                    <w:rPr>
                      <w:rFonts w:hint="eastAsia"/>
                      <w:szCs w:val="21"/>
                      <w:u w:val="none"/>
                      <w:vertAlign w:val="subscript"/>
                      <w:lang w:val="en-US" w:eastAsia="zh-CN"/>
                    </w:rPr>
                    <w:t>3</w:t>
                  </w:r>
                  <w:r>
                    <w:rPr>
                      <w:rFonts w:hint="eastAsia"/>
                      <w:szCs w:val="21"/>
                      <w:u w:val="none"/>
                      <w:lang w:val="en-US" w:eastAsia="zh-CN"/>
                    </w:rPr>
                    <w:t>-N、动植物油</w:t>
                  </w:r>
                </w:p>
              </w:tc>
              <w:tc>
                <w:tcPr>
                  <w:tcW w:w="1269" w:type="pct"/>
                  <w:vMerge w:val="continue"/>
                  <w:tcBorders>
                    <w:tl2br w:val="nil"/>
                    <w:tr2bl w:val="nil"/>
                  </w:tcBorders>
                  <w:vAlign w:val="center"/>
                </w:tcPr>
                <w:p w14:paraId="1A6C8146">
                  <w:pPr>
                    <w:keepNext w:val="0"/>
                    <w:keepLines w:val="0"/>
                    <w:suppressLineNumbers w:val="0"/>
                    <w:spacing w:before="0" w:beforeAutospacing="0" w:after="0" w:afterAutospacing="0"/>
                    <w:ind w:left="0" w:right="0"/>
                    <w:jc w:val="center"/>
                    <w:rPr>
                      <w:rFonts w:hint="default"/>
                      <w:szCs w:val="21"/>
                      <w:u w:val="none"/>
                    </w:rPr>
                  </w:pPr>
                </w:p>
              </w:tc>
              <w:tc>
                <w:tcPr>
                  <w:tcW w:w="1090" w:type="pct"/>
                  <w:vMerge w:val="continue"/>
                  <w:tcBorders>
                    <w:tl2br w:val="nil"/>
                    <w:tr2bl w:val="nil"/>
                  </w:tcBorders>
                  <w:vAlign w:val="center"/>
                </w:tcPr>
                <w:p w14:paraId="6D4DB207">
                  <w:pPr>
                    <w:keepNext w:val="0"/>
                    <w:keepLines w:val="0"/>
                    <w:suppressLineNumbers w:val="0"/>
                    <w:spacing w:before="0" w:beforeAutospacing="0" w:after="0" w:afterAutospacing="0"/>
                    <w:ind w:left="0" w:right="0"/>
                    <w:jc w:val="center"/>
                    <w:rPr>
                      <w:rFonts w:hint="default"/>
                      <w:szCs w:val="21"/>
                      <w:u w:val="none"/>
                    </w:rPr>
                  </w:pPr>
                </w:p>
              </w:tc>
            </w:tr>
            <w:tr w14:paraId="7D816E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6418D77D">
                  <w:pPr>
                    <w:keepNext w:val="0"/>
                    <w:keepLines w:val="0"/>
                    <w:suppressLineNumbers w:val="0"/>
                    <w:spacing w:before="0" w:beforeAutospacing="0" w:after="0" w:afterAutospacing="0"/>
                    <w:ind w:left="0" w:right="0"/>
                    <w:jc w:val="center"/>
                    <w:rPr>
                      <w:rFonts w:hint="eastAsia"/>
                      <w:szCs w:val="21"/>
                      <w:u w:val="none"/>
                      <w:lang w:val="en-US" w:eastAsia="zh-CN"/>
                    </w:rPr>
                  </w:pPr>
                </w:p>
              </w:tc>
              <w:tc>
                <w:tcPr>
                  <w:tcW w:w="808" w:type="pct"/>
                  <w:tcBorders>
                    <w:tl2br w:val="nil"/>
                    <w:tr2bl w:val="nil"/>
                  </w:tcBorders>
                  <w:vAlign w:val="center"/>
                </w:tcPr>
                <w:p w14:paraId="2C5E97BD">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地面冲洗废水</w:t>
                  </w:r>
                </w:p>
              </w:tc>
              <w:tc>
                <w:tcPr>
                  <w:tcW w:w="1357" w:type="pct"/>
                  <w:tcBorders>
                    <w:tl2br w:val="nil"/>
                    <w:tr2bl w:val="nil"/>
                  </w:tcBorders>
                  <w:vAlign w:val="center"/>
                </w:tcPr>
                <w:p w14:paraId="0AC8BB5E">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COD、NH</w:t>
                  </w:r>
                  <w:r>
                    <w:rPr>
                      <w:rFonts w:hint="eastAsia"/>
                      <w:szCs w:val="21"/>
                      <w:u w:val="none"/>
                      <w:vertAlign w:val="subscript"/>
                      <w:lang w:val="en-US" w:eastAsia="zh-CN"/>
                    </w:rPr>
                    <w:t>3</w:t>
                  </w:r>
                  <w:r>
                    <w:rPr>
                      <w:rFonts w:hint="eastAsia"/>
                      <w:szCs w:val="21"/>
                      <w:u w:val="none"/>
                      <w:lang w:val="en-US" w:eastAsia="zh-CN"/>
                    </w:rPr>
                    <w:t>-N、</w:t>
                  </w:r>
                </w:p>
                <w:p w14:paraId="1FA9BDDE">
                  <w:pPr>
                    <w:keepNext w:val="0"/>
                    <w:keepLines w:val="0"/>
                    <w:suppressLineNumbers w:val="0"/>
                    <w:spacing w:before="0" w:beforeAutospacing="0" w:after="0" w:afterAutospacing="0"/>
                    <w:ind w:left="0" w:right="0"/>
                    <w:jc w:val="center"/>
                    <w:rPr>
                      <w:rFonts w:hint="default"/>
                      <w:szCs w:val="21"/>
                      <w:u w:val="none"/>
                      <w:lang w:val="en-US"/>
                    </w:rPr>
                  </w:pPr>
                  <w:r>
                    <w:rPr>
                      <w:rFonts w:hint="eastAsia"/>
                      <w:szCs w:val="21"/>
                      <w:u w:val="none"/>
                      <w:lang w:val="en-US" w:eastAsia="zh-CN"/>
                    </w:rPr>
                    <w:t>SS、动植物油</w:t>
                  </w:r>
                </w:p>
              </w:tc>
              <w:tc>
                <w:tcPr>
                  <w:tcW w:w="1269" w:type="pct"/>
                  <w:vMerge w:val="continue"/>
                  <w:tcBorders>
                    <w:tl2br w:val="nil"/>
                    <w:tr2bl w:val="nil"/>
                  </w:tcBorders>
                  <w:vAlign w:val="center"/>
                </w:tcPr>
                <w:p w14:paraId="17A9590B">
                  <w:pPr>
                    <w:keepNext w:val="0"/>
                    <w:keepLines w:val="0"/>
                    <w:suppressLineNumbers w:val="0"/>
                    <w:spacing w:before="0" w:beforeAutospacing="0" w:after="0" w:afterAutospacing="0"/>
                    <w:ind w:left="0" w:right="0"/>
                    <w:jc w:val="center"/>
                    <w:rPr>
                      <w:rFonts w:hint="default"/>
                      <w:szCs w:val="21"/>
                      <w:u w:val="none"/>
                    </w:rPr>
                  </w:pPr>
                </w:p>
              </w:tc>
              <w:tc>
                <w:tcPr>
                  <w:tcW w:w="1090" w:type="pct"/>
                  <w:vMerge w:val="continue"/>
                  <w:tcBorders>
                    <w:tl2br w:val="nil"/>
                    <w:tr2bl w:val="nil"/>
                  </w:tcBorders>
                  <w:vAlign w:val="center"/>
                </w:tcPr>
                <w:p w14:paraId="402024E3">
                  <w:pPr>
                    <w:keepNext w:val="0"/>
                    <w:keepLines w:val="0"/>
                    <w:suppressLineNumbers w:val="0"/>
                    <w:spacing w:before="0" w:beforeAutospacing="0" w:after="0" w:afterAutospacing="0"/>
                    <w:ind w:left="0" w:right="0"/>
                    <w:jc w:val="center"/>
                    <w:rPr>
                      <w:rFonts w:hint="default"/>
                      <w:szCs w:val="21"/>
                      <w:u w:val="none"/>
                    </w:rPr>
                  </w:pPr>
                </w:p>
              </w:tc>
            </w:tr>
            <w:tr w14:paraId="06C819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4D72C57D">
                  <w:pPr>
                    <w:keepNext w:val="0"/>
                    <w:keepLines w:val="0"/>
                    <w:suppressLineNumbers w:val="0"/>
                    <w:spacing w:before="0" w:beforeAutospacing="0" w:after="0" w:afterAutospacing="0"/>
                    <w:ind w:left="0" w:right="0"/>
                    <w:jc w:val="center"/>
                    <w:rPr>
                      <w:rFonts w:hint="default" w:eastAsia="宋体"/>
                      <w:szCs w:val="21"/>
                      <w:u w:val="none"/>
                      <w:lang w:val="en-US" w:eastAsia="zh-CN"/>
                    </w:rPr>
                  </w:pPr>
                </w:p>
              </w:tc>
              <w:tc>
                <w:tcPr>
                  <w:tcW w:w="808" w:type="pct"/>
                  <w:tcBorders>
                    <w:tl2br w:val="nil"/>
                    <w:tr2bl w:val="nil"/>
                  </w:tcBorders>
                  <w:vAlign w:val="center"/>
                </w:tcPr>
                <w:p w14:paraId="6B1185E9">
                  <w:pPr>
                    <w:keepNext w:val="0"/>
                    <w:keepLines w:val="0"/>
                    <w:suppressLineNumbers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生活用水</w:t>
                  </w:r>
                </w:p>
              </w:tc>
              <w:tc>
                <w:tcPr>
                  <w:tcW w:w="1357" w:type="pct"/>
                  <w:tcBorders>
                    <w:tl2br w:val="nil"/>
                    <w:tr2bl w:val="nil"/>
                  </w:tcBorders>
                  <w:vAlign w:val="center"/>
                </w:tcPr>
                <w:p w14:paraId="0A1F3E2E">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COD、NH</w:t>
                  </w:r>
                  <w:r>
                    <w:rPr>
                      <w:rFonts w:hint="eastAsia"/>
                      <w:szCs w:val="21"/>
                      <w:u w:val="none"/>
                      <w:vertAlign w:val="subscript"/>
                      <w:lang w:val="en-US" w:eastAsia="zh-CN"/>
                    </w:rPr>
                    <w:t>3</w:t>
                  </w:r>
                  <w:r>
                    <w:rPr>
                      <w:rFonts w:hint="eastAsia"/>
                      <w:szCs w:val="21"/>
                      <w:u w:val="none"/>
                      <w:lang w:val="en-US" w:eastAsia="zh-CN"/>
                    </w:rPr>
                    <w:t>-N、</w:t>
                  </w:r>
                </w:p>
                <w:p w14:paraId="52B255B1">
                  <w:pPr>
                    <w:keepNext w:val="0"/>
                    <w:keepLines w:val="0"/>
                    <w:suppressLineNumbers w:val="0"/>
                    <w:spacing w:before="0" w:beforeAutospacing="0" w:after="0" w:afterAutospacing="0"/>
                    <w:ind w:left="0" w:right="0"/>
                    <w:jc w:val="center"/>
                    <w:rPr>
                      <w:rFonts w:hint="default"/>
                      <w:szCs w:val="21"/>
                      <w:u w:val="none"/>
                      <w:lang w:val="en-US"/>
                    </w:rPr>
                  </w:pPr>
                  <w:r>
                    <w:rPr>
                      <w:rFonts w:hint="eastAsia"/>
                      <w:szCs w:val="21"/>
                      <w:u w:val="none"/>
                      <w:lang w:val="en-US" w:eastAsia="zh-CN"/>
                    </w:rPr>
                    <w:t>SS、动植物油、BOD</w:t>
                  </w:r>
                  <w:r>
                    <w:rPr>
                      <w:rFonts w:hint="eastAsia"/>
                      <w:szCs w:val="21"/>
                      <w:u w:val="none"/>
                      <w:vertAlign w:val="subscript"/>
                      <w:lang w:val="en-US" w:eastAsia="zh-CN"/>
                    </w:rPr>
                    <w:t>5</w:t>
                  </w:r>
                </w:p>
              </w:tc>
              <w:tc>
                <w:tcPr>
                  <w:tcW w:w="1269" w:type="pct"/>
                  <w:tcBorders>
                    <w:tl2br w:val="nil"/>
                    <w:tr2bl w:val="nil"/>
                  </w:tcBorders>
                  <w:vAlign w:val="center"/>
                </w:tcPr>
                <w:p w14:paraId="21541964">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厂区自建化粪池</w:t>
                  </w:r>
                </w:p>
              </w:tc>
              <w:tc>
                <w:tcPr>
                  <w:tcW w:w="1090" w:type="pct"/>
                  <w:vMerge w:val="continue"/>
                  <w:tcBorders>
                    <w:tl2br w:val="nil"/>
                    <w:tr2bl w:val="nil"/>
                  </w:tcBorders>
                  <w:vAlign w:val="center"/>
                </w:tcPr>
                <w:p w14:paraId="6513F356">
                  <w:pPr>
                    <w:keepNext w:val="0"/>
                    <w:keepLines w:val="0"/>
                    <w:suppressLineNumbers w:val="0"/>
                    <w:spacing w:before="0" w:beforeAutospacing="0" w:after="0" w:afterAutospacing="0"/>
                    <w:ind w:left="0" w:right="0"/>
                    <w:jc w:val="center"/>
                    <w:rPr>
                      <w:rFonts w:hint="default"/>
                      <w:szCs w:val="21"/>
                      <w:u w:val="none"/>
                    </w:rPr>
                  </w:pPr>
                </w:p>
              </w:tc>
            </w:tr>
            <w:tr w14:paraId="338A8A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restart"/>
                  <w:tcBorders>
                    <w:tl2br w:val="nil"/>
                    <w:tr2bl w:val="nil"/>
                  </w:tcBorders>
                  <w:vAlign w:val="center"/>
                </w:tcPr>
                <w:p w14:paraId="4A4D24BA">
                  <w:pPr>
                    <w:keepNext w:val="0"/>
                    <w:keepLines w:val="0"/>
                    <w:suppressLineNumbers w:val="0"/>
                    <w:spacing w:before="0" w:beforeAutospacing="0" w:after="0" w:afterAutospacing="0"/>
                    <w:ind w:left="0" w:right="0"/>
                    <w:jc w:val="center"/>
                    <w:rPr>
                      <w:rFonts w:hint="default"/>
                      <w:szCs w:val="21"/>
                      <w:u w:val="none"/>
                    </w:rPr>
                  </w:pPr>
                  <w:r>
                    <w:rPr>
                      <w:rFonts w:hint="default"/>
                      <w:szCs w:val="21"/>
                      <w:u w:val="none"/>
                    </w:rPr>
                    <w:t>废气</w:t>
                  </w:r>
                </w:p>
              </w:tc>
              <w:tc>
                <w:tcPr>
                  <w:tcW w:w="808" w:type="pct"/>
                  <w:tcBorders>
                    <w:tl2br w:val="nil"/>
                    <w:tr2bl w:val="nil"/>
                  </w:tcBorders>
                  <w:vAlign w:val="center"/>
                </w:tcPr>
                <w:p w14:paraId="6CB973EC">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恶臭</w:t>
                  </w:r>
                </w:p>
              </w:tc>
              <w:tc>
                <w:tcPr>
                  <w:tcW w:w="1357" w:type="pct"/>
                  <w:tcBorders>
                    <w:tl2br w:val="nil"/>
                    <w:tr2bl w:val="nil"/>
                  </w:tcBorders>
                  <w:vAlign w:val="center"/>
                </w:tcPr>
                <w:p w14:paraId="6467DC38">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氨气、硫化氢、臭气浓度</w:t>
                  </w:r>
                </w:p>
              </w:tc>
              <w:tc>
                <w:tcPr>
                  <w:tcW w:w="1269" w:type="pct"/>
                  <w:tcBorders>
                    <w:tl2br w:val="nil"/>
                    <w:tr2bl w:val="nil"/>
                  </w:tcBorders>
                  <w:vAlign w:val="center"/>
                </w:tcPr>
                <w:p w14:paraId="4961745A">
                  <w:pPr>
                    <w:keepNext w:val="0"/>
                    <w:keepLines w:val="0"/>
                    <w:suppressLineNumbers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加强车间通风</w:t>
                  </w:r>
                </w:p>
              </w:tc>
              <w:tc>
                <w:tcPr>
                  <w:tcW w:w="1090" w:type="pct"/>
                  <w:tcBorders>
                    <w:tl2br w:val="nil"/>
                    <w:tr2bl w:val="nil"/>
                  </w:tcBorders>
                  <w:vAlign w:val="center"/>
                </w:tcPr>
                <w:p w14:paraId="05808BFF">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厂区内无组织排放</w:t>
                  </w:r>
                </w:p>
              </w:tc>
            </w:tr>
            <w:tr w14:paraId="2AAFB2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435E095A">
                  <w:pPr>
                    <w:keepNext w:val="0"/>
                    <w:keepLines w:val="0"/>
                    <w:suppressLineNumbers w:val="0"/>
                    <w:spacing w:before="0" w:beforeAutospacing="0" w:after="0" w:afterAutospacing="0"/>
                    <w:ind w:left="0" w:right="0"/>
                    <w:jc w:val="center"/>
                    <w:rPr>
                      <w:rFonts w:hint="default"/>
                      <w:szCs w:val="21"/>
                      <w:u w:val="none"/>
                    </w:rPr>
                  </w:pPr>
                </w:p>
              </w:tc>
              <w:tc>
                <w:tcPr>
                  <w:tcW w:w="808" w:type="pct"/>
                  <w:tcBorders>
                    <w:tl2br w:val="nil"/>
                    <w:tr2bl w:val="nil"/>
                  </w:tcBorders>
                  <w:vAlign w:val="center"/>
                </w:tcPr>
                <w:p w14:paraId="4494C8F9">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油炸废气</w:t>
                  </w:r>
                </w:p>
              </w:tc>
              <w:tc>
                <w:tcPr>
                  <w:tcW w:w="1357" w:type="pct"/>
                  <w:tcBorders>
                    <w:tl2br w:val="nil"/>
                    <w:tr2bl w:val="nil"/>
                  </w:tcBorders>
                  <w:vAlign w:val="center"/>
                </w:tcPr>
                <w:p w14:paraId="1D7A2A01">
                  <w:pPr>
                    <w:keepNext w:val="0"/>
                    <w:keepLines w:val="0"/>
                    <w:suppressLineNumbers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油烟</w:t>
                  </w:r>
                </w:p>
              </w:tc>
              <w:tc>
                <w:tcPr>
                  <w:tcW w:w="1269" w:type="pct"/>
                  <w:tcBorders>
                    <w:tl2br w:val="nil"/>
                    <w:tr2bl w:val="nil"/>
                  </w:tcBorders>
                  <w:vAlign w:val="center"/>
                </w:tcPr>
                <w:p w14:paraId="4F85FA1F">
                  <w:pPr>
                    <w:keepNext w:val="0"/>
                    <w:keepLines w:val="0"/>
                    <w:suppressLineNumbers w:val="0"/>
                    <w:spacing w:before="0" w:beforeAutospacing="0" w:after="0" w:afterAutospacing="0"/>
                    <w:ind w:left="0" w:right="0"/>
                    <w:jc w:val="center"/>
                    <w:rPr>
                      <w:rFonts w:hint="default"/>
                      <w:szCs w:val="21"/>
                      <w:u w:val="none"/>
                    </w:rPr>
                  </w:pPr>
                  <w:r>
                    <w:rPr>
                      <w:rFonts w:hint="eastAsia"/>
                      <w:szCs w:val="21"/>
                      <w:u w:val="none"/>
                      <w:lang w:val="en-US" w:eastAsia="zh-CN"/>
                    </w:rPr>
                    <w:t>工业静电油烟净化处理设备</w:t>
                  </w:r>
                </w:p>
              </w:tc>
              <w:tc>
                <w:tcPr>
                  <w:tcW w:w="1090" w:type="pct"/>
                  <w:tcBorders>
                    <w:tl2br w:val="nil"/>
                    <w:tr2bl w:val="nil"/>
                  </w:tcBorders>
                  <w:vAlign w:val="center"/>
                </w:tcPr>
                <w:p w14:paraId="2625DCC9">
                  <w:pPr>
                    <w:keepNext w:val="0"/>
                    <w:keepLines w:val="0"/>
                    <w:suppressLineNumbers w:val="0"/>
                    <w:spacing w:before="0" w:beforeAutospacing="0" w:after="0" w:afterAutospacing="0"/>
                    <w:ind w:left="0" w:leftChars="0" w:right="0" w:rightChars="0" w:firstLine="0" w:firstLineChars="0"/>
                    <w:jc w:val="center"/>
                    <w:rPr>
                      <w:rFonts w:hint="eastAsia"/>
                      <w:szCs w:val="21"/>
                      <w:u w:val="none"/>
                      <w:lang w:val="en-US" w:eastAsia="zh-CN"/>
                    </w:rPr>
                  </w:pPr>
                  <w:r>
                    <w:rPr>
                      <w:rFonts w:hint="eastAsia"/>
                      <w:szCs w:val="21"/>
                      <w:u w:val="none"/>
                      <w:lang w:val="en-US" w:eastAsia="zh-CN"/>
                    </w:rPr>
                    <w:t>通过21m高DA002排气筒</w:t>
                  </w:r>
                </w:p>
                <w:p w14:paraId="45A62759">
                  <w:pPr>
                    <w:keepNext w:val="0"/>
                    <w:keepLines w:val="0"/>
                    <w:suppressLineNumbers w:val="0"/>
                    <w:spacing w:before="0" w:beforeAutospacing="0" w:after="0" w:afterAutospacing="0"/>
                    <w:ind w:left="0" w:leftChars="0" w:right="0" w:rightChars="0" w:firstLine="0" w:firstLineChars="0"/>
                    <w:jc w:val="center"/>
                    <w:rPr>
                      <w:rFonts w:hint="default"/>
                      <w:szCs w:val="21"/>
                      <w:u w:val="none"/>
                    </w:rPr>
                  </w:pPr>
                  <w:r>
                    <w:rPr>
                      <w:rFonts w:hint="eastAsia"/>
                      <w:szCs w:val="21"/>
                      <w:u w:val="none"/>
                      <w:lang w:val="en-US" w:eastAsia="zh-CN"/>
                    </w:rPr>
                    <w:t>排放</w:t>
                  </w:r>
                </w:p>
              </w:tc>
            </w:tr>
            <w:tr w14:paraId="64D33E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474" w:type="pct"/>
                  <w:vMerge w:val="continue"/>
                  <w:tcBorders>
                    <w:tl2br w:val="nil"/>
                    <w:tr2bl w:val="nil"/>
                  </w:tcBorders>
                  <w:vAlign w:val="center"/>
                </w:tcPr>
                <w:p w14:paraId="595865E3">
                  <w:pPr>
                    <w:keepNext w:val="0"/>
                    <w:keepLines w:val="0"/>
                    <w:suppressLineNumbers w:val="0"/>
                    <w:spacing w:before="0" w:beforeAutospacing="0" w:after="0" w:afterAutospacing="0"/>
                    <w:ind w:left="0" w:right="0"/>
                    <w:jc w:val="center"/>
                    <w:rPr>
                      <w:rFonts w:hint="default"/>
                      <w:szCs w:val="21"/>
                      <w:u w:val="none"/>
                    </w:rPr>
                  </w:pPr>
                </w:p>
              </w:tc>
              <w:tc>
                <w:tcPr>
                  <w:tcW w:w="808" w:type="pct"/>
                  <w:tcBorders>
                    <w:tl2br w:val="nil"/>
                    <w:tr2bl w:val="nil"/>
                  </w:tcBorders>
                  <w:vAlign w:val="center"/>
                </w:tcPr>
                <w:p w14:paraId="23E04226">
                  <w:pPr>
                    <w:keepNext w:val="0"/>
                    <w:keepLines w:val="0"/>
                    <w:suppressLineNumbers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锅炉废气</w:t>
                  </w:r>
                </w:p>
              </w:tc>
              <w:tc>
                <w:tcPr>
                  <w:tcW w:w="1357" w:type="pct"/>
                  <w:tcBorders>
                    <w:tl2br w:val="nil"/>
                    <w:tr2bl w:val="nil"/>
                  </w:tcBorders>
                  <w:vAlign w:val="center"/>
                </w:tcPr>
                <w:p w14:paraId="374F7B7D">
                  <w:pPr>
                    <w:keepNext w:val="0"/>
                    <w:keepLines w:val="0"/>
                    <w:suppressLineNumbers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颗粒物、</w:t>
                  </w:r>
                </w:p>
                <w:p w14:paraId="68DB0D0E">
                  <w:pPr>
                    <w:keepNext w:val="0"/>
                    <w:keepLines w:val="0"/>
                    <w:suppressLineNumbers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二氧化硫、氮氧化物</w:t>
                  </w:r>
                </w:p>
              </w:tc>
              <w:tc>
                <w:tcPr>
                  <w:tcW w:w="1269" w:type="pct"/>
                  <w:tcBorders>
                    <w:tl2br w:val="nil"/>
                    <w:tr2bl w:val="nil"/>
                  </w:tcBorders>
                  <w:vAlign w:val="center"/>
                </w:tcPr>
                <w:p w14:paraId="39EEC015">
                  <w:pPr>
                    <w:keepNext w:val="0"/>
                    <w:keepLines w:val="0"/>
                    <w:suppressLineNumbers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单管旋风除尘器+布袋除尘器</w:t>
                  </w:r>
                </w:p>
              </w:tc>
              <w:tc>
                <w:tcPr>
                  <w:tcW w:w="1090" w:type="pct"/>
                  <w:tcBorders>
                    <w:tl2br w:val="nil"/>
                    <w:tr2bl w:val="nil"/>
                  </w:tcBorders>
                  <w:vAlign w:val="center"/>
                </w:tcPr>
                <w:p w14:paraId="1AFC9498">
                  <w:pPr>
                    <w:keepNext w:val="0"/>
                    <w:keepLines w:val="0"/>
                    <w:suppressLineNumbers w:val="0"/>
                    <w:spacing w:before="0" w:beforeAutospacing="0" w:after="0" w:afterAutospacing="0"/>
                    <w:ind w:left="0" w:leftChars="0" w:right="0" w:rightChars="0" w:firstLine="0" w:firstLineChars="0"/>
                    <w:jc w:val="center"/>
                    <w:rPr>
                      <w:rFonts w:hint="eastAsia"/>
                      <w:szCs w:val="21"/>
                      <w:u w:val="none"/>
                      <w:lang w:val="en-US" w:eastAsia="zh-CN"/>
                    </w:rPr>
                  </w:pPr>
                  <w:r>
                    <w:rPr>
                      <w:rFonts w:hint="eastAsia"/>
                      <w:szCs w:val="21"/>
                      <w:u w:val="none"/>
                      <w:lang w:val="en-US" w:eastAsia="zh-CN"/>
                    </w:rPr>
                    <w:t>通过35m高DA001排气筒</w:t>
                  </w:r>
                </w:p>
                <w:p w14:paraId="57D56578">
                  <w:pPr>
                    <w:keepNext w:val="0"/>
                    <w:keepLines w:val="0"/>
                    <w:suppressLineNumbers w:val="0"/>
                    <w:spacing w:before="0" w:beforeAutospacing="0" w:after="0" w:afterAutospacing="0"/>
                    <w:ind w:left="0" w:leftChars="0" w:right="0" w:rightChars="0" w:firstLine="0" w:firstLineChars="0"/>
                    <w:jc w:val="center"/>
                    <w:rPr>
                      <w:rFonts w:hint="default"/>
                      <w:szCs w:val="21"/>
                      <w:u w:val="none"/>
                      <w:lang w:val="en-US"/>
                    </w:rPr>
                  </w:pPr>
                  <w:r>
                    <w:rPr>
                      <w:rFonts w:hint="eastAsia"/>
                      <w:szCs w:val="21"/>
                      <w:u w:val="none"/>
                      <w:lang w:val="en-US" w:eastAsia="zh-CN"/>
                    </w:rPr>
                    <w:t>排放</w:t>
                  </w:r>
                </w:p>
              </w:tc>
            </w:tr>
            <w:tr w14:paraId="26D568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tcBorders>
                    <w:tl2br w:val="nil"/>
                    <w:tr2bl w:val="nil"/>
                  </w:tcBorders>
                  <w:vAlign w:val="center"/>
                </w:tcPr>
                <w:p w14:paraId="32919878">
                  <w:pPr>
                    <w:keepNext w:val="0"/>
                    <w:keepLines w:val="0"/>
                    <w:suppressLineNumbers w:val="0"/>
                    <w:spacing w:before="0" w:beforeAutospacing="0" w:after="0" w:afterAutospacing="0"/>
                    <w:ind w:left="0" w:right="0"/>
                    <w:jc w:val="center"/>
                    <w:rPr>
                      <w:rFonts w:hint="default"/>
                      <w:szCs w:val="21"/>
                      <w:u w:val="none"/>
                    </w:rPr>
                  </w:pPr>
                  <w:r>
                    <w:rPr>
                      <w:rFonts w:hint="default"/>
                      <w:szCs w:val="21"/>
                      <w:u w:val="none"/>
                    </w:rPr>
                    <w:t>噪声</w:t>
                  </w:r>
                </w:p>
              </w:tc>
              <w:tc>
                <w:tcPr>
                  <w:tcW w:w="808" w:type="pct"/>
                  <w:tcBorders>
                    <w:tl2br w:val="nil"/>
                    <w:tr2bl w:val="nil"/>
                  </w:tcBorders>
                  <w:vAlign w:val="center"/>
                </w:tcPr>
                <w:p w14:paraId="20A6F65D">
                  <w:pPr>
                    <w:keepNext w:val="0"/>
                    <w:keepLines w:val="0"/>
                    <w:suppressLineNumbers w:val="0"/>
                    <w:spacing w:before="0" w:beforeAutospacing="0" w:after="0" w:afterAutospacing="0"/>
                    <w:ind w:left="0" w:right="0"/>
                    <w:jc w:val="center"/>
                    <w:rPr>
                      <w:rFonts w:hint="default"/>
                      <w:szCs w:val="21"/>
                      <w:u w:val="none"/>
                    </w:rPr>
                  </w:pPr>
                  <w:r>
                    <w:rPr>
                      <w:rFonts w:hint="default"/>
                      <w:szCs w:val="21"/>
                      <w:u w:val="none"/>
                    </w:rPr>
                    <w:t>设备噪声</w:t>
                  </w:r>
                </w:p>
              </w:tc>
              <w:tc>
                <w:tcPr>
                  <w:tcW w:w="1357" w:type="pct"/>
                  <w:tcBorders>
                    <w:tl2br w:val="nil"/>
                    <w:tr2bl w:val="nil"/>
                  </w:tcBorders>
                  <w:vAlign w:val="center"/>
                </w:tcPr>
                <w:p w14:paraId="2FBE278E">
                  <w:pPr>
                    <w:keepNext w:val="0"/>
                    <w:keepLines w:val="0"/>
                    <w:suppressLineNumbers w:val="0"/>
                    <w:spacing w:before="0" w:beforeAutospacing="0" w:after="0" w:afterAutospacing="0"/>
                    <w:ind w:left="0" w:right="0"/>
                    <w:jc w:val="center"/>
                    <w:rPr>
                      <w:rFonts w:hint="default"/>
                      <w:szCs w:val="21"/>
                      <w:u w:val="none"/>
                    </w:rPr>
                  </w:pPr>
                  <w:r>
                    <w:rPr>
                      <w:rFonts w:hint="default"/>
                      <w:szCs w:val="21"/>
                      <w:u w:val="none"/>
                    </w:rPr>
                    <w:t>噪声</w:t>
                  </w:r>
                </w:p>
              </w:tc>
              <w:tc>
                <w:tcPr>
                  <w:tcW w:w="2359" w:type="pct"/>
                  <w:gridSpan w:val="2"/>
                  <w:tcBorders>
                    <w:tl2br w:val="nil"/>
                    <w:tr2bl w:val="nil"/>
                  </w:tcBorders>
                  <w:vAlign w:val="center"/>
                </w:tcPr>
                <w:p w14:paraId="129F95E2">
                  <w:pPr>
                    <w:keepNext w:val="0"/>
                    <w:keepLines w:val="0"/>
                    <w:suppressLineNumbers w:val="0"/>
                    <w:spacing w:before="0" w:beforeAutospacing="0" w:after="0" w:afterAutospacing="0"/>
                    <w:ind w:left="0" w:right="0"/>
                    <w:jc w:val="center"/>
                    <w:rPr>
                      <w:rFonts w:hint="default"/>
                      <w:szCs w:val="21"/>
                      <w:u w:val="none"/>
                    </w:rPr>
                  </w:pPr>
                  <w:r>
                    <w:rPr>
                      <w:rFonts w:hint="default"/>
                      <w:szCs w:val="21"/>
                      <w:u w:val="none"/>
                    </w:rPr>
                    <w:t>基础减振，厂房隔声等</w:t>
                  </w:r>
                </w:p>
              </w:tc>
            </w:tr>
            <w:tr w14:paraId="1745A1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restart"/>
                  <w:tcBorders>
                    <w:tl2br w:val="nil"/>
                    <w:tr2bl w:val="nil"/>
                  </w:tcBorders>
                  <w:vAlign w:val="center"/>
                </w:tcPr>
                <w:p w14:paraId="69F47BC9">
                  <w:pPr>
                    <w:keepNext w:val="0"/>
                    <w:keepLines w:val="0"/>
                    <w:suppressLineNumbers w:val="0"/>
                    <w:spacing w:before="0" w:beforeAutospacing="0" w:after="0" w:afterAutospacing="0"/>
                    <w:ind w:left="0" w:right="0"/>
                    <w:jc w:val="center"/>
                    <w:rPr>
                      <w:rFonts w:hint="default"/>
                      <w:szCs w:val="21"/>
                      <w:highlight w:val="none"/>
                      <w:u w:val="none"/>
                    </w:rPr>
                  </w:pPr>
                  <w:r>
                    <w:rPr>
                      <w:rFonts w:hint="default"/>
                      <w:szCs w:val="21"/>
                      <w:highlight w:val="none"/>
                      <w:u w:val="none"/>
                    </w:rPr>
                    <w:t>固废</w:t>
                  </w:r>
                </w:p>
              </w:tc>
              <w:tc>
                <w:tcPr>
                  <w:tcW w:w="808" w:type="pct"/>
                  <w:vMerge w:val="restart"/>
                  <w:tcBorders>
                    <w:tl2br w:val="nil"/>
                    <w:tr2bl w:val="nil"/>
                  </w:tcBorders>
                  <w:vAlign w:val="center"/>
                </w:tcPr>
                <w:p w14:paraId="5C1F469E">
                  <w:pPr>
                    <w:keepNext w:val="0"/>
                    <w:keepLines w:val="0"/>
                    <w:suppressLineNumbers w:val="0"/>
                    <w:spacing w:before="0" w:beforeAutospacing="0" w:after="0" w:afterAutospacing="0"/>
                    <w:ind w:left="0" w:right="0"/>
                    <w:jc w:val="center"/>
                    <w:rPr>
                      <w:rFonts w:hint="default" w:eastAsia="宋体"/>
                      <w:szCs w:val="21"/>
                      <w:highlight w:val="none"/>
                      <w:u w:val="none"/>
                      <w:lang w:val="en-US" w:eastAsia="zh-CN"/>
                    </w:rPr>
                  </w:pPr>
                  <w:r>
                    <w:rPr>
                      <w:rFonts w:hint="eastAsia"/>
                      <w:szCs w:val="21"/>
                      <w:highlight w:val="none"/>
                      <w:u w:val="none"/>
                      <w:lang w:val="en-US" w:eastAsia="zh-CN"/>
                    </w:rPr>
                    <w:t>一般固废</w:t>
                  </w:r>
                </w:p>
              </w:tc>
              <w:tc>
                <w:tcPr>
                  <w:tcW w:w="1357" w:type="pct"/>
                  <w:tcBorders>
                    <w:tl2br w:val="nil"/>
                    <w:tr2bl w:val="nil"/>
                  </w:tcBorders>
                  <w:shd w:val="clear" w:color="auto" w:fill="auto"/>
                  <w:vAlign w:val="center"/>
                </w:tcPr>
                <w:p w14:paraId="1B08CA33">
                  <w:pPr>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u w:val="none"/>
                      <w:lang w:val="en-US" w:eastAsia="zh-CN" w:bidi="ar-SA"/>
                    </w:rPr>
                  </w:pPr>
                  <w:r>
                    <w:rPr>
                      <w:rFonts w:hint="eastAsia"/>
                      <w:szCs w:val="21"/>
                      <w:highlight w:val="none"/>
                      <w:u w:val="none"/>
                      <w:lang w:val="en-US" w:eastAsia="zh-CN"/>
                    </w:rPr>
                    <w:t>不合格产品</w:t>
                  </w:r>
                </w:p>
              </w:tc>
              <w:tc>
                <w:tcPr>
                  <w:tcW w:w="2359" w:type="pct"/>
                  <w:gridSpan w:val="2"/>
                  <w:vMerge w:val="restart"/>
                  <w:tcBorders>
                    <w:tl2br w:val="nil"/>
                    <w:tr2bl w:val="nil"/>
                  </w:tcBorders>
                  <w:vAlign w:val="center"/>
                </w:tcPr>
                <w:p w14:paraId="04C01ED1">
                  <w:pPr>
                    <w:keepNext w:val="0"/>
                    <w:keepLines w:val="0"/>
                    <w:suppressLineNumbers w:val="0"/>
                    <w:adjustRightInd w:val="0"/>
                    <w:snapToGrid w:val="0"/>
                    <w:spacing w:before="0" w:beforeAutospacing="0" w:after="0" w:afterAutospacing="0"/>
                    <w:ind w:left="0" w:right="0"/>
                    <w:jc w:val="center"/>
                    <w:rPr>
                      <w:rFonts w:hint="default" w:eastAsia="宋体"/>
                      <w:szCs w:val="21"/>
                      <w:highlight w:val="none"/>
                      <w:u w:val="none"/>
                      <w:lang w:val="en-US" w:eastAsia="zh-CN"/>
                    </w:rPr>
                  </w:pPr>
                  <w:r>
                    <w:rPr>
                      <w:rFonts w:hint="eastAsia"/>
                      <w:szCs w:val="21"/>
                      <w:highlight w:val="none"/>
                      <w:u w:val="none"/>
                      <w:lang w:val="en-US" w:eastAsia="zh-CN"/>
                    </w:rPr>
                    <w:t>暂存于一般固废暂存间，综合利用或外售</w:t>
                  </w:r>
                </w:p>
              </w:tc>
            </w:tr>
            <w:tr w14:paraId="6EC38D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67B5070D">
                  <w:pPr>
                    <w:keepNext w:val="0"/>
                    <w:keepLines w:val="0"/>
                    <w:suppressLineNumbers w:val="0"/>
                    <w:spacing w:before="0" w:beforeAutospacing="0" w:after="0" w:afterAutospacing="0"/>
                    <w:ind w:left="0" w:right="0"/>
                    <w:jc w:val="center"/>
                    <w:rPr>
                      <w:rFonts w:hint="default"/>
                      <w:szCs w:val="21"/>
                      <w:highlight w:val="none"/>
                      <w:u w:val="none"/>
                    </w:rPr>
                  </w:pPr>
                </w:p>
              </w:tc>
              <w:tc>
                <w:tcPr>
                  <w:tcW w:w="808" w:type="pct"/>
                  <w:vMerge w:val="continue"/>
                  <w:tcBorders>
                    <w:tl2br w:val="nil"/>
                    <w:tr2bl w:val="nil"/>
                  </w:tcBorders>
                  <w:vAlign w:val="center"/>
                </w:tcPr>
                <w:p w14:paraId="68D0B11D">
                  <w:pPr>
                    <w:keepNext w:val="0"/>
                    <w:keepLines w:val="0"/>
                    <w:suppressLineNumbers w:val="0"/>
                    <w:spacing w:before="0" w:beforeAutospacing="0" w:after="0" w:afterAutospacing="0"/>
                    <w:ind w:left="0" w:right="0"/>
                    <w:jc w:val="center"/>
                    <w:rPr>
                      <w:rFonts w:hint="eastAsia" w:eastAsia="宋体"/>
                      <w:szCs w:val="21"/>
                      <w:highlight w:val="none"/>
                      <w:u w:val="none"/>
                      <w:lang w:val="en-US" w:eastAsia="zh-CN"/>
                    </w:rPr>
                  </w:pPr>
                </w:p>
              </w:tc>
              <w:tc>
                <w:tcPr>
                  <w:tcW w:w="1357" w:type="pct"/>
                  <w:tcBorders>
                    <w:tl2br w:val="nil"/>
                    <w:tr2bl w:val="nil"/>
                  </w:tcBorders>
                  <w:shd w:val="clear" w:color="auto" w:fill="auto"/>
                  <w:vAlign w:val="center"/>
                </w:tcPr>
                <w:p w14:paraId="3FD3982B">
                  <w:pPr>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u w:val="none"/>
                      <w:lang w:val="en-US" w:eastAsia="zh-CN" w:bidi="ar-SA"/>
                    </w:rPr>
                  </w:pPr>
                  <w:r>
                    <w:rPr>
                      <w:rFonts w:hint="eastAsia"/>
                      <w:szCs w:val="21"/>
                      <w:highlight w:val="none"/>
                      <w:u w:val="none"/>
                      <w:lang w:val="en-US" w:eastAsia="zh-CN"/>
                    </w:rPr>
                    <w:t>废边角料</w:t>
                  </w:r>
                </w:p>
              </w:tc>
              <w:tc>
                <w:tcPr>
                  <w:tcW w:w="2359" w:type="pct"/>
                  <w:gridSpan w:val="2"/>
                  <w:vMerge w:val="continue"/>
                  <w:tcBorders>
                    <w:tl2br w:val="nil"/>
                    <w:tr2bl w:val="nil"/>
                  </w:tcBorders>
                  <w:vAlign w:val="center"/>
                </w:tcPr>
                <w:p w14:paraId="07AEAD16">
                  <w:pPr>
                    <w:keepNext w:val="0"/>
                    <w:keepLines w:val="0"/>
                    <w:suppressLineNumbers w:val="0"/>
                    <w:adjustRightInd w:val="0"/>
                    <w:snapToGrid w:val="0"/>
                    <w:spacing w:before="0" w:beforeAutospacing="0" w:after="0" w:afterAutospacing="0"/>
                    <w:ind w:left="0" w:right="0"/>
                    <w:jc w:val="center"/>
                    <w:rPr>
                      <w:rFonts w:hint="default"/>
                      <w:szCs w:val="21"/>
                      <w:highlight w:val="none"/>
                      <w:u w:val="none"/>
                    </w:rPr>
                  </w:pPr>
                </w:p>
              </w:tc>
            </w:tr>
            <w:tr w14:paraId="3BF1FD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705A3455">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04F73326">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0EA45AF3">
                  <w:pPr>
                    <w:keepNext w:val="0"/>
                    <w:keepLines w:val="0"/>
                    <w:suppressLineNumbers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油炸废物</w:t>
                  </w:r>
                </w:p>
              </w:tc>
              <w:tc>
                <w:tcPr>
                  <w:tcW w:w="2359" w:type="pct"/>
                  <w:gridSpan w:val="2"/>
                  <w:vMerge w:val="continue"/>
                  <w:tcBorders>
                    <w:tl2br w:val="nil"/>
                    <w:tr2bl w:val="nil"/>
                  </w:tcBorders>
                  <w:vAlign w:val="center"/>
                </w:tcPr>
                <w:p w14:paraId="26D2EA88">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6F15ED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27D868AA">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60DCCA55">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5A2B520E">
                  <w:pPr>
                    <w:keepNext w:val="0"/>
                    <w:keepLines w:val="0"/>
                    <w:suppressLineNumbers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废包装材料</w:t>
                  </w:r>
                </w:p>
              </w:tc>
              <w:tc>
                <w:tcPr>
                  <w:tcW w:w="2359" w:type="pct"/>
                  <w:gridSpan w:val="2"/>
                  <w:vMerge w:val="continue"/>
                  <w:tcBorders>
                    <w:tl2br w:val="nil"/>
                    <w:tr2bl w:val="nil"/>
                  </w:tcBorders>
                  <w:vAlign w:val="center"/>
                </w:tcPr>
                <w:p w14:paraId="1BAE6511">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2641AD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5109EB2E">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72D296EA">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512DC2E0">
                  <w:pPr>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u w:val="single"/>
                      <w:lang w:val="en-US" w:eastAsia="zh-CN" w:bidi="ar-SA"/>
                    </w:rPr>
                  </w:pPr>
                  <w:r>
                    <w:rPr>
                      <w:rFonts w:hint="eastAsia"/>
                      <w:szCs w:val="21"/>
                      <w:highlight w:val="none"/>
                      <w:u w:val="none"/>
                      <w:lang w:val="en-US" w:eastAsia="zh-CN"/>
                    </w:rPr>
                    <w:t>锅炉渣灰</w:t>
                  </w:r>
                </w:p>
              </w:tc>
              <w:tc>
                <w:tcPr>
                  <w:tcW w:w="2359" w:type="pct"/>
                  <w:gridSpan w:val="2"/>
                  <w:vMerge w:val="continue"/>
                  <w:tcBorders>
                    <w:tl2br w:val="nil"/>
                    <w:tr2bl w:val="nil"/>
                  </w:tcBorders>
                  <w:vAlign w:val="center"/>
                </w:tcPr>
                <w:p w14:paraId="43DE4B6C">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7F0E74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45F835A5">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72FDDC2B">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2188B4B5">
                  <w:pPr>
                    <w:keepNext w:val="0"/>
                    <w:keepLines w:val="0"/>
                    <w:suppressLineNumbers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废离子交换树脂</w:t>
                  </w:r>
                </w:p>
              </w:tc>
              <w:tc>
                <w:tcPr>
                  <w:tcW w:w="2359" w:type="pct"/>
                  <w:gridSpan w:val="2"/>
                  <w:vMerge w:val="continue"/>
                  <w:tcBorders>
                    <w:tl2br w:val="nil"/>
                    <w:tr2bl w:val="nil"/>
                  </w:tcBorders>
                  <w:vAlign w:val="center"/>
                </w:tcPr>
                <w:p w14:paraId="6A34D6EC">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1D4F7A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5E731231">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1D2DE71C">
                  <w:pPr>
                    <w:keepNext w:val="0"/>
                    <w:keepLines w:val="0"/>
                    <w:suppressLineNumbers w:val="0"/>
                    <w:spacing w:before="0" w:beforeAutospacing="0" w:after="0" w:afterAutospacing="0"/>
                    <w:ind w:left="0" w:right="0"/>
                    <w:jc w:val="center"/>
                    <w:rPr>
                      <w:rFonts w:hint="default" w:eastAsia="宋体"/>
                      <w:szCs w:val="21"/>
                      <w:highlight w:val="none"/>
                      <w:u w:val="none"/>
                      <w:lang w:val="en-US" w:eastAsia="zh-CN"/>
                    </w:rPr>
                  </w:pPr>
                </w:p>
              </w:tc>
              <w:tc>
                <w:tcPr>
                  <w:tcW w:w="1357" w:type="pct"/>
                  <w:tcBorders>
                    <w:tl2br w:val="nil"/>
                    <w:tr2bl w:val="nil"/>
                  </w:tcBorders>
                  <w:shd w:val="clear" w:color="auto" w:fill="auto"/>
                  <w:vAlign w:val="center"/>
                </w:tcPr>
                <w:p w14:paraId="7C643A50">
                  <w:pPr>
                    <w:keepNext w:val="0"/>
                    <w:keepLines w:val="0"/>
                    <w:suppressLineNumbers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废食用油</w:t>
                  </w:r>
                </w:p>
              </w:tc>
              <w:tc>
                <w:tcPr>
                  <w:tcW w:w="2359" w:type="pct"/>
                  <w:gridSpan w:val="2"/>
                  <w:tcBorders>
                    <w:tl2br w:val="nil"/>
                    <w:tr2bl w:val="nil"/>
                  </w:tcBorders>
                  <w:vAlign w:val="center"/>
                </w:tcPr>
                <w:p w14:paraId="12DC92B4">
                  <w:pPr>
                    <w:keepNext w:val="0"/>
                    <w:keepLines w:val="0"/>
                    <w:suppressLineNumbers w:val="0"/>
                    <w:adjustRightInd w:val="0"/>
                    <w:snapToGrid w:val="0"/>
                    <w:spacing w:before="0" w:beforeAutospacing="0" w:after="0" w:afterAutospacing="0"/>
                    <w:ind w:left="0" w:right="0"/>
                    <w:jc w:val="center"/>
                    <w:rPr>
                      <w:rFonts w:hint="default" w:eastAsia="宋体"/>
                      <w:szCs w:val="21"/>
                      <w:highlight w:val="none"/>
                      <w:u w:val="none"/>
                      <w:lang w:val="en-US" w:eastAsia="zh-CN"/>
                    </w:rPr>
                  </w:pPr>
                  <w:r>
                    <w:rPr>
                      <w:rFonts w:hint="eastAsia"/>
                      <w:szCs w:val="21"/>
                      <w:highlight w:val="none"/>
                      <w:u w:val="none"/>
                      <w:lang w:val="en-US" w:eastAsia="zh-CN"/>
                    </w:rPr>
                    <w:t>暂存于废食用油收集罐，定期由岳阳耀臣废油回收有限公司收购</w:t>
                  </w:r>
                </w:p>
              </w:tc>
            </w:tr>
            <w:tr w14:paraId="1D11E9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3AB98015">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restart"/>
                  <w:tcBorders>
                    <w:tl2br w:val="nil"/>
                    <w:tr2bl w:val="nil"/>
                  </w:tcBorders>
                  <w:vAlign w:val="center"/>
                </w:tcPr>
                <w:p w14:paraId="07C7159E">
                  <w:pPr>
                    <w:keepNext w:val="0"/>
                    <w:keepLines w:val="0"/>
                    <w:suppressLineNumbers w:val="0"/>
                    <w:spacing w:before="0" w:beforeAutospacing="0" w:after="0" w:afterAutospacing="0"/>
                    <w:ind w:left="0" w:right="0"/>
                    <w:jc w:val="center"/>
                    <w:rPr>
                      <w:rFonts w:hint="eastAsia"/>
                      <w:szCs w:val="21"/>
                      <w:highlight w:val="none"/>
                      <w:u w:val="none"/>
                      <w:lang w:val="en-US" w:eastAsia="zh-CN"/>
                    </w:rPr>
                  </w:pPr>
                  <w:r>
                    <w:rPr>
                      <w:rFonts w:hint="eastAsia"/>
                      <w:szCs w:val="21"/>
                      <w:highlight w:val="none"/>
                      <w:u w:val="none"/>
                      <w:lang w:val="en-US" w:eastAsia="zh-CN"/>
                    </w:rPr>
                    <w:t>危险废物</w:t>
                  </w:r>
                </w:p>
              </w:tc>
              <w:tc>
                <w:tcPr>
                  <w:tcW w:w="1357" w:type="pct"/>
                  <w:tcBorders>
                    <w:tl2br w:val="nil"/>
                    <w:tr2bl w:val="nil"/>
                  </w:tcBorders>
                  <w:shd w:val="clear" w:color="auto" w:fill="auto"/>
                  <w:vAlign w:val="center"/>
                </w:tcPr>
                <w:p w14:paraId="5B15367F">
                  <w:pPr>
                    <w:keepNext w:val="0"/>
                    <w:keepLines w:val="0"/>
                    <w:suppressLineNumbers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废润滑油</w:t>
                  </w:r>
                </w:p>
              </w:tc>
              <w:tc>
                <w:tcPr>
                  <w:tcW w:w="2359" w:type="pct"/>
                  <w:gridSpan w:val="2"/>
                  <w:vMerge w:val="restart"/>
                  <w:tcBorders>
                    <w:tl2br w:val="nil"/>
                    <w:tr2bl w:val="nil"/>
                  </w:tcBorders>
                  <w:vAlign w:val="center"/>
                </w:tcPr>
                <w:p w14:paraId="3563229D">
                  <w:pPr>
                    <w:keepNext w:val="0"/>
                    <w:keepLines w:val="0"/>
                    <w:suppressLineNumbers w:val="0"/>
                    <w:adjustRightInd w:val="0"/>
                    <w:snapToGrid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暂存于危废暂存间，由第三方有资质公司定期清运</w:t>
                  </w:r>
                </w:p>
              </w:tc>
            </w:tr>
            <w:tr w14:paraId="2E800E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16A1B5F2">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3EDDBEC0">
                  <w:pPr>
                    <w:keepNext w:val="0"/>
                    <w:keepLines w:val="0"/>
                    <w:suppressLineNumbers w:val="0"/>
                    <w:spacing w:before="0" w:beforeAutospacing="0" w:after="0" w:afterAutospacing="0"/>
                    <w:ind w:left="0" w:right="0"/>
                    <w:jc w:val="center"/>
                    <w:rPr>
                      <w:rFonts w:hint="eastAsia"/>
                      <w:szCs w:val="21"/>
                      <w:highlight w:val="none"/>
                      <w:u w:val="none"/>
                      <w:lang w:val="en-US" w:eastAsia="zh-CN"/>
                    </w:rPr>
                  </w:pPr>
                </w:p>
              </w:tc>
              <w:tc>
                <w:tcPr>
                  <w:tcW w:w="1357" w:type="pct"/>
                  <w:tcBorders>
                    <w:tl2br w:val="nil"/>
                    <w:tr2bl w:val="nil"/>
                  </w:tcBorders>
                  <w:shd w:val="clear" w:color="auto" w:fill="auto"/>
                  <w:vAlign w:val="center"/>
                </w:tcPr>
                <w:p w14:paraId="76BED277">
                  <w:pPr>
                    <w:keepNext w:val="0"/>
                    <w:keepLines w:val="0"/>
                    <w:suppressLineNumbers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废含油抹布、手套</w:t>
                  </w:r>
                </w:p>
              </w:tc>
              <w:tc>
                <w:tcPr>
                  <w:tcW w:w="2359" w:type="pct"/>
                  <w:gridSpan w:val="2"/>
                  <w:vMerge w:val="continue"/>
                  <w:tcBorders>
                    <w:tl2br w:val="nil"/>
                    <w:tr2bl w:val="nil"/>
                  </w:tcBorders>
                  <w:vAlign w:val="center"/>
                </w:tcPr>
                <w:p w14:paraId="50122B31">
                  <w:pPr>
                    <w:keepNext w:val="0"/>
                    <w:keepLines w:val="0"/>
                    <w:suppressLineNumbers w:val="0"/>
                    <w:adjustRightInd w:val="0"/>
                    <w:snapToGrid w:val="0"/>
                    <w:spacing w:before="0" w:beforeAutospacing="0" w:after="0" w:afterAutospacing="0"/>
                    <w:ind w:left="0" w:right="0"/>
                    <w:jc w:val="center"/>
                    <w:rPr>
                      <w:rFonts w:hint="eastAsia"/>
                      <w:szCs w:val="21"/>
                      <w:highlight w:val="none"/>
                      <w:u w:val="none"/>
                      <w:lang w:val="en-US" w:eastAsia="zh-CN"/>
                    </w:rPr>
                  </w:pPr>
                </w:p>
              </w:tc>
            </w:tr>
            <w:tr w14:paraId="791DF7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43B2FAE2">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2F80CB94">
                  <w:pPr>
                    <w:keepNext w:val="0"/>
                    <w:keepLines w:val="0"/>
                    <w:suppressLineNumbers w:val="0"/>
                    <w:spacing w:before="0" w:beforeAutospacing="0" w:after="0" w:afterAutospacing="0"/>
                    <w:ind w:left="0" w:right="0"/>
                    <w:jc w:val="center"/>
                    <w:rPr>
                      <w:rFonts w:hint="eastAsia"/>
                      <w:szCs w:val="21"/>
                      <w:highlight w:val="none"/>
                      <w:u w:val="none"/>
                      <w:lang w:val="en-US" w:eastAsia="zh-CN"/>
                    </w:rPr>
                  </w:pPr>
                </w:p>
              </w:tc>
              <w:tc>
                <w:tcPr>
                  <w:tcW w:w="1357" w:type="pct"/>
                  <w:tcBorders>
                    <w:tl2br w:val="nil"/>
                    <w:tr2bl w:val="nil"/>
                  </w:tcBorders>
                  <w:shd w:val="clear" w:color="auto" w:fill="auto"/>
                  <w:vAlign w:val="center"/>
                </w:tcPr>
                <w:p w14:paraId="1B7DBB7E">
                  <w:pPr>
                    <w:keepNext w:val="0"/>
                    <w:keepLines w:val="0"/>
                    <w:suppressLineNumbers w:val="0"/>
                    <w:spacing w:before="0" w:beforeAutospacing="0" w:after="0" w:afterAutospacing="0"/>
                    <w:ind w:left="0" w:right="0"/>
                    <w:jc w:val="center"/>
                    <w:rPr>
                      <w:rFonts w:hint="default"/>
                      <w:szCs w:val="21"/>
                      <w:highlight w:val="none"/>
                      <w:u w:val="none"/>
                      <w:lang w:val="en-US" w:eastAsia="zh-CN"/>
                    </w:rPr>
                  </w:pPr>
                  <w:r>
                    <w:rPr>
                      <w:rFonts w:hint="eastAsia"/>
                      <w:szCs w:val="21"/>
                      <w:highlight w:val="none"/>
                      <w:u w:val="none"/>
                      <w:lang w:val="en-US" w:eastAsia="zh-CN"/>
                    </w:rPr>
                    <w:t>废油桶</w:t>
                  </w:r>
                </w:p>
              </w:tc>
              <w:tc>
                <w:tcPr>
                  <w:tcW w:w="2359" w:type="pct"/>
                  <w:gridSpan w:val="2"/>
                  <w:vMerge w:val="continue"/>
                  <w:tcBorders>
                    <w:tl2br w:val="nil"/>
                    <w:tr2bl w:val="nil"/>
                  </w:tcBorders>
                  <w:vAlign w:val="center"/>
                </w:tcPr>
                <w:p w14:paraId="19F75B9A">
                  <w:pPr>
                    <w:keepNext w:val="0"/>
                    <w:keepLines w:val="0"/>
                    <w:suppressLineNumbers w:val="0"/>
                    <w:adjustRightInd w:val="0"/>
                    <w:snapToGrid w:val="0"/>
                    <w:spacing w:before="0" w:beforeAutospacing="0" w:after="0" w:afterAutospacing="0"/>
                    <w:ind w:left="0" w:right="0"/>
                    <w:jc w:val="center"/>
                    <w:rPr>
                      <w:rFonts w:hint="eastAsia"/>
                      <w:szCs w:val="21"/>
                      <w:highlight w:val="none"/>
                      <w:u w:val="none"/>
                      <w:lang w:val="en-US" w:eastAsia="zh-CN"/>
                    </w:rPr>
                  </w:pPr>
                </w:p>
              </w:tc>
            </w:tr>
          </w:tbl>
          <w:p w14:paraId="44DAF6D6">
            <w:pPr>
              <w:pStyle w:val="11"/>
              <w:keepNext w:val="0"/>
              <w:keepLines w:val="0"/>
              <w:suppressLineNumbers w:val="0"/>
              <w:spacing w:before="0" w:beforeAutospacing="0" w:after="0" w:afterAutospacing="0"/>
              <w:ind w:left="0"/>
              <w:rPr>
                <w:rFonts w:hint="default"/>
              </w:rPr>
            </w:pPr>
          </w:p>
        </w:tc>
      </w:tr>
      <w:tr w14:paraId="1A56A2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253" w:type="pct"/>
            <w:vAlign w:val="center"/>
          </w:tcPr>
          <w:p w14:paraId="1E7AF9FF">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szCs w:val="24"/>
              </w:rPr>
            </w:pPr>
            <w:r>
              <w:rPr>
                <w:rFonts w:hint="default" w:ascii="Times New Roman" w:hAnsi="Times New Roman"/>
                <w:bCs/>
                <w:kern w:val="2"/>
                <w:szCs w:val="24"/>
              </w:rPr>
              <w:t>与项目有关的原有环境污染问题</w:t>
            </w:r>
          </w:p>
        </w:tc>
        <w:tc>
          <w:tcPr>
            <w:tcW w:w="4746" w:type="pct"/>
            <w:vAlign w:val="center"/>
          </w:tcPr>
          <w:p w14:paraId="24CA91F1">
            <w:pPr>
              <w:pStyle w:val="46"/>
              <w:keepNext w:val="0"/>
              <w:keepLines w:val="0"/>
              <w:numPr>
                <w:ilvl w:val="0"/>
                <w:numId w:val="13"/>
              </w:numPr>
              <w:suppressLineNumbers w:val="0"/>
              <w:spacing w:before="120" w:beforeLines="50" w:beforeAutospacing="0" w:after="0" w:afterAutospacing="0" w:line="360" w:lineRule="auto"/>
              <w:ind w:left="0" w:right="0"/>
              <w:outlineLvl w:val="1"/>
              <w:rPr>
                <w:rFonts w:hint="default"/>
                <w:b/>
                <w:sz w:val="30"/>
                <w:szCs w:val="30"/>
              </w:rPr>
            </w:pPr>
            <w:bookmarkStart w:id="16" w:name="_Toc2505"/>
            <w:r>
              <w:rPr>
                <w:rFonts w:hint="default"/>
                <w:b/>
                <w:sz w:val="30"/>
                <w:szCs w:val="30"/>
              </w:rPr>
              <w:t>现有项目工程分析</w:t>
            </w:r>
            <w:bookmarkEnd w:id="16"/>
          </w:p>
          <w:p w14:paraId="2EC2038A">
            <w:pPr>
              <w:pStyle w:val="22"/>
              <w:keepNext w:val="0"/>
              <w:keepLines w:val="0"/>
              <w:widowControl w:val="0"/>
              <w:suppressLineNumbers w:val="0"/>
              <w:snapToGrid/>
              <w:spacing w:before="0" w:beforeAutospacing="0" w:after="0" w:afterAutospacing="0" w:line="360" w:lineRule="auto"/>
              <w:ind w:left="0" w:right="0" w:firstLine="480" w:firstLineChars="200"/>
              <w:rPr>
                <w:rFonts w:hint="eastAsia" w:ascii="Times New Roman" w:hAnsi="Times New Roman"/>
                <w:lang w:eastAsia="zh-CN"/>
              </w:rPr>
            </w:pPr>
            <w:r>
              <w:rPr>
                <w:rFonts w:hint="default" w:ascii="Times New Roman" w:hAnsi="Times New Roman"/>
              </w:rPr>
              <w:t>湖南童记三利和食品有限公司是一家从事鱼制品深加工的企业，拥有湖南省著名商标“童记三利和”，为湖南省农业产业化龙头企业、岳阳市“富民强市”模范单位。</w:t>
            </w:r>
          </w:p>
          <w:p w14:paraId="050E5B90">
            <w:pPr>
              <w:pStyle w:val="22"/>
              <w:keepNext w:val="0"/>
              <w:keepLines w:val="0"/>
              <w:widowControl w:val="0"/>
              <w:suppressLineNumbers w:val="0"/>
              <w:snapToGrid/>
              <w:spacing w:before="0" w:beforeAutospacing="0" w:after="0" w:afterAutospacing="0" w:line="360" w:lineRule="auto"/>
              <w:ind w:left="0" w:right="0" w:firstLine="480" w:firstLineChars="200"/>
              <w:rPr>
                <w:rFonts w:hint="eastAsia" w:ascii="Times New Roman" w:hAnsi="Times New Roman"/>
                <w:lang w:val="en-US" w:eastAsia="zh-CN"/>
              </w:rPr>
            </w:pPr>
            <w:r>
              <w:rPr>
                <w:rFonts w:hint="eastAsia" w:ascii="Times New Roman" w:hAnsi="Times New Roman"/>
                <w:lang w:val="en-US" w:eastAsia="zh-CN"/>
              </w:rPr>
              <w:t>目前厂区综合生产车间一楼设有两条特色休闲鱼制品生产线，综合楼占地面积5139.58平方米，三层，其中一楼鱼制品生产线占地822平方米，二楼设有杀菌、包装生产线以及辅料仓库及包材仓库，三楼设有搅拌及罐装工序生产线。厂区原环评设计生产规模为年产20000吨休闲鱼制品，现厂区内实际生产规模为年生产6500吨休闲鱼制品。厂区现有生产线规模见下表。</w:t>
            </w:r>
          </w:p>
          <w:p w14:paraId="470179A6">
            <w:pPr>
              <w:pStyle w:val="33"/>
              <w:keepNext w:val="0"/>
              <w:keepLines w:val="0"/>
              <w:numPr>
                <w:ilvl w:val="0"/>
                <w:numId w:val="7"/>
              </w:numPr>
              <w:suppressLineNumbers w:val="0"/>
              <w:spacing w:before="0" w:beforeAutospacing="0" w:after="0" w:afterAutospacing="0"/>
              <w:ind w:right="0"/>
              <w:jc w:val="center"/>
              <w:rPr>
                <w:rFonts w:hint="eastAsia"/>
                <w:lang w:val="en-US" w:eastAsia="zh-CN"/>
              </w:rPr>
            </w:pPr>
            <w:r>
              <w:rPr>
                <w:rFonts w:hint="eastAsia"/>
                <w:b/>
                <w:bCs/>
                <w:sz w:val="24"/>
                <w:lang w:val="en-US" w:eastAsia="zh-CN"/>
              </w:rPr>
              <w:t>厂区现有生产线规模</w:t>
            </w:r>
          </w:p>
          <w:tbl>
            <w:tblPr>
              <w:tblStyle w:val="25"/>
              <w:tblW w:w="4998"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2866"/>
              <w:gridCol w:w="4299"/>
            </w:tblGrid>
            <w:tr w14:paraId="551AA6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3" w:type="pct"/>
                  <w:tcBorders>
                    <w:tl2br w:val="nil"/>
                    <w:tr2bl w:val="nil"/>
                  </w:tcBorders>
                  <w:vAlign w:val="center"/>
                </w:tcPr>
                <w:p w14:paraId="12ACCBD0">
                  <w:pPr>
                    <w:keepNext w:val="0"/>
                    <w:keepLines w:val="0"/>
                    <w:suppressLineNumbers w:val="0"/>
                    <w:spacing w:before="0" w:beforeAutospacing="0" w:after="0" w:afterAutospacing="0"/>
                    <w:ind w:left="0" w:right="0"/>
                    <w:jc w:val="center"/>
                    <w:rPr>
                      <w:rFonts w:hint="default"/>
                      <w:b/>
                      <w:bCs/>
                      <w:vertAlign w:val="baseline"/>
                      <w:lang w:val="en-US" w:eastAsia="zh-CN"/>
                    </w:rPr>
                  </w:pPr>
                  <w:r>
                    <w:rPr>
                      <w:rFonts w:hint="eastAsia"/>
                      <w:b/>
                      <w:bCs/>
                      <w:vertAlign w:val="baseline"/>
                      <w:lang w:val="en-US" w:eastAsia="zh-CN"/>
                    </w:rPr>
                    <w:t>序号</w:t>
                  </w:r>
                </w:p>
              </w:tc>
              <w:tc>
                <w:tcPr>
                  <w:tcW w:w="1726" w:type="pct"/>
                  <w:tcBorders>
                    <w:tl2br w:val="nil"/>
                    <w:tr2bl w:val="nil"/>
                  </w:tcBorders>
                  <w:vAlign w:val="center"/>
                </w:tcPr>
                <w:p w14:paraId="7ADE6B59">
                  <w:pPr>
                    <w:keepNext w:val="0"/>
                    <w:keepLines w:val="0"/>
                    <w:suppressLineNumbers w:val="0"/>
                    <w:spacing w:before="0" w:beforeAutospacing="0" w:after="0" w:afterAutospacing="0"/>
                    <w:ind w:left="0" w:right="0"/>
                    <w:jc w:val="center"/>
                    <w:rPr>
                      <w:rFonts w:hint="eastAsia"/>
                      <w:b/>
                      <w:bCs/>
                      <w:vertAlign w:val="baseline"/>
                      <w:lang w:val="en-US" w:eastAsia="zh-CN"/>
                    </w:rPr>
                  </w:pPr>
                  <w:r>
                    <w:rPr>
                      <w:rFonts w:hint="eastAsia"/>
                      <w:b/>
                      <w:bCs/>
                      <w:vertAlign w:val="baseline"/>
                      <w:lang w:val="en-US" w:eastAsia="zh-CN"/>
                    </w:rPr>
                    <w:t>生产线名称</w:t>
                  </w:r>
                </w:p>
              </w:tc>
              <w:tc>
                <w:tcPr>
                  <w:tcW w:w="2589" w:type="pct"/>
                  <w:tcBorders>
                    <w:tl2br w:val="nil"/>
                    <w:tr2bl w:val="nil"/>
                  </w:tcBorders>
                  <w:vAlign w:val="center"/>
                </w:tcPr>
                <w:p w14:paraId="042DE930">
                  <w:pPr>
                    <w:keepNext w:val="0"/>
                    <w:keepLines w:val="0"/>
                    <w:suppressLineNumbers w:val="0"/>
                    <w:spacing w:before="0" w:beforeAutospacing="0" w:after="0" w:afterAutospacing="0"/>
                    <w:ind w:left="0" w:right="0"/>
                    <w:jc w:val="center"/>
                    <w:rPr>
                      <w:rFonts w:hint="default"/>
                      <w:b/>
                      <w:bCs/>
                      <w:vertAlign w:val="baseline"/>
                      <w:lang w:val="en-US" w:eastAsia="zh-CN"/>
                    </w:rPr>
                  </w:pPr>
                  <w:r>
                    <w:rPr>
                      <w:rFonts w:hint="eastAsia"/>
                      <w:b/>
                      <w:bCs/>
                      <w:vertAlign w:val="baseline"/>
                      <w:lang w:val="en-US" w:eastAsia="zh-CN"/>
                    </w:rPr>
                    <w:t>年产量（t/a）</w:t>
                  </w:r>
                </w:p>
              </w:tc>
            </w:tr>
            <w:tr w14:paraId="118E6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3" w:type="pct"/>
                  <w:tcBorders>
                    <w:tl2br w:val="nil"/>
                    <w:tr2bl w:val="nil"/>
                  </w:tcBorders>
                  <w:vAlign w:val="center"/>
                </w:tcPr>
                <w:p w14:paraId="70D1B224">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1</w:t>
                  </w:r>
                </w:p>
              </w:tc>
              <w:tc>
                <w:tcPr>
                  <w:tcW w:w="1726" w:type="pct"/>
                  <w:tcBorders>
                    <w:tl2br w:val="nil"/>
                    <w:tr2bl w:val="nil"/>
                  </w:tcBorders>
                  <w:vAlign w:val="center"/>
                </w:tcPr>
                <w:p w14:paraId="1DE8CDF3">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特色休闲鱼块</w:t>
                  </w:r>
                </w:p>
              </w:tc>
              <w:tc>
                <w:tcPr>
                  <w:tcW w:w="2589" w:type="pct"/>
                  <w:tcBorders>
                    <w:tl2br w:val="nil"/>
                    <w:tr2bl w:val="nil"/>
                  </w:tcBorders>
                  <w:vAlign w:val="center"/>
                </w:tcPr>
                <w:p w14:paraId="37A74CFF">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1500</w:t>
                  </w:r>
                </w:p>
              </w:tc>
            </w:tr>
            <w:tr w14:paraId="3A4155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3" w:type="pct"/>
                  <w:tcBorders>
                    <w:tl2br w:val="nil"/>
                    <w:tr2bl w:val="nil"/>
                  </w:tcBorders>
                  <w:vAlign w:val="center"/>
                </w:tcPr>
                <w:p w14:paraId="064CA0C9">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2</w:t>
                  </w:r>
                </w:p>
              </w:tc>
              <w:tc>
                <w:tcPr>
                  <w:tcW w:w="1726" w:type="pct"/>
                  <w:tcBorders>
                    <w:tl2br w:val="nil"/>
                    <w:tr2bl w:val="nil"/>
                  </w:tcBorders>
                  <w:vAlign w:val="center"/>
                </w:tcPr>
                <w:p w14:paraId="2F096081">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特色休闲鱼仔</w:t>
                  </w:r>
                </w:p>
              </w:tc>
              <w:tc>
                <w:tcPr>
                  <w:tcW w:w="2589" w:type="pct"/>
                  <w:tcBorders>
                    <w:tl2br w:val="nil"/>
                    <w:tr2bl w:val="nil"/>
                  </w:tcBorders>
                  <w:vAlign w:val="center"/>
                </w:tcPr>
                <w:p w14:paraId="5014C969">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5000</w:t>
                  </w:r>
                </w:p>
              </w:tc>
            </w:tr>
            <w:tr w14:paraId="6D551F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83" w:type="pct"/>
                  <w:tcBorders>
                    <w:tl2br w:val="nil"/>
                    <w:tr2bl w:val="nil"/>
                  </w:tcBorders>
                  <w:vAlign w:val="center"/>
                </w:tcPr>
                <w:p w14:paraId="686372D6">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3</w:t>
                  </w:r>
                </w:p>
              </w:tc>
              <w:tc>
                <w:tcPr>
                  <w:tcW w:w="1726" w:type="pct"/>
                  <w:tcBorders>
                    <w:tl2br w:val="nil"/>
                    <w:tr2bl w:val="nil"/>
                  </w:tcBorders>
                  <w:vAlign w:val="center"/>
                </w:tcPr>
                <w:p w14:paraId="48873BDB">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合计</w:t>
                  </w:r>
                </w:p>
              </w:tc>
              <w:tc>
                <w:tcPr>
                  <w:tcW w:w="2589" w:type="pct"/>
                  <w:tcBorders>
                    <w:tl2br w:val="nil"/>
                    <w:tr2bl w:val="nil"/>
                  </w:tcBorders>
                  <w:vAlign w:val="center"/>
                </w:tcPr>
                <w:p w14:paraId="29B0ABE8">
                  <w:pPr>
                    <w:keepNext w:val="0"/>
                    <w:keepLines w:val="0"/>
                    <w:suppressLineNumbers w:val="0"/>
                    <w:spacing w:before="0" w:beforeAutospacing="0" w:after="0" w:afterAutospacing="0"/>
                    <w:ind w:left="0" w:right="0"/>
                    <w:jc w:val="center"/>
                    <w:rPr>
                      <w:rFonts w:hint="default"/>
                      <w:vertAlign w:val="baseline"/>
                      <w:lang w:val="en-US" w:eastAsia="zh-CN"/>
                    </w:rPr>
                  </w:pPr>
                  <w:r>
                    <w:rPr>
                      <w:rFonts w:hint="eastAsia"/>
                      <w:vertAlign w:val="baseline"/>
                      <w:lang w:val="en-US" w:eastAsia="zh-CN"/>
                    </w:rPr>
                    <w:t>6500</w:t>
                  </w:r>
                </w:p>
              </w:tc>
            </w:tr>
          </w:tbl>
          <w:p w14:paraId="4B7C3AC2">
            <w:pPr>
              <w:pStyle w:val="22"/>
              <w:keepNext w:val="0"/>
              <w:keepLines w:val="0"/>
              <w:widowControl w:val="0"/>
              <w:suppressLineNumbers w:val="0"/>
              <w:snapToGrid/>
              <w:spacing w:before="157" w:beforeLines="50" w:beforeAutospacing="0" w:after="0" w:afterAutospacing="0" w:line="360" w:lineRule="auto"/>
              <w:ind w:left="0" w:right="0" w:firstLine="480" w:firstLineChars="200"/>
              <w:rPr>
                <w:rFonts w:hint="default" w:ascii="Times New Roman" w:hAnsi="Times New Roman"/>
                <w:highlight w:val="yellow"/>
                <w:lang w:val="en-US" w:eastAsia="zh-CN"/>
              </w:rPr>
            </w:pPr>
            <w:r>
              <w:rPr>
                <w:rFonts w:hint="eastAsia" w:ascii="Times New Roman" w:hAnsi="Times New Roman"/>
                <w:highlight w:val="none"/>
                <w:lang w:val="en-US" w:eastAsia="zh-CN"/>
              </w:rPr>
              <w:t>建设单位厂区内配套建设锅炉房及一台导热油锅炉，为现有两条鱼制品生产线供热，导热油锅炉规格型号为YLW-1900SCIII，使用燃料为生物质成型燃料，供热温度约240℃，年工作时间为250天，日工作10小时。</w:t>
            </w:r>
          </w:p>
          <w:p w14:paraId="1FFC44A5">
            <w:pPr>
              <w:keepNext w:val="0"/>
              <w:keepLines w:val="0"/>
              <w:numPr>
                <w:ilvl w:val="2"/>
                <w:numId w:val="0"/>
              </w:numPr>
              <w:suppressLineNumbers w:val="0"/>
              <w:spacing w:before="0" w:beforeAutospacing="0" w:after="0" w:afterAutospacing="0" w:line="360" w:lineRule="auto"/>
              <w:ind w:left="0" w:right="0"/>
              <w:rPr>
                <w:rFonts w:hint="default"/>
                <w:b/>
                <w:kern w:val="0"/>
                <w:sz w:val="28"/>
                <w:szCs w:val="28"/>
              </w:rPr>
            </w:pPr>
            <w:bookmarkStart w:id="17" w:name="_Toc19811"/>
            <w:bookmarkStart w:id="18" w:name="_Toc447114841"/>
            <w:bookmarkStart w:id="19" w:name="_Toc447114725"/>
            <w:r>
              <w:rPr>
                <w:rFonts w:hint="default"/>
                <w:b/>
                <w:kern w:val="0"/>
                <w:sz w:val="28"/>
                <w:szCs w:val="28"/>
              </w:rPr>
              <w:t>1.</w:t>
            </w:r>
            <w:r>
              <w:rPr>
                <w:rFonts w:hint="eastAsia"/>
                <w:b/>
                <w:kern w:val="0"/>
                <w:sz w:val="28"/>
                <w:szCs w:val="28"/>
                <w:lang w:val="en-US" w:eastAsia="zh-CN"/>
              </w:rPr>
              <w:t>1</w:t>
            </w:r>
            <w:r>
              <w:rPr>
                <w:rFonts w:hint="default"/>
                <w:b/>
                <w:kern w:val="0"/>
                <w:sz w:val="28"/>
                <w:szCs w:val="28"/>
              </w:rPr>
              <w:t>项目环评批复落实情况及竣工环保验收情况</w:t>
            </w:r>
          </w:p>
          <w:p w14:paraId="1A2EAE98">
            <w:pPr>
              <w:keepNext w:val="0"/>
              <w:keepLines w:val="0"/>
              <w:numPr>
                <w:ilvl w:val="0"/>
                <w:numId w:val="14"/>
              </w:numPr>
              <w:suppressLineNumbers w:val="0"/>
              <w:adjustRightInd w:val="0"/>
              <w:spacing w:before="0" w:beforeAutospacing="0" w:after="0" w:afterAutospacing="0" w:line="360" w:lineRule="auto"/>
              <w:ind w:left="0" w:right="0" w:firstLine="482"/>
              <w:rPr>
                <w:rFonts w:hint="eastAsia"/>
                <w:sz w:val="24"/>
                <w:lang w:val="en-US" w:eastAsia="zh-CN"/>
              </w:rPr>
            </w:pPr>
            <w:r>
              <w:rPr>
                <w:rFonts w:hint="eastAsia"/>
                <w:sz w:val="24"/>
                <w:lang w:val="en-US" w:eastAsia="zh-CN"/>
              </w:rPr>
              <w:t>环评批复落实情况</w:t>
            </w:r>
          </w:p>
          <w:p w14:paraId="553AEAF2">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eastAsia"/>
                <w:sz w:val="24"/>
                <w:lang w:val="en-US" w:eastAsia="zh-CN"/>
              </w:rPr>
            </w:pPr>
            <w:r>
              <w:rPr>
                <w:rFonts w:hint="eastAsia"/>
                <w:sz w:val="24"/>
                <w:lang w:val="en-US" w:eastAsia="zh-CN"/>
              </w:rPr>
              <w:t>2014年2月，湖南美景环保科技咨询服务有限公司编制完成了《年产2万吨特色休闲鱼制品建设项目环境影响评价报告表》，2014年2月26日，岳阳市环境保护局君山分局以岳环君分环评批[2014]6号文予以批复。</w:t>
            </w:r>
          </w:p>
          <w:p w14:paraId="5518604A">
            <w:pPr>
              <w:keepNext w:val="0"/>
              <w:keepLines w:val="0"/>
              <w:numPr>
                <w:ilvl w:val="0"/>
                <w:numId w:val="14"/>
              </w:numPr>
              <w:suppressLineNumbers w:val="0"/>
              <w:adjustRightInd w:val="0"/>
              <w:spacing w:before="0" w:beforeAutospacing="0" w:after="0" w:afterAutospacing="0" w:line="360" w:lineRule="auto"/>
              <w:ind w:left="0" w:right="0" w:firstLine="482"/>
              <w:rPr>
                <w:rFonts w:hint="default"/>
                <w:sz w:val="24"/>
                <w:lang w:val="en-US" w:eastAsia="zh-CN"/>
              </w:rPr>
            </w:pPr>
            <w:r>
              <w:rPr>
                <w:rFonts w:hint="eastAsia"/>
                <w:sz w:val="24"/>
                <w:lang w:val="en-US" w:eastAsia="zh-CN"/>
              </w:rPr>
              <w:t>竣工环保验收情况</w:t>
            </w:r>
          </w:p>
          <w:p w14:paraId="5EDC4E80">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eastAsia"/>
                <w:sz w:val="24"/>
                <w:lang w:val="en-US" w:eastAsia="zh-CN"/>
              </w:rPr>
            </w:pPr>
            <w:r>
              <w:rPr>
                <w:rFonts w:hint="eastAsia"/>
                <w:sz w:val="24"/>
                <w:lang w:val="en-US" w:eastAsia="zh-CN"/>
              </w:rPr>
              <w:t>2017年9月，湖南永蓝检测技术股份有限公司编制完成了《年产2万吨特色休闲鱼制品建设项目竣工环境保护阶段性验收检测报告》永蓝环竣监字[2017]第88号，2017年9月25日岳阳市环境保护局君山分局以岳环君分环验[2017]13号文予以批复。</w:t>
            </w:r>
          </w:p>
          <w:p w14:paraId="026015D9">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eastAsia"/>
                <w:sz w:val="24"/>
                <w:highlight w:val="none"/>
                <w:lang w:val="en-US" w:eastAsia="zh-CN"/>
              </w:rPr>
            </w:pPr>
            <w:r>
              <w:rPr>
                <w:rFonts w:hint="eastAsia"/>
                <w:sz w:val="24"/>
                <w:highlight w:val="none"/>
                <w:lang w:val="en-US" w:eastAsia="zh-CN"/>
              </w:rPr>
              <w:t>3、排污许可手续</w:t>
            </w:r>
          </w:p>
          <w:p w14:paraId="22D9B9DE">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80" w:firstLineChars="200"/>
              <w:textAlignment w:val="auto"/>
              <w:rPr>
                <w:rFonts w:hint="default"/>
                <w:sz w:val="24"/>
                <w:highlight w:val="none"/>
                <w:lang w:val="en-US" w:eastAsia="zh-CN"/>
              </w:rPr>
            </w:pPr>
            <w:r>
              <w:rPr>
                <w:rFonts w:hint="eastAsia"/>
                <w:sz w:val="24"/>
                <w:highlight w:val="none"/>
                <w:lang w:val="en-US" w:eastAsia="zh-CN"/>
              </w:rPr>
              <w:t>企业已于2025年4月进行了排污登记管理延续，固定污染源登记管理编号为91430600090859985K001X，满足《排污许可管理条例》（2021年）（中华人民共和国国务院令 第736号）等法律法规的相关要求。</w:t>
            </w:r>
          </w:p>
          <w:p w14:paraId="4CCD9463">
            <w:pPr>
              <w:keepNext w:val="0"/>
              <w:keepLines w:val="0"/>
              <w:numPr>
                <w:ilvl w:val="2"/>
                <w:numId w:val="0"/>
              </w:numPr>
              <w:suppressLineNumbers w:val="0"/>
              <w:spacing w:before="0" w:beforeAutospacing="0" w:after="0" w:afterAutospacing="0" w:line="360" w:lineRule="auto"/>
              <w:ind w:left="0" w:right="0"/>
              <w:rPr>
                <w:rFonts w:hint="default"/>
                <w:b/>
                <w:kern w:val="0"/>
                <w:sz w:val="28"/>
                <w:szCs w:val="28"/>
                <w:u w:val="single"/>
              </w:rPr>
            </w:pPr>
            <w:r>
              <w:rPr>
                <w:rFonts w:hint="default"/>
                <w:b/>
                <w:kern w:val="0"/>
                <w:sz w:val="28"/>
                <w:szCs w:val="28"/>
              </w:rPr>
              <w:t>1.</w:t>
            </w:r>
            <w:r>
              <w:rPr>
                <w:rFonts w:hint="eastAsia"/>
                <w:b/>
                <w:kern w:val="0"/>
                <w:sz w:val="28"/>
                <w:szCs w:val="28"/>
                <w:lang w:val="en-US" w:eastAsia="zh-CN"/>
              </w:rPr>
              <w:t>2</w:t>
            </w:r>
            <w:r>
              <w:rPr>
                <w:rFonts w:hint="default"/>
                <w:b/>
                <w:kern w:val="0"/>
                <w:sz w:val="28"/>
                <w:szCs w:val="28"/>
                <w:u w:val="single"/>
              </w:rPr>
              <w:t>现有项目污染源排放情况</w:t>
            </w:r>
          </w:p>
          <w:p w14:paraId="4F3C267D">
            <w:pPr>
              <w:keepNext w:val="0"/>
              <w:keepLines w:val="0"/>
              <w:suppressLineNumbers w:val="0"/>
              <w:adjustRightInd w:val="0"/>
              <w:spacing w:before="0" w:beforeAutospacing="0" w:after="0" w:afterAutospacing="0" w:line="360" w:lineRule="auto"/>
              <w:ind w:left="0" w:right="0" w:firstLine="482"/>
              <w:rPr>
                <w:rFonts w:hint="eastAsia"/>
                <w:sz w:val="24"/>
                <w:u w:val="single"/>
                <w:lang w:val="en-US" w:eastAsia="zh-CN"/>
              </w:rPr>
            </w:pPr>
            <w:r>
              <w:rPr>
                <w:rFonts w:hint="eastAsia"/>
                <w:sz w:val="24"/>
                <w:u w:val="single"/>
                <w:lang w:val="en-US" w:eastAsia="zh-CN"/>
              </w:rPr>
              <w:t>企业现有项目产排污情况将根据建设单位提供的相关资料进行统计分析。</w:t>
            </w:r>
          </w:p>
          <w:p w14:paraId="0DA1718F">
            <w:pPr>
              <w:pStyle w:val="5"/>
              <w:numPr>
                <w:ilvl w:val="0"/>
                <w:numId w:val="15"/>
              </w:numPr>
              <w:suppressLineNumbers w:val="0"/>
              <w:spacing w:before="0" w:beforeAutospacing="0" w:after="0" w:afterAutospacing="0"/>
              <w:ind w:left="0" w:right="0" w:firstLine="0"/>
              <w:rPr>
                <w:rFonts w:hint="eastAsia"/>
                <w:b/>
                <w:bCs w:val="0"/>
                <w:sz w:val="24"/>
                <w:u w:val="single"/>
                <w:lang w:val="en-US" w:eastAsia="zh-CN"/>
              </w:rPr>
            </w:pPr>
            <w:r>
              <w:rPr>
                <w:rFonts w:hint="eastAsia"/>
                <w:b/>
                <w:bCs w:val="0"/>
                <w:sz w:val="24"/>
                <w:u w:val="single"/>
                <w:lang w:val="en-US" w:eastAsia="zh-CN"/>
              </w:rPr>
              <w:t>现有项目生产工艺及产排污情况</w:t>
            </w:r>
          </w:p>
          <w:p w14:paraId="68C9EC00">
            <w:pPr>
              <w:keepNext w:val="0"/>
              <w:keepLines w:val="0"/>
              <w:numPr>
                <w:ilvl w:val="0"/>
                <w:numId w:val="0"/>
              </w:numPr>
              <w:suppressLineNumbers w:val="0"/>
              <w:spacing w:before="0" w:beforeAutospacing="0" w:after="0" w:afterAutospacing="0" w:line="360" w:lineRule="auto"/>
              <w:ind w:left="0" w:right="0" w:firstLine="480" w:firstLineChars="200"/>
              <w:rPr>
                <w:rFonts w:hint="default"/>
                <w:sz w:val="24"/>
                <w:u w:val="single"/>
                <w:lang w:val="en-US" w:eastAsia="zh-CN"/>
              </w:rPr>
            </w:pPr>
            <w:r>
              <w:rPr>
                <w:rFonts w:hint="eastAsia"/>
                <w:sz w:val="24"/>
                <w:u w:val="single"/>
                <w:lang w:val="en-US" w:eastAsia="zh-CN"/>
              </w:rPr>
              <w:t>（1）生产工艺流程</w:t>
            </w:r>
          </w:p>
          <w:p w14:paraId="226802E2">
            <w:pPr>
              <w:keepNext w:val="0"/>
              <w:keepLines w:val="0"/>
              <w:numPr>
                <w:ilvl w:val="0"/>
                <w:numId w:val="0"/>
              </w:numPr>
              <w:suppressLineNumbers w:val="0"/>
              <w:spacing w:before="0" w:beforeAutospacing="0" w:after="0" w:afterAutospacing="0" w:line="360" w:lineRule="auto"/>
              <w:ind w:left="0" w:right="0" w:firstLine="0" w:firstLineChars="0"/>
              <w:jc w:val="center"/>
              <w:rPr>
                <w:rFonts w:hint="eastAsia"/>
                <w:sz w:val="24"/>
                <w:u w:val="single"/>
                <w:lang w:val="en-US" w:eastAsia="zh-CN"/>
              </w:rPr>
            </w:pPr>
            <w:r>
              <w:rPr>
                <w:rFonts w:hint="eastAsia"/>
                <w:sz w:val="24"/>
                <w:u w:val="single"/>
                <w:lang w:val="en-US" w:eastAsia="zh-CN"/>
              </w:rPr>
              <w:object>
                <v:shape id="_x0000_i1030" o:spt="75" type="#_x0000_t75" style="height:115.4pt;width:358.5pt;" o:ole="t" filled="f" o:preferrelative="t" stroked="f" coordsize="21600,21600">
                  <v:path/>
                  <v:fill on="f" focussize="0,0"/>
                  <v:stroke on="f"/>
                  <v:imagedata r:id="rId32" o:title=""/>
                  <o:lock v:ext="edit" aspectratio="f"/>
                  <w10:wrap type="none"/>
                  <w10:anchorlock/>
                </v:shape>
                <o:OLEObject Type="Embed" ProgID="Visio.Drawing.15" ShapeID="_x0000_i1030" DrawAspect="Content" ObjectID="_1468075730" r:id="rId31">
                  <o:LockedField>false</o:LockedField>
                </o:OLEObject>
              </w:object>
            </w:r>
          </w:p>
          <w:p w14:paraId="4B4D0734">
            <w:pPr>
              <w:pStyle w:val="5"/>
              <w:suppressLineNumbers w:val="0"/>
              <w:spacing w:before="0" w:beforeAutospacing="0" w:after="0" w:afterAutospacing="0"/>
              <w:ind w:left="0" w:right="0" w:firstLine="0"/>
              <w:jc w:val="center"/>
              <w:rPr>
                <w:rFonts w:hint="eastAsia"/>
                <w:b/>
                <w:bCs w:val="0"/>
                <w:sz w:val="24"/>
                <w:u w:val="single"/>
                <w:lang w:val="en-US" w:eastAsia="zh-CN"/>
              </w:rPr>
            </w:pPr>
            <w:r>
              <w:rPr>
                <w:rFonts w:hint="eastAsia"/>
                <w:b/>
                <w:bCs w:val="0"/>
                <w:sz w:val="24"/>
                <w:u w:val="single"/>
                <w:lang w:val="en-US" w:eastAsia="zh-CN"/>
              </w:rPr>
              <w:t>图2-6 休闲鱼仔生产工艺及产排污流程图</w:t>
            </w:r>
          </w:p>
          <w:p w14:paraId="7F0C81B8">
            <w:pPr>
              <w:keepNext w:val="0"/>
              <w:keepLines w:val="0"/>
              <w:suppressLineNumbers w:val="0"/>
              <w:spacing w:before="0" w:beforeAutospacing="0" w:after="0" w:afterAutospacing="0" w:line="360" w:lineRule="auto"/>
              <w:ind w:left="0" w:right="0" w:firstLine="482" w:firstLineChars="200"/>
              <w:rPr>
                <w:rFonts w:hint="eastAsia"/>
                <w:b/>
                <w:bCs w:val="0"/>
                <w:sz w:val="24"/>
                <w:u w:val="single"/>
                <w:lang w:val="en-US" w:eastAsia="zh-CN"/>
              </w:rPr>
            </w:pPr>
            <w:r>
              <w:rPr>
                <w:rFonts w:hint="eastAsia"/>
                <w:b/>
                <w:bCs w:val="0"/>
                <w:sz w:val="24"/>
                <w:u w:val="single"/>
                <w:lang w:val="en-US" w:eastAsia="zh-CN"/>
              </w:rPr>
              <w:t>生产工艺简述：</w:t>
            </w:r>
          </w:p>
          <w:p w14:paraId="7A37636A">
            <w:pPr>
              <w:pStyle w:val="5"/>
              <w:suppressLineNumbers w:val="0"/>
              <w:spacing w:before="0" w:beforeAutospacing="0" w:after="0" w:afterAutospacing="0"/>
              <w:ind w:left="0" w:right="0" w:firstLine="480" w:firstLineChars="200"/>
              <w:rPr>
                <w:rFonts w:hint="eastAsia"/>
                <w:sz w:val="24"/>
                <w:szCs w:val="24"/>
                <w:u w:val="single"/>
                <w:lang w:val="en-US" w:eastAsia="zh-CN"/>
              </w:rPr>
            </w:pPr>
            <w:r>
              <w:rPr>
                <w:rFonts w:hint="eastAsia"/>
                <w:sz w:val="24"/>
                <w:szCs w:val="24"/>
                <w:u w:val="single"/>
                <w:lang w:val="en-US" w:eastAsia="zh-CN"/>
              </w:rPr>
              <w:t>将原料鱼仔进行预处理筛选、浸泡之后送至洗鱼机进项清洗，然后由网带运至连续油炸机进行油炸处理，之后送入卤制机进行三遍卤制，然后加入拌好的调味料进行调味配制，再进入灌装工作台装袋真空封口后送入杀菌釜杀菌，之后过水检验烘干后包装成箱入库。</w:t>
            </w:r>
          </w:p>
          <w:p w14:paraId="0EB91FB1">
            <w:pPr>
              <w:keepNext w:val="0"/>
              <w:keepLines w:val="0"/>
              <w:suppressLineNumbers w:val="0"/>
              <w:spacing w:before="0" w:beforeAutospacing="0" w:after="0" w:afterAutospacing="0" w:line="360" w:lineRule="auto"/>
              <w:ind w:left="0" w:right="0"/>
              <w:jc w:val="center"/>
              <w:rPr>
                <w:rFonts w:hint="default"/>
                <w:u w:val="single"/>
                <w:lang w:val="en-US" w:eastAsia="zh-CN"/>
              </w:rPr>
            </w:pPr>
            <w:r>
              <w:rPr>
                <w:rFonts w:hint="default"/>
                <w:u w:val="single"/>
                <w:lang w:val="en-US" w:eastAsia="zh-CN"/>
              </w:rPr>
              <w:object>
                <v:shape id="_x0000_i1031" o:spt="75" type="#_x0000_t75" style="height:117.2pt;width:379.9pt;" o:ole="t" filled="f" o:preferrelative="t" stroked="f" coordsize="21600,21600">
                  <v:path/>
                  <v:fill on="f" focussize="0,0"/>
                  <v:stroke on="f"/>
                  <v:imagedata r:id="rId34" o:title=""/>
                  <o:lock v:ext="edit" aspectratio="f"/>
                  <w10:wrap type="none"/>
                  <w10:anchorlock/>
                </v:shape>
                <o:OLEObject Type="Embed" ProgID="Visio.Drawing.15" ShapeID="_x0000_i1031" DrawAspect="Content" ObjectID="_1468075731" r:id="rId33">
                  <o:LockedField>false</o:LockedField>
                </o:OLEObject>
              </w:object>
            </w:r>
          </w:p>
          <w:p w14:paraId="59F8A2F5">
            <w:pPr>
              <w:pStyle w:val="5"/>
              <w:suppressLineNumbers w:val="0"/>
              <w:spacing w:before="0" w:beforeAutospacing="0" w:after="0" w:afterAutospacing="0"/>
              <w:ind w:left="0" w:right="0" w:firstLine="0"/>
              <w:jc w:val="center"/>
              <w:rPr>
                <w:rFonts w:hint="eastAsia"/>
                <w:b/>
                <w:bCs w:val="0"/>
                <w:sz w:val="24"/>
                <w:szCs w:val="24"/>
                <w:u w:val="single"/>
                <w:lang w:val="en-US" w:eastAsia="zh-CN"/>
              </w:rPr>
            </w:pPr>
            <w:r>
              <w:rPr>
                <w:rFonts w:hint="eastAsia"/>
                <w:b/>
                <w:bCs w:val="0"/>
                <w:sz w:val="24"/>
                <w:szCs w:val="24"/>
                <w:u w:val="single"/>
                <w:lang w:val="en-US" w:eastAsia="zh-CN"/>
              </w:rPr>
              <w:t>图2-7 休闲鱼块生产工艺及产排污流程图</w:t>
            </w:r>
          </w:p>
          <w:p w14:paraId="1463749E">
            <w:pPr>
              <w:keepNext w:val="0"/>
              <w:keepLines w:val="0"/>
              <w:suppressLineNumbers w:val="0"/>
              <w:spacing w:before="0" w:beforeAutospacing="0" w:after="0" w:afterAutospacing="0" w:line="360" w:lineRule="auto"/>
              <w:ind w:left="0" w:right="0" w:firstLine="482" w:firstLineChars="200"/>
              <w:rPr>
                <w:rFonts w:hint="eastAsia"/>
                <w:b/>
                <w:bCs w:val="0"/>
                <w:sz w:val="24"/>
                <w:szCs w:val="24"/>
                <w:u w:val="single"/>
                <w:lang w:val="en-US" w:eastAsia="zh-CN"/>
              </w:rPr>
            </w:pPr>
            <w:r>
              <w:rPr>
                <w:rFonts w:hint="eastAsia"/>
                <w:b/>
                <w:bCs w:val="0"/>
                <w:sz w:val="24"/>
                <w:szCs w:val="24"/>
                <w:u w:val="single"/>
                <w:lang w:val="en-US" w:eastAsia="zh-CN"/>
              </w:rPr>
              <w:t>生产工艺简述：</w:t>
            </w:r>
          </w:p>
          <w:p w14:paraId="742796CF">
            <w:pPr>
              <w:keepNext w:val="0"/>
              <w:keepLines w:val="0"/>
              <w:suppressLineNumbers w:val="0"/>
              <w:spacing w:before="0" w:beforeAutospacing="0" w:after="0" w:afterAutospacing="0" w:line="360" w:lineRule="auto"/>
              <w:ind w:left="0" w:right="0" w:firstLine="480" w:firstLineChars="200"/>
              <w:rPr>
                <w:rFonts w:hint="default"/>
                <w:b w:val="0"/>
                <w:bCs/>
                <w:sz w:val="24"/>
                <w:szCs w:val="24"/>
                <w:u w:val="single"/>
                <w:lang w:val="en-US" w:eastAsia="zh-CN"/>
              </w:rPr>
            </w:pPr>
            <w:r>
              <w:rPr>
                <w:rFonts w:hint="eastAsia"/>
                <w:b w:val="0"/>
                <w:bCs/>
                <w:sz w:val="24"/>
                <w:szCs w:val="24"/>
                <w:u w:val="single"/>
                <w:lang w:val="en-US" w:eastAsia="zh-CN"/>
              </w:rPr>
              <w:t>本项目冷冻鲜鱼为已经去头去尾、去内脏后进行冷冻的半成品，本项目解冻后进行清洗分切，然后将鱼块在4-10℃的环境下腌制16-20小时，腌制完成后将鱼块烘烤18小时后进行油炸，然后加入调味料拌料，对搅拌中的半成品进行检验，检验合格后进行装袋、杀菌、过水清洗烘干后装箱入库。</w:t>
            </w:r>
          </w:p>
          <w:p w14:paraId="0204400D">
            <w:pPr>
              <w:keepNext w:val="0"/>
              <w:keepLines w:val="0"/>
              <w:numPr>
                <w:ilvl w:val="0"/>
                <w:numId w:val="0"/>
              </w:numPr>
              <w:suppressLineNumbers w:val="0"/>
              <w:spacing w:before="0" w:beforeAutospacing="0" w:after="0" w:afterAutospacing="0" w:line="360" w:lineRule="auto"/>
              <w:ind w:left="0" w:right="0" w:firstLine="480" w:firstLineChars="200"/>
              <w:rPr>
                <w:rFonts w:hint="eastAsia"/>
                <w:sz w:val="24"/>
                <w:u w:val="single"/>
                <w:lang w:val="en-US" w:eastAsia="zh-CN"/>
              </w:rPr>
            </w:pPr>
            <w:r>
              <w:rPr>
                <w:rFonts w:hint="eastAsia"/>
                <w:sz w:val="24"/>
                <w:u w:val="single"/>
                <w:lang w:val="en-US" w:eastAsia="zh-CN"/>
              </w:rPr>
              <w:t>根据建设单位提供资料，厂区现有项目产排污情况见下表：</w:t>
            </w:r>
          </w:p>
          <w:p w14:paraId="10A19950">
            <w:pPr>
              <w:pStyle w:val="33"/>
              <w:keepNext w:val="0"/>
              <w:keepLines w:val="0"/>
              <w:numPr>
                <w:ilvl w:val="0"/>
                <w:numId w:val="7"/>
              </w:numPr>
              <w:suppressLineNumbers w:val="0"/>
              <w:spacing w:before="0" w:beforeAutospacing="0" w:after="0" w:afterAutospacing="0"/>
              <w:ind w:right="0"/>
              <w:jc w:val="center"/>
              <w:rPr>
                <w:rFonts w:hint="eastAsia"/>
                <w:lang w:val="en-US" w:eastAsia="zh-CN"/>
              </w:rPr>
            </w:pPr>
            <w:r>
              <w:rPr>
                <w:rFonts w:hint="eastAsia"/>
                <w:b/>
                <w:bCs/>
                <w:sz w:val="24"/>
                <w:u w:val="single"/>
                <w:lang w:val="en-US" w:eastAsia="zh-CN"/>
              </w:rPr>
              <w:t>现有项目产排污情况</w:t>
            </w:r>
          </w:p>
          <w:tbl>
            <w:tblPr>
              <w:tblStyle w:val="24"/>
              <w:tblW w:w="4998" w:type="pct"/>
              <w:tblInd w:w="-3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1342"/>
              <w:gridCol w:w="2253"/>
              <w:gridCol w:w="2016"/>
              <w:gridCol w:w="1901"/>
            </w:tblGrid>
            <w:tr w14:paraId="3A0A49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74" w:type="pct"/>
                  <w:tcBorders>
                    <w:tl2br w:val="nil"/>
                    <w:tr2bl w:val="nil"/>
                  </w:tcBorders>
                  <w:vAlign w:val="center"/>
                </w:tcPr>
                <w:p w14:paraId="6304E56B">
                  <w:pPr>
                    <w:keepNext w:val="0"/>
                    <w:keepLines w:val="0"/>
                    <w:suppressLineNumbers w:val="0"/>
                    <w:spacing w:before="0" w:beforeAutospacing="0" w:after="0" w:afterAutospacing="0"/>
                    <w:ind w:left="0" w:right="0"/>
                    <w:jc w:val="center"/>
                    <w:rPr>
                      <w:rFonts w:hint="default"/>
                      <w:b/>
                      <w:bCs/>
                      <w:szCs w:val="21"/>
                      <w:u w:val="single"/>
                    </w:rPr>
                  </w:pPr>
                  <w:r>
                    <w:rPr>
                      <w:rFonts w:hint="default"/>
                      <w:b/>
                      <w:bCs/>
                      <w:szCs w:val="21"/>
                      <w:u w:val="single"/>
                    </w:rPr>
                    <w:t>类别</w:t>
                  </w:r>
                </w:p>
              </w:tc>
              <w:tc>
                <w:tcPr>
                  <w:tcW w:w="808" w:type="pct"/>
                  <w:tcBorders>
                    <w:tl2br w:val="nil"/>
                    <w:tr2bl w:val="nil"/>
                  </w:tcBorders>
                  <w:vAlign w:val="center"/>
                </w:tcPr>
                <w:p w14:paraId="5293BCEC">
                  <w:pPr>
                    <w:keepNext w:val="0"/>
                    <w:keepLines w:val="0"/>
                    <w:suppressLineNumbers w:val="0"/>
                    <w:spacing w:before="0" w:beforeAutospacing="0" w:after="0" w:afterAutospacing="0"/>
                    <w:ind w:left="0" w:right="0"/>
                    <w:jc w:val="center"/>
                    <w:rPr>
                      <w:rFonts w:hint="default"/>
                      <w:b/>
                      <w:bCs/>
                      <w:szCs w:val="21"/>
                      <w:u w:val="single"/>
                    </w:rPr>
                  </w:pPr>
                  <w:r>
                    <w:rPr>
                      <w:rFonts w:hint="default"/>
                      <w:b/>
                      <w:bCs/>
                      <w:szCs w:val="21"/>
                      <w:u w:val="single"/>
                    </w:rPr>
                    <w:t>产排污环节</w:t>
                  </w:r>
                </w:p>
              </w:tc>
              <w:tc>
                <w:tcPr>
                  <w:tcW w:w="1357" w:type="pct"/>
                  <w:tcBorders>
                    <w:tl2br w:val="nil"/>
                    <w:tr2bl w:val="nil"/>
                  </w:tcBorders>
                  <w:vAlign w:val="center"/>
                </w:tcPr>
                <w:p w14:paraId="154AD937">
                  <w:pPr>
                    <w:keepNext w:val="0"/>
                    <w:keepLines w:val="0"/>
                    <w:suppressLineNumbers w:val="0"/>
                    <w:spacing w:before="0" w:beforeAutospacing="0" w:after="0" w:afterAutospacing="0"/>
                    <w:ind w:left="0" w:right="0"/>
                    <w:jc w:val="center"/>
                    <w:rPr>
                      <w:rFonts w:hint="default"/>
                      <w:b/>
                      <w:bCs/>
                      <w:szCs w:val="21"/>
                      <w:u w:val="single"/>
                    </w:rPr>
                  </w:pPr>
                  <w:r>
                    <w:rPr>
                      <w:rFonts w:hint="default"/>
                      <w:b/>
                      <w:bCs/>
                      <w:szCs w:val="21"/>
                      <w:u w:val="single"/>
                    </w:rPr>
                    <w:t>主要污染物</w:t>
                  </w:r>
                </w:p>
              </w:tc>
              <w:tc>
                <w:tcPr>
                  <w:tcW w:w="1214" w:type="pct"/>
                  <w:tcBorders>
                    <w:tl2br w:val="nil"/>
                    <w:tr2bl w:val="nil"/>
                  </w:tcBorders>
                  <w:vAlign w:val="center"/>
                </w:tcPr>
                <w:p w14:paraId="22F79F87">
                  <w:pPr>
                    <w:keepNext w:val="0"/>
                    <w:keepLines w:val="0"/>
                    <w:suppressLineNumbers w:val="0"/>
                    <w:spacing w:before="0" w:beforeAutospacing="0" w:after="0" w:afterAutospacing="0"/>
                    <w:ind w:left="0" w:right="0"/>
                    <w:jc w:val="center"/>
                    <w:rPr>
                      <w:rFonts w:hint="default"/>
                      <w:b/>
                      <w:bCs/>
                      <w:szCs w:val="21"/>
                      <w:u w:val="single"/>
                    </w:rPr>
                  </w:pPr>
                  <w:r>
                    <w:rPr>
                      <w:rFonts w:hint="default"/>
                      <w:b/>
                      <w:bCs/>
                      <w:szCs w:val="21"/>
                      <w:u w:val="single"/>
                    </w:rPr>
                    <w:t>收集处理</w:t>
                  </w:r>
                </w:p>
              </w:tc>
              <w:tc>
                <w:tcPr>
                  <w:tcW w:w="1145" w:type="pct"/>
                  <w:tcBorders>
                    <w:tl2br w:val="nil"/>
                    <w:tr2bl w:val="nil"/>
                  </w:tcBorders>
                  <w:vAlign w:val="center"/>
                </w:tcPr>
                <w:p w14:paraId="64A96E50">
                  <w:pPr>
                    <w:keepNext w:val="0"/>
                    <w:keepLines w:val="0"/>
                    <w:suppressLineNumbers w:val="0"/>
                    <w:spacing w:before="0" w:beforeAutospacing="0" w:after="0" w:afterAutospacing="0"/>
                    <w:ind w:left="0" w:right="0"/>
                    <w:jc w:val="center"/>
                    <w:rPr>
                      <w:rFonts w:hint="default"/>
                      <w:b/>
                      <w:bCs/>
                      <w:szCs w:val="21"/>
                      <w:u w:val="single"/>
                    </w:rPr>
                  </w:pPr>
                  <w:r>
                    <w:rPr>
                      <w:rFonts w:hint="default"/>
                      <w:b/>
                      <w:bCs/>
                      <w:szCs w:val="21"/>
                      <w:u w:val="single"/>
                    </w:rPr>
                    <w:t>排放方式</w:t>
                  </w:r>
                </w:p>
              </w:tc>
            </w:tr>
            <w:tr w14:paraId="05D3C4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474" w:type="pct"/>
                  <w:vMerge w:val="restart"/>
                  <w:tcBorders>
                    <w:tl2br w:val="nil"/>
                    <w:tr2bl w:val="nil"/>
                  </w:tcBorders>
                  <w:vAlign w:val="center"/>
                </w:tcPr>
                <w:p w14:paraId="3091329C">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废水</w:t>
                  </w:r>
                </w:p>
              </w:tc>
              <w:tc>
                <w:tcPr>
                  <w:tcW w:w="808" w:type="pct"/>
                  <w:tcBorders>
                    <w:tl2br w:val="nil"/>
                    <w:tr2bl w:val="nil"/>
                  </w:tcBorders>
                  <w:vAlign w:val="center"/>
                </w:tcPr>
                <w:p w14:paraId="52666CE1">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生产废水</w:t>
                  </w:r>
                </w:p>
              </w:tc>
              <w:tc>
                <w:tcPr>
                  <w:tcW w:w="1357" w:type="pct"/>
                  <w:tcBorders>
                    <w:tl2br w:val="nil"/>
                    <w:tr2bl w:val="nil"/>
                  </w:tcBorders>
                  <w:vAlign w:val="center"/>
                </w:tcPr>
                <w:p w14:paraId="013305A6">
                  <w:pPr>
                    <w:keepNext w:val="0"/>
                    <w:keepLines w:val="0"/>
                    <w:suppressLineNumbers w:val="0"/>
                    <w:spacing w:before="0" w:beforeAutospacing="0" w:after="0" w:afterAutospacing="0"/>
                    <w:ind w:left="0" w:right="0"/>
                    <w:jc w:val="center"/>
                    <w:rPr>
                      <w:rFonts w:hint="default"/>
                      <w:szCs w:val="21"/>
                      <w:u w:val="single"/>
                      <w:lang w:val="en-US" w:eastAsia="zh-CN"/>
                    </w:rPr>
                  </w:pPr>
                  <w:r>
                    <w:rPr>
                      <w:rFonts w:hint="default"/>
                      <w:szCs w:val="21"/>
                      <w:u w:val="single"/>
                      <w:lang w:val="en-US" w:eastAsia="zh-CN"/>
                    </w:rPr>
                    <w:t>COD、NH</w:t>
                  </w:r>
                  <w:r>
                    <w:rPr>
                      <w:rFonts w:hint="default"/>
                      <w:szCs w:val="21"/>
                      <w:u w:val="single"/>
                      <w:vertAlign w:val="subscript"/>
                      <w:lang w:val="en-US" w:eastAsia="zh-CN"/>
                    </w:rPr>
                    <w:t>3</w:t>
                  </w:r>
                  <w:r>
                    <w:rPr>
                      <w:rFonts w:hint="default"/>
                      <w:szCs w:val="21"/>
                      <w:u w:val="single"/>
                      <w:lang w:val="en-US" w:eastAsia="zh-CN"/>
                    </w:rPr>
                    <w:t>-N、</w:t>
                  </w:r>
                </w:p>
                <w:p w14:paraId="416226F8">
                  <w:pPr>
                    <w:keepNext w:val="0"/>
                    <w:keepLines w:val="0"/>
                    <w:suppressLineNumbers w:val="0"/>
                    <w:spacing w:before="0" w:beforeAutospacing="0" w:after="0" w:afterAutospacing="0"/>
                    <w:ind w:left="0" w:right="0"/>
                    <w:jc w:val="center"/>
                    <w:rPr>
                      <w:rFonts w:hint="default"/>
                      <w:szCs w:val="21"/>
                      <w:u w:val="single"/>
                      <w:lang w:val="en-US"/>
                    </w:rPr>
                  </w:pPr>
                  <w:r>
                    <w:rPr>
                      <w:rFonts w:hint="default"/>
                      <w:szCs w:val="21"/>
                      <w:u w:val="single"/>
                      <w:lang w:val="en-US" w:eastAsia="zh-CN"/>
                    </w:rPr>
                    <w:t>SS、动植物油</w:t>
                  </w:r>
                  <w:r>
                    <w:rPr>
                      <w:rFonts w:hint="eastAsia"/>
                      <w:szCs w:val="21"/>
                      <w:u w:val="single"/>
                      <w:lang w:val="en-US" w:eastAsia="zh-CN"/>
                    </w:rPr>
                    <w:t>、TP</w:t>
                  </w:r>
                </w:p>
              </w:tc>
              <w:tc>
                <w:tcPr>
                  <w:tcW w:w="1214" w:type="pct"/>
                  <w:tcBorders>
                    <w:tl2br w:val="nil"/>
                    <w:tr2bl w:val="nil"/>
                  </w:tcBorders>
                  <w:vAlign w:val="center"/>
                </w:tcPr>
                <w:p w14:paraId="15DA2B64">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厂区自建隔油沉淀池</w:t>
                  </w:r>
                </w:p>
              </w:tc>
              <w:tc>
                <w:tcPr>
                  <w:tcW w:w="1145" w:type="pct"/>
                  <w:vMerge w:val="restart"/>
                  <w:tcBorders>
                    <w:tl2br w:val="nil"/>
                    <w:tr2bl w:val="nil"/>
                  </w:tcBorders>
                  <w:vAlign w:val="center"/>
                </w:tcPr>
                <w:p w14:paraId="0EF792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eastAsia="宋体"/>
                      <w:szCs w:val="21"/>
                      <w:u w:val="single"/>
                      <w:lang w:val="en-US" w:eastAsia="zh-CN"/>
                    </w:rPr>
                  </w:pPr>
                  <w:r>
                    <w:rPr>
                      <w:rFonts w:hint="eastAsia"/>
                      <w:szCs w:val="21"/>
                      <w:u w:val="single"/>
                      <w:lang w:val="en-US" w:eastAsia="zh-CN"/>
                    </w:rPr>
                    <w:t>排入君山第二污水处理厂预处理中心</w:t>
                  </w:r>
                </w:p>
              </w:tc>
            </w:tr>
            <w:tr w14:paraId="19F471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074985A7">
                  <w:pPr>
                    <w:keepNext w:val="0"/>
                    <w:keepLines w:val="0"/>
                    <w:suppressLineNumbers w:val="0"/>
                    <w:spacing w:before="0" w:beforeAutospacing="0" w:after="0" w:afterAutospacing="0"/>
                    <w:ind w:left="0" w:right="0"/>
                    <w:jc w:val="center"/>
                    <w:rPr>
                      <w:rFonts w:hint="default" w:eastAsia="宋体"/>
                      <w:szCs w:val="21"/>
                      <w:u w:val="single"/>
                      <w:lang w:val="en-US" w:eastAsia="zh-CN"/>
                    </w:rPr>
                  </w:pPr>
                </w:p>
              </w:tc>
              <w:tc>
                <w:tcPr>
                  <w:tcW w:w="808" w:type="pct"/>
                  <w:tcBorders>
                    <w:tl2br w:val="nil"/>
                    <w:tr2bl w:val="nil"/>
                  </w:tcBorders>
                  <w:vAlign w:val="center"/>
                </w:tcPr>
                <w:p w14:paraId="4CDA9869">
                  <w:pPr>
                    <w:keepNext w:val="0"/>
                    <w:keepLines w:val="0"/>
                    <w:suppressLineNumbers w:val="0"/>
                    <w:spacing w:before="0" w:beforeAutospacing="0" w:after="0" w:afterAutospacing="0"/>
                    <w:ind w:left="0" w:right="0"/>
                    <w:jc w:val="center"/>
                    <w:rPr>
                      <w:rFonts w:hint="eastAsia" w:eastAsia="宋体"/>
                      <w:szCs w:val="21"/>
                      <w:u w:val="single"/>
                      <w:lang w:val="en-US" w:eastAsia="zh-CN"/>
                    </w:rPr>
                  </w:pPr>
                  <w:r>
                    <w:rPr>
                      <w:rFonts w:hint="eastAsia"/>
                      <w:szCs w:val="21"/>
                      <w:u w:val="single"/>
                      <w:lang w:val="en-US" w:eastAsia="zh-CN"/>
                    </w:rPr>
                    <w:t>生活用水</w:t>
                  </w:r>
                </w:p>
              </w:tc>
              <w:tc>
                <w:tcPr>
                  <w:tcW w:w="1357" w:type="pct"/>
                  <w:tcBorders>
                    <w:tl2br w:val="nil"/>
                    <w:tr2bl w:val="nil"/>
                  </w:tcBorders>
                  <w:vAlign w:val="center"/>
                </w:tcPr>
                <w:p w14:paraId="76E76070">
                  <w:pPr>
                    <w:keepNext w:val="0"/>
                    <w:keepLines w:val="0"/>
                    <w:suppressLineNumbers w:val="0"/>
                    <w:spacing w:before="0" w:beforeAutospacing="0" w:after="0" w:afterAutospacing="0"/>
                    <w:ind w:left="0" w:right="0"/>
                    <w:jc w:val="center"/>
                    <w:rPr>
                      <w:rFonts w:hint="eastAsia"/>
                      <w:szCs w:val="21"/>
                      <w:u w:val="single"/>
                      <w:lang w:val="en-US" w:eastAsia="zh-CN"/>
                    </w:rPr>
                  </w:pPr>
                  <w:r>
                    <w:rPr>
                      <w:rFonts w:hint="eastAsia"/>
                      <w:szCs w:val="21"/>
                      <w:u w:val="single"/>
                      <w:lang w:val="en-US" w:eastAsia="zh-CN"/>
                    </w:rPr>
                    <w:t>COD、NH</w:t>
                  </w:r>
                  <w:r>
                    <w:rPr>
                      <w:rFonts w:hint="eastAsia"/>
                      <w:szCs w:val="21"/>
                      <w:u w:val="single"/>
                      <w:vertAlign w:val="subscript"/>
                      <w:lang w:val="en-US" w:eastAsia="zh-CN"/>
                    </w:rPr>
                    <w:t>3</w:t>
                  </w:r>
                  <w:r>
                    <w:rPr>
                      <w:rFonts w:hint="eastAsia"/>
                      <w:szCs w:val="21"/>
                      <w:u w:val="single"/>
                      <w:lang w:val="en-US" w:eastAsia="zh-CN"/>
                    </w:rPr>
                    <w:t>-N、</w:t>
                  </w:r>
                </w:p>
                <w:p w14:paraId="63717560">
                  <w:pPr>
                    <w:keepNext w:val="0"/>
                    <w:keepLines w:val="0"/>
                    <w:suppressLineNumbers w:val="0"/>
                    <w:spacing w:before="0" w:beforeAutospacing="0" w:after="0" w:afterAutospacing="0"/>
                    <w:ind w:left="0" w:right="0"/>
                    <w:jc w:val="center"/>
                    <w:rPr>
                      <w:rFonts w:hint="default"/>
                      <w:szCs w:val="21"/>
                      <w:u w:val="single"/>
                      <w:lang w:val="en-US"/>
                    </w:rPr>
                  </w:pPr>
                  <w:r>
                    <w:rPr>
                      <w:rFonts w:hint="eastAsia"/>
                      <w:szCs w:val="21"/>
                      <w:u w:val="single"/>
                      <w:lang w:val="en-US" w:eastAsia="zh-CN"/>
                    </w:rPr>
                    <w:t>SS、动植物油、BOD</w:t>
                  </w:r>
                  <w:r>
                    <w:rPr>
                      <w:rFonts w:hint="eastAsia"/>
                      <w:szCs w:val="21"/>
                      <w:u w:val="single"/>
                      <w:vertAlign w:val="subscript"/>
                      <w:lang w:val="en-US" w:eastAsia="zh-CN"/>
                    </w:rPr>
                    <w:t>5</w:t>
                  </w:r>
                </w:p>
              </w:tc>
              <w:tc>
                <w:tcPr>
                  <w:tcW w:w="1214" w:type="pct"/>
                  <w:tcBorders>
                    <w:tl2br w:val="nil"/>
                    <w:tr2bl w:val="nil"/>
                  </w:tcBorders>
                  <w:vAlign w:val="center"/>
                </w:tcPr>
                <w:p w14:paraId="48B33416">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厂区自建化粪池</w:t>
                  </w:r>
                </w:p>
              </w:tc>
              <w:tc>
                <w:tcPr>
                  <w:tcW w:w="1145" w:type="pct"/>
                  <w:vMerge w:val="continue"/>
                  <w:tcBorders>
                    <w:tl2br w:val="nil"/>
                    <w:tr2bl w:val="nil"/>
                  </w:tcBorders>
                  <w:vAlign w:val="center"/>
                </w:tcPr>
                <w:p w14:paraId="049B3FA7">
                  <w:pPr>
                    <w:keepNext w:val="0"/>
                    <w:keepLines w:val="0"/>
                    <w:suppressLineNumbers w:val="0"/>
                    <w:spacing w:before="0" w:beforeAutospacing="0" w:after="0" w:afterAutospacing="0"/>
                    <w:ind w:left="0" w:right="0"/>
                    <w:jc w:val="center"/>
                    <w:rPr>
                      <w:rFonts w:hint="default"/>
                      <w:szCs w:val="21"/>
                      <w:u w:val="single"/>
                    </w:rPr>
                  </w:pPr>
                </w:p>
              </w:tc>
            </w:tr>
            <w:tr w14:paraId="58B00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restart"/>
                  <w:tcBorders>
                    <w:tl2br w:val="nil"/>
                    <w:tr2bl w:val="nil"/>
                  </w:tcBorders>
                  <w:vAlign w:val="center"/>
                </w:tcPr>
                <w:p w14:paraId="403F76A5">
                  <w:pPr>
                    <w:keepNext w:val="0"/>
                    <w:keepLines w:val="0"/>
                    <w:suppressLineNumbers w:val="0"/>
                    <w:spacing w:before="0" w:beforeAutospacing="0" w:after="0" w:afterAutospacing="0"/>
                    <w:ind w:left="0" w:right="0"/>
                    <w:jc w:val="center"/>
                    <w:rPr>
                      <w:rFonts w:hint="default"/>
                      <w:szCs w:val="21"/>
                      <w:u w:val="single"/>
                    </w:rPr>
                  </w:pPr>
                  <w:r>
                    <w:rPr>
                      <w:rFonts w:hint="default"/>
                      <w:szCs w:val="21"/>
                      <w:u w:val="single"/>
                    </w:rPr>
                    <w:t>废气</w:t>
                  </w:r>
                </w:p>
              </w:tc>
              <w:tc>
                <w:tcPr>
                  <w:tcW w:w="808" w:type="pct"/>
                  <w:tcBorders>
                    <w:tl2br w:val="nil"/>
                    <w:tr2bl w:val="nil"/>
                  </w:tcBorders>
                  <w:vAlign w:val="center"/>
                </w:tcPr>
                <w:p w14:paraId="5F84F75D">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恶臭</w:t>
                  </w:r>
                </w:p>
              </w:tc>
              <w:tc>
                <w:tcPr>
                  <w:tcW w:w="1357" w:type="pct"/>
                  <w:tcBorders>
                    <w:tl2br w:val="nil"/>
                    <w:tr2bl w:val="nil"/>
                  </w:tcBorders>
                  <w:vAlign w:val="center"/>
                </w:tcPr>
                <w:p w14:paraId="7239B37F">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氨气、硫化氢、臭气浓度</w:t>
                  </w:r>
                </w:p>
              </w:tc>
              <w:tc>
                <w:tcPr>
                  <w:tcW w:w="1214" w:type="pct"/>
                  <w:tcBorders>
                    <w:tl2br w:val="nil"/>
                    <w:tr2bl w:val="nil"/>
                  </w:tcBorders>
                  <w:vAlign w:val="center"/>
                </w:tcPr>
                <w:p w14:paraId="5B42F125">
                  <w:pPr>
                    <w:keepNext w:val="0"/>
                    <w:keepLines w:val="0"/>
                    <w:suppressLineNumbers w:val="0"/>
                    <w:spacing w:before="0" w:beforeAutospacing="0" w:after="0" w:afterAutospacing="0"/>
                    <w:ind w:left="0" w:right="0"/>
                    <w:jc w:val="center"/>
                    <w:rPr>
                      <w:rFonts w:hint="eastAsia" w:eastAsia="宋体"/>
                      <w:szCs w:val="21"/>
                      <w:u w:val="single"/>
                      <w:lang w:val="en-US" w:eastAsia="zh-CN"/>
                    </w:rPr>
                  </w:pPr>
                  <w:r>
                    <w:rPr>
                      <w:rFonts w:hint="eastAsia"/>
                      <w:szCs w:val="21"/>
                      <w:u w:val="single"/>
                      <w:lang w:val="en-US" w:eastAsia="zh-CN"/>
                    </w:rPr>
                    <w:t>加强车间通风</w:t>
                  </w:r>
                </w:p>
              </w:tc>
              <w:tc>
                <w:tcPr>
                  <w:tcW w:w="1145" w:type="pct"/>
                  <w:tcBorders>
                    <w:tl2br w:val="nil"/>
                    <w:tr2bl w:val="nil"/>
                  </w:tcBorders>
                  <w:vAlign w:val="center"/>
                </w:tcPr>
                <w:p w14:paraId="1B1D2A57">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厂区内无组织排放</w:t>
                  </w:r>
                </w:p>
              </w:tc>
            </w:tr>
            <w:tr w14:paraId="6AAECC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6986EC9D">
                  <w:pPr>
                    <w:keepNext w:val="0"/>
                    <w:keepLines w:val="0"/>
                    <w:suppressLineNumbers w:val="0"/>
                    <w:spacing w:before="0" w:beforeAutospacing="0" w:after="0" w:afterAutospacing="0"/>
                    <w:ind w:left="0" w:right="0"/>
                    <w:jc w:val="center"/>
                    <w:rPr>
                      <w:rFonts w:hint="default"/>
                      <w:szCs w:val="21"/>
                      <w:u w:val="single"/>
                    </w:rPr>
                  </w:pPr>
                </w:p>
              </w:tc>
              <w:tc>
                <w:tcPr>
                  <w:tcW w:w="808" w:type="pct"/>
                  <w:tcBorders>
                    <w:tl2br w:val="nil"/>
                    <w:tr2bl w:val="nil"/>
                  </w:tcBorders>
                  <w:vAlign w:val="center"/>
                </w:tcPr>
                <w:p w14:paraId="50FA2261">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油炸废气</w:t>
                  </w:r>
                </w:p>
              </w:tc>
              <w:tc>
                <w:tcPr>
                  <w:tcW w:w="1357" w:type="pct"/>
                  <w:tcBorders>
                    <w:tl2br w:val="nil"/>
                    <w:tr2bl w:val="nil"/>
                  </w:tcBorders>
                  <w:vAlign w:val="center"/>
                </w:tcPr>
                <w:p w14:paraId="78FC32E1">
                  <w:pPr>
                    <w:keepNext w:val="0"/>
                    <w:keepLines w:val="0"/>
                    <w:suppressLineNumbers w:val="0"/>
                    <w:spacing w:before="0" w:beforeAutospacing="0" w:after="0" w:afterAutospacing="0"/>
                    <w:ind w:left="0" w:right="0"/>
                    <w:jc w:val="center"/>
                    <w:rPr>
                      <w:rFonts w:hint="eastAsia" w:eastAsia="宋体"/>
                      <w:szCs w:val="21"/>
                      <w:u w:val="single"/>
                      <w:lang w:val="en-US" w:eastAsia="zh-CN"/>
                    </w:rPr>
                  </w:pPr>
                  <w:r>
                    <w:rPr>
                      <w:rFonts w:hint="eastAsia"/>
                      <w:szCs w:val="21"/>
                      <w:u w:val="single"/>
                      <w:lang w:val="en-US" w:eastAsia="zh-CN"/>
                    </w:rPr>
                    <w:t>油烟</w:t>
                  </w:r>
                </w:p>
              </w:tc>
              <w:tc>
                <w:tcPr>
                  <w:tcW w:w="1214" w:type="pct"/>
                  <w:tcBorders>
                    <w:tl2br w:val="nil"/>
                    <w:tr2bl w:val="nil"/>
                  </w:tcBorders>
                  <w:vAlign w:val="center"/>
                </w:tcPr>
                <w:p w14:paraId="53C5100B">
                  <w:pPr>
                    <w:keepNext w:val="0"/>
                    <w:keepLines w:val="0"/>
                    <w:suppressLineNumbers w:val="0"/>
                    <w:spacing w:before="0" w:beforeAutospacing="0" w:after="0" w:afterAutospacing="0"/>
                    <w:ind w:left="0" w:right="0"/>
                    <w:jc w:val="center"/>
                    <w:rPr>
                      <w:rFonts w:hint="default"/>
                      <w:szCs w:val="21"/>
                      <w:u w:val="single"/>
                    </w:rPr>
                  </w:pPr>
                  <w:r>
                    <w:rPr>
                      <w:rFonts w:hint="eastAsia"/>
                      <w:szCs w:val="21"/>
                      <w:u w:val="single"/>
                      <w:lang w:val="en-US" w:eastAsia="zh-CN"/>
                    </w:rPr>
                    <w:t>工业静电油烟净化处理设备</w:t>
                  </w:r>
                </w:p>
              </w:tc>
              <w:tc>
                <w:tcPr>
                  <w:tcW w:w="1145" w:type="pct"/>
                  <w:tcBorders>
                    <w:tl2br w:val="nil"/>
                    <w:tr2bl w:val="nil"/>
                  </w:tcBorders>
                  <w:vAlign w:val="center"/>
                </w:tcPr>
                <w:p w14:paraId="2C53AA58">
                  <w:pPr>
                    <w:keepNext w:val="0"/>
                    <w:keepLines w:val="0"/>
                    <w:suppressLineNumbers w:val="0"/>
                    <w:spacing w:before="0" w:beforeAutospacing="0" w:after="0" w:afterAutospacing="0"/>
                    <w:ind w:left="0" w:leftChars="0" w:right="0" w:rightChars="0" w:firstLine="0" w:firstLineChars="0"/>
                    <w:jc w:val="center"/>
                    <w:rPr>
                      <w:rFonts w:hint="eastAsia"/>
                      <w:szCs w:val="21"/>
                      <w:u w:val="single"/>
                      <w:lang w:val="en-US" w:eastAsia="zh-CN"/>
                    </w:rPr>
                  </w:pPr>
                  <w:r>
                    <w:rPr>
                      <w:rFonts w:hint="eastAsia"/>
                      <w:szCs w:val="21"/>
                      <w:u w:val="single"/>
                      <w:lang w:val="en-US" w:eastAsia="zh-CN"/>
                    </w:rPr>
                    <w:t>通过21m高DA002排气筒</w:t>
                  </w:r>
                </w:p>
                <w:p w14:paraId="7195E181">
                  <w:pPr>
                    <w:keepNext w:val="0"/>
                    <w:keepLines w:val="0"/>
                    <w:suppressLineNumbers w:val="0"/>
                    <w:spacing w:before="0" w:beforeAutospacing="0" w:after="0" w:afterAutospacing="0"/>
                    <w:ind w:left="0" w:leftChars="0" w:right="0" w:rightChars="0" w:firstLine="0" w:firstLineChars="0"/>
                    <w:jc w:val="center"/>
                    <w:rPr>
                      <w:rFonts w:hint="default"/>
                      <w:szCs w:val="21"/>
                      <w:u w:val="single"/>
                    </w:rPr>
                  </w:pPr>
                  <w:r>
                    <w:rPr>
                      <w:rFonts w:hint="eastAsia"/>
                      <w:szCs w:val="21"/>
                      <w:u w:val="single"/>
                      <w:lang w:val="en-US" w:eastAsia="zh-CN"/>
                    </w:rPr>
                    <w:t>排放</w:t>
                  </w:r>
                </w:p>
              </w:tc>
            </w:tr>
            <w:tr w14:paraId="534905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474" w:type="pct"/>
                  <w:vMerge w:val="continue"/>
                  <w:tcBorders>
                    <w:tl2br w:val="nil"/>
                    <w:tr2bl w:val="nil"/>
                  </w:tcBorders>
                  <w:vAlign w:val="center"/>
                </w:tcPr>
                <w:p w14:paraId="212337A6">
                  <w:pPr>
                    <w:keepNext w:val="0"/>
                    <w:keepLines w:val="0"/>
                    <w:suppressLineNumbers w:val="0"/>
                    <w:spacing w:before="0" w:beforeAutospacing="0" w:after="0" w:afterAutospacing="0"/>
                    <w:ind w:left="0" w:right="0"/>
                    <w:jc w:val="center"/>
                    <w:rPr>
                      <w:rFonts w:hint="default"/>
                      <w:szCs w:val="21"/>
                      <w:u w:val="single"/>
                    </w:rPr>
                  </w:pPr>
                </w:p>
              </w:tc>
              <w:tc>
                <w:tcPr>
                  <w:tcW w:w="808" w:type="pct"/>
                  <w:tcBorders>
                    <w:tl2br w:val="nil"/>
                    <w:tr2bl w:val="nil"/>
                  </w:tcBorders>
                  <w:vAlign w:val="center"/>
                </w:tcPr>
                <w:p w14:paraId="1108B80E">
                  <w:pPr>
                    <w:keepNext w:val="0"/>
                    <w:keepLines w:val="0"/>
                    <w:suppressLineNumbers w:val="0"/>
                    <w:spacing w:before="0" w:beforeAutospacing="0" w:after="0" w:afterAutospacing="0"/>
                    <w:ind w:left="0" w:right="0"/>
                    <w:jc w:val="center"/>
                    <w:rPr>
                      <w:rFonts w:hint="eastAsia" w:eastAsia="宋体"/>
                      <w:szCs w:val="21"/>
                      <w:u w:val="single"/>
                      <w:lang w:val="en-US" w:eastAsia="zh-CN"/>
                    </w:rPr>
                  </w:pPr>
                  <w:r>
                    <w:rPr>
                      <w:rFonts w:hint="eastAsia"/>
                      <w:szCs w:val="21"/>
                      <w:u w:val="single"/>
                      <w:lang w:val="en-US" w:eastAsia="zh-CN"/>
                    </w:rPr>
                    <w:t>锅炉废气</w:t>
                  </w:r>
                </w:p>
              </w:tc>
              <w:tc>
                <w:tcPr>
                  <w:tcW w:w="1357" w:type="pct"/>
                  <w:tcBorders>
                    <w:tl2br w:val="nil"/>
                    <w:tr2bl w:val="nil"/>
                  </w:tcBorders>
                  <w:vAlign w:val="center"/>
                </w:tcPr>
                <w:p w14:paraId="4BFF5866">
                  <w:pPr>
                    <w:keepNext w:val="0"/>
                    <w:keepLines w:val="0"/>
                    <w:suppressLineNumbers w:val="0"/>
                    <w:spacing w:before="0" w:beforeAutospacing="0" w:after="0" w:afterAutospacing="0"/>
                    <w:ind w:left="0" w:right="0"/>
                    <w:jc w:val="center"/>
                    <w:rPr>
                      <w:rFonts w:hint="eastAsia"/>
                      <w:szCs w:val="21"/>
                      <w:u w:val="single"/>
                      <w:lang w:val="en-US" w:eastAsia="zh-CN"/>
                    </w:rPr>
                  </w:pPr>
                  <w:r>
                    <w:rPr>
                      <w:rFonts w:hint="eastAsia"/>
                      <w:szCs w:val="21"/>
                      <w:u w:val="single"/>
                      <w:lang w:val="en-US" w:eastAsia="zh-CN"/>
                    </w:rPr>
                    <w:t>颗粒物、</w:t>
                  </w:r>
                </w:p>
                <w:p w14:paraId="4B6EBF6E">
                  <w:pPr>
                    <w:keepNext w:val="0"/>
                    <w:keepLines w:val="0"/>
                    <w:suppressLineNumbers w:val="0"/>
                    <w:spacing w:before="0" w:beforeAutospacing="0" w:after="0" w:afterAutospacing="0"/>
                    <w:ind w:left="0" w:right="0"/>
                    <w:jc w:val="center"/>
                    <w:rPr>
                      <w:rFonts w:hint="default" w:eastAsia="宋体"/>
                      <w:szCs w:val="21"/>
                      <w:u w:val="single"/>
                      <w:lang w:val="en-US" w:eastAsia="zh-CN"/>
                    </w:rPr>
                  </w:pPr>
                  <w:r>
                    <w:rPr>
                      <w:rFonts w:hint="eastAsia"/>
                      <w:szCs w:val="21"/>
                      <w:u w:val="single"/>
                      <w:lang w:val="en-US" w:eastAsia="zh-CN"/>
                    </w:rPr>
                    <w:t>二氧化硫、氮氧化物</w:t>
                  </w:r>
                </w:p>
              </w:tc>
              <w:tc>
                <w:tcPr>
                  <w:tcW w:w="1214" w:type="pct"/>
                  <w:tcBorders>
                    <w:tl2br w:val="nil"/>
                    <w:tr2bl w:val="nil"/>
                  </w:tcBorders>
                  <w:vAlign w:val="center"/>
                </w:tcPr>
                <w:p w14:paraId="2F2BBCE1">
                  <w:pPr>
                    <w:keepNext w:val="0"/>
                    <w:keepLines w:val="0"/>
                    <w:suppressLineNumbers w:val="0"/>
                    <w:spacing w:before="0" w:beforeAutospacing="0" w:after="0" w:afterAutospacing="0"/>
                    <w:ind w:left="0" w:right="0"/>
                    <w:jc w:val="center"/>
                    <w:rPr>
                      <w:rFonts w:hint="eastAsia" w:eastAsia="宋体"/>
                      <w:szCs w:val="21"/>
                      <w:u w:val="single"/>
                      <w:lang w:val="en-US" w:eastAsia="zh-CN"/>
                    </w:rPr>
                  </w:pPr>
                  <w:r>
                    <w:rPr>
                      <w:rFonts w:hint="eastAsia"/>
                      <w:szCs w:val="21"/>
                      <w:u w:val="single"/>
                      <w:lang w:val="en-US" w:eastAsia="zh-CN"/>
                    </w:rPr>
                    <w:t>水膜除尘</w:t>
                  </w:r>
                </w:p>
              </w:tc>
              <w:tc>
                <w:tcPr>
                  <w:tcW w:w="1145" w:type="pct"/>
                  <w:tcBorders>
                    <w:tl2br w:val="nil"/>
                    <w:tr2bl w:val="nil"/>
                  </w:tcBorders>
                  <w:vAlign w:val="center"/>
                </w:tcPr>
                <w:p w14:paraId="08ECE894">
                  <w:pPr>
                    <w:keepNext w:val="0"/>
                    <w:keepLines w:val="0"/>
                    <w:suppressLineNumbers w:val="0"/>
                    <w:spacing w:before="0" w:beforeAutospacing="0" w:after="0" w:afterAutospacing="0"/>
                    <w:ind w:left="0" w:leftChars="0" w:right="0" w:rightChars="0" w:firstLine="0" w:firstLineChars="0"/>
                    <w:jc w:val="center"/>
                    <w:rPr>
                      <w:rFonts w:hint="default"/>
                      <w:szCs w:val="21"/>
                      <w:u w:val="single"/>
                      <w:lang w:val="en-US"/>
                    </w:rPr>
                  </w:pPr>
                  <w:r>
                    <w:rPr>
                      <w:rFonts w:hint="eastAsia"/>
                      <w:szCs w:val="21"/>
                      <w:u w:val="single"/>
                      <w:lang w:val="en-US" w:eastAsia="zh-CN"/>
                    </w:rPr>
                    <w:t>通过35m高排气筒排放（现已废弃）</w:t>
                  </w:r>
                </w:p>
              </w:tc>
            </w:tr>
            <w:tr w14:paraId="1DDB31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tcBorders>
                    <w:tl2br w:val="nil"/>
                    <w:tr2bl w:val="nil"/>
                  </w:tcBorders>
                  <w:vAlign w:val="center"/>
                </w:tcPr>
                <w:p w14:paraId="11C80EF0">
                  <w:pPr>
                    <w:keepNext w:val="0"/>
                    <w:keepLines w:val="0"/>
                    <w:suppressLineNumbers w:val="0"/>
                    <w:spacing w:before="0" w:beforeAutospacing="0" w:after="0" w:afterAutospacing="0"/>
                    <w:ind w:left="0" w:right="0"/>
                    <w:jc w:val="center"/>
                    <w:rPr>
                      <w:rFonts w:hint="default"/>
                      <w:szCs w:val="21"/>
                      <w:u w:val="single"/>
                    </w:rPr>
                  </w:pPr>
                  <w:r>
                    <w:rPr>
                      <w:rFonts w:hint="default"/>
                      <w:szCs w:val="21"/>
                      <w:u w:val="single"/>
                    </w:rPr>
                    <w:t>噪声</w:t>
                  </w:r>
                </w:p>
              </w:tc>
              <w:tc>
                <w:tcPr>
                  <w:tcW w:w="808" w:type="pct"/>
                  <w:tcBorders>
                    <w:tl2br w:val="nil"/>
                    <w:tr2bl w:val="nil"/>
                  </w:tcBorders>
                  <w:vAlign w:val="center"/>
                </w:tcPr>
                <w:p w14:paraId="53C2A004">
                  <w:pPr>
                    <w:keepNext w:val="0"/>
                    <w:keepLines w:val="0"/>
                    <w:suppressLineNumbers w:val="0"/>
                    <w:spacing w:before="0" w:beforeAutospacing="0" w:after="0" w:afterAutospacing="0"/>
                    <w:ind w:left="0" w:right="0"/>
                    <w:jc w:val="center"/>
                    <w:rPr>
                      <w:rFonts w:hint="default"/>
                      <w:szCs w:val="21"/>
                      <w:u w:val="single"/>
                    </w:rPr>
                  </w:pPr>
                  <w:r>
                    <w:rPr>
                      <w:rFonts w:hint="default"/>
                      <w:szCs w:val="21"/>
                      <w:u w:val="single"/>
                    </w:rPr>
                    <w:t>设备噪声</w:t>
                  </w:r>
                </w:p>
              </w:tc>
              <w:tc>
                <w:tcPr>
                  <w:tcW w:w="1357" w:type="pct"/>
                  <w:tcBorders>
                    <w:tl2br w:val="nil"/>
                    <w:tr2bl w:val="nil"/>
                  </w:tcBorders>
                  <w:vAlign w:val="center"/>
                </w:tcPr>
                <w:p w14:paraId="7A0D74A3">
                  <w:pPr>
                    <w:keepNext w:val="0"/>
                    <w:keepLines w:val="0"/>
                    <w:suppressLineNumbers w:val="0"/>
                    <w:spacing w:before="0" w:beforeAutospacing="0" w:after="0" w:afterAutospacing="0"/>
                    <w:ind w:left="0" w:right="0"/>
                    <w:jc w:val="center"/>
                    <w:rPr>
                      <w:rFonts w:hint="default"/>
                      <w:szCs w:val="21"/>
                      <w:u w:val="single"/>
                    </w:rPr>
                  </w:pPr>
                  <w:r>
                    <w:rPr>
                      <w:rFonts w:hint="default"/>
                      <w:szCs w:val="21"/>
                      <w:u w:val="single"/>
                    </w:rPr>
                    <w:t>噪声</w:t>
                  </w:r>
                </w:p>
              </w:tc>
              <w:tc>
                <w:tcPr>
                  <w:tcW w:w="2359" w:type="pct"/>
                  <w:gridSpan w:val="2"/>
                  <w:tcBorders>
                    <w:tl2br w:val="nil"/>
                    <w:tr2bl w:val="nil"/>
                  </w:tcBorders>
                  <w:vAlign w:val="center"/>
                </w:tcPr>
                <w:p w14:paraId="5DE8BB3F">
                  <w:pPr>
                    <w:keepNext w:val="0"/>
                    <w:keepLines w:val="0"/>
                    <w:suppressLineNumbers w:val="0"/>
                    <w:spacing w:before="0" w:beforeAutospacing="0" w:after="0" w:afterAutospacing="0"/>
                    <w:ind w:left="0" w:right="0"/>
                    <w:jc w:val="center"/>
                    <w:rPr>
                      <w:rFonts w:hint="default"/>
                      <w:szCs w:val="21"/>
                      <w:u w:val="single"/>
                    </w:rPr>
                  </w:pPr>
                  <w:r>
                    <w:rPr>
                      <w:rFonts w:hint="default"/>
                      <w:szCs w:val="21"/>
                      <w:u w:val="single"/>
                    </w:rPr>
                    <w:t>基础减振，厂房隔声等</w:t>
                  </w:r>
                </w:p>
              </w:tc>
            </w:tr>
            <w:tr w14:paraId="55F3F7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restart"/>
                  <w:tcBorders>
                    <w:tl2br w:val="nil"/>
                    <w:tr2bl w:val="nil"/>
                  </w:tcBorders>
                  <w:vAlign w:val="center"/>
                </w:tcPr>
                <w:p w14:paraId="6D1FBFB2">
                  <w:pPr>
                    <w:keepNext w:val="0"/>
                    <w:keepLines w:val="0"/>
                    <w:suppressLineNumbers w:val="0"/>
                    <w:spacing w:before="0" w:beforeAutospacing="0" w:after="0" w:afterAutospacing="0"/>
                    <w:ind w:left="0" w:right="0"/>
                    <w:jc w:val="center"/>
                    <w:rPr>
                      <w:rFonts w:hint="default"/>
                      <w:szCs w:val="21"/>
                      <w:highlight w:val="none"/>
                      <w:u w:val="single"/>
                    </w:rPr>
                  </w:pPr>
                  <w:r>
                    <w:rPr>
                      <w:rFonts w:hint="default"/>
                      <w:szCs w:val="21"/>
                      <w:highlight w:val="none"/>
                      <w:u w:val="single"/>
                    </w:rPr>
                    <w:t>固废</w:t>
                  </w:r>
                </w:p>
              </w:tc>
              <w:tc>
                <w:tcPr>
                  <w:tcW w:w="808" w:type="pct"/>
                  <w:vMerge w:val="restart"/>
                  <w:tcBorders>
                    <w:tl2br w:val="nil"/>
                    <w:tr2bl w:val="nil"/>
                  </w:tcBorders>
                  <w:vAlign w:val="center"/>
                </w:tcPr>
                <w:p w14:paraId="4D5645EC">
                  <w:pPr>
                    <w:keepNext w:val="0"/>
                    <w:keepLines w:val="0"/>
                    <w:suppressLineNumbers w:val="0"/>
                    <w:spacing w:before="0" w:beforeAutospacing="0" w:after="0" w:afterAutospacing="0"/>
                    <w:ind w:left="0" w:right="0"/>
                    <w:jc w:val="center"/>
                    <w:rPr>
                      <w:rFonts w:hint="default" w:eastAsia="宋体"/>
                      <w:szCs w:val="21"/>
                      <w:highlight w:val="none"/>
                      <w:u w:val="single"/>
                      <w:lang w:val="en-US" w:eastAsia="zh-CN"/>
                    </w:rPr>
                  </w:pPr>
                  <w:r>
                    <w:rPr>
                      <w:rFonts w:hint="eastAsia"/>
                      <w:szCs w:val="21"/>
                      <w:highlight w:val="none"/>
                      <w:u w:val="single"/>
                      <w:lang w:val="en-US" w:eastAsia="zh-CN"/>
                    </w:rPr>
                    <w:t>一般固废</w:t>
                  </w:r>
                </w:p>
              </w:tc>
              <w:tc>
                <w:tcPr>
                  <w:tcW w:w="1357" w:type="pct"/>
                  <w:tcBorders>
                    <w:tl2br w:val="nil"/>
                    <w:tr2bl w:val="nil"/>
                  </w:tcBorders>
                  <w:shd w:val="clear" w:color="auto" w:fill="auto"/>
                  <w:vAlign w:val="center"/>
                </w:tcPr>
                <w:p w14:paraId="1EF950A6">
                  <w:pPr>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u w:val="single"/>
                      <w:lang w:val="en-US" w:eastAsia="zh-CN" w:bidi="ar-SA"/>
                    </w:rPr>
                  </w:pPr>
                  <w:r>
                    <w:rPr>
                      <w:rFonts w:hint="eastAsia"/>
                      <w:szCs w:val="21"/>
                      <w:highlight w:val="none"/>
                      <w:u w:val="single"/>
                      <w:lang w:val="en-US" w:eastAsia="zh-CN"/>
                    </w:rPr>
                    <w:t>不合格产品</w:t>
                  </w:r>
                </w:p>
              </w:tc>
              <w:tc>
                <w:tcPr>
                  <w:tcW w:w="2359" w:type="pct"/>
                  <w:gridSpan w:val="2"/>
                  <w:vMerge w:val="restart"/>
                  <w:tcBorders>
                    <w:tl2br w:val="nil"/>
                    <w:tr2bl w:val="nil"/>
                  </w:tcBorders>
                  <w:vAlign w:val="center"/>
                </w:tcPr>
                <w:p w14:paraId="4AA20222">
                  <w:pPr>
                    <w:keepNext w:val="0"/>
                    <w:keepLines w:val="0"/>
                    <w:suppressLineNumbers w:val="0"/>
                    <w:adjustRightInd w:val="0"/>
                    <w:snapToGrid w:val="0"/>
                    <w:spacing w:before="0" w:beforeAutospacing="0" w:after="0" w:afterAutospacing="0"/>
                    <w:ind w:left="0" w:right="0"/>
                    <w:jc w:val="center"/>
                    <w:rPr>
                      <w:rFonts w:hint="default" w:eastAsia="宋体"/>
                      <w:szCs w:val="21"/>
                      <w:highlight w:val="none"/>
                      <w:u w:val="single"/>
                      <w:lang w:val="en-US" w:eastAsia="zh-CN"/>
                    </w:rPr>
                  </w:pPr>
                  <w:r>
                    <w:rPr>
                      <w:rFonts w:hint="eastAsia"/>
                      <w:szCs w:val="21"/>
                      <w:highlight w:val="none"/>
                      <w:u w:val="single"/>
                      <w:lang w:val="en-US" w:eastAsia="zh-CN"/>
                    </w:rPr>
                    <w:t>暂存于一般固废暂存间，综合利用或外售</w:t>
                  </w:r>
                </w:p>
              </w:tc>
            </w:tr>
            <w:tr w14:paraId="71FE69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554C4E6E">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58248432">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4ABBFEAA">
                  <w:pPr>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u w:val="single"/>
                      <w:lang w:val="en-US" w:eastAsia="zh-CN" w:bidi="ar-SA"/>
                    </w:rPr>
                  </w:pPr>
                  <w:r>
                    <w:rPr>
                      <w:rFonts w:hint="eastAsia"/>
                      <w:szCs w:val="21"/>
                      <w:highlight w:val="none"/>
                      <w:u w:val="single"/>
                      <w:lang w:val="en-US" w:eastAsia="zh-CN"/>
                    </w:rPr>
                    <w:t>废边角料</w:t>
                  </w:r>
                </w:p>
              </w:tc>
              <w:tc>
                <w:tcPr>
                  <w:tcW w:w="2359" w:type="pct"/>
                  <w:gridSpan w:val="2"/>
                  <w:vMerge w:val="continue"/>
                  <w:tcBorders>
                    <w:tl2br w:val="nil"/>
                    <w:tr2bl w:val="nil"/>
                  </w:tcBorders>
                  <w:vAlign w:val="center"/>
                </w:tcPr>
                <w:p w14:paraId="749F06E7">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7453F2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0E2EA249">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74B8E134">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2ACD9A8B">
                  <w:pPr>
                    <w:keepNext w:val="0"/>
                    <w:keepLines w:val="0"/>
                    <w:suppressLineNumbers w:val="0"/>
                    <w:spacing w:before="0" w:beforeAutospacing="0" w:after="0" w:afterAutospacing="0"/>
                    <w:ind w:left="0" w:right="0"/>
                    <w:jc w:val="center"/>
                    <w:rPr>
                      <w:rFonts w:hint="default"/>
                      <w:szCs w:val="21"/>
                      <w:highlight w:val="none"/>
                      <w:u w:val="single"/>
                      <w:lang w:val="en-US" w:eastAsia="zh-CN"/>
                    </w:rPr>
                  </w:pPr>
                  <w:r>
                    <w:rPr>
                      <w:rFonts w:hint="eastAsia"/>
                      <w:szCs w:val="21"/>
                      <w:highlight w:val="none"/>
                      <w:u w:val="single"/>
                      <w:lang w:val="en-US" w:eastAsia="zh-CN"/>
                    </w:rPr>
                    <w:t>油炸废物</w:t>
                  </w:r>
                </w:p>
              </w:tc>
              <w:tc>
                <w:tcPr>
                  <w:tcW w:w="2359" w:type="pct"/>
                  <w:gridSpan w:val="2"/>
                  <w:vMerge w:val="continue"/>
                  <w:tcBorders>
                    <w:tl2br w:val="nil"/>
                    <w:tr2bl w:val="nil"/>
                  </w:tcBorders>
                  <w:vAlign w:val="center"/>
                </w:tcPr>
                <w:p w14:paraId="68FDEBD8">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4D0D6C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1D606E04">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031F3116">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1EF6E539">
                  <w:pPr>
                    <w:keepNext w:val="0"/>
                    <w:keepLines w:val="0"/>
                    <w:suppressLineNumbers w:val="0"/>
                    <w:spacing w:before="0" w:beforeAutospacing="0" w:after="0" w:afterAutospacing="0"/>
                    <w:ind w:left="0" w:right="0"/>
                    <w:jc w:val="center"/>
                    <w:rPr>
                      <w:rFonts w:hint="default"/>
                      <w:szCs w:val="21"/>
                      <w:highlight w:val="none"/>
                      <w:u w:val="single"/>
                      <w:lang w:val="en-US" w:eastAsia="zh-CN"/>
                    </w:rPr>
                  </w:pPr>
                  <w:r>
                    <w:rPr>
                      <w:rFonts w:hint="eastAsia"/>
                      <w:szCs w:val="21"/>
                      <w:highlight w:val="none"/>
                      <w:u w:val="single"/>
                      <w:lang w:val="en-US" w:eastAsia="zh-CN"/>
                    </w:rPr>
                    <w:t>废包装材料</w:t>
                  </w:r>
                </w:p>
              </w:tc>
              <w:tc>
                <w:tcPr>
                  <w:tcW w:w="2359" w:type="pct"/>
                  <w:gridSpan w:val="2"/>
                  <w:vMerge w:val="continue"/>
                  <w:tcBorders>
                    <w:tl2br w:val="nil"/>
                    <w:tr2bl w:val="nil"/>
                  </w:tcBorders>
                  <w:vAlign w:val="center"/>
                </w:tcPr>
                <w:p w14:paraId="1CBF51C3">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5407A0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2B58686F">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4363D53B">
                  <w:pPr>
                    <w:keepNext w:val="0"/>
                    <w:keepLines w:val="0"/>
                    <w:suppressLineNumbers w:val="0"/>
                    <w:spacing w:before="0" w:beforeAutospacing="0" w:after="0" w:afterAutospacing="0"/>
                    <w:ind w:left="0" w:right="0"/>
                    <w:jc w:val="center"/>
                    <w:rPr>
                      <w:rFonts w:hint="eastAsia" w:eastAsia="宋体"/>
                      <w:szCs w:val="21"/>
                      <w:highlight w:val="none"/>
                      <w:u w:val="single"/>
                      <w:lang w:val="en-US" w:eastAsia="zh-CN"/>
                    </w:rPr>
                  </w:pPr>
                </w:p>
              </w:tc>
              <w:tc>
                <w:tcPr>
                  <w:tcW w:w="1357" w:type="pct"/>
                  <w:tcBorders>
                    <w:tl2br w:val="nil"/>
                    <w:tr2bl w:val="nil"/>
                  </w:tcBorders>
                  <w:shd w:val="clear" w:color="auto" w:fill="auto"/>
                  <w:vAlign w:val="center"/>
                </w:tcPr>
                <w:p w14:paraId="00303F64">
                  <w:pPr>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u w:val="single"/>
                      <w:lang w:val="en-US" w:eastAsia="zh-CN" w:bidi="ar-SA"/>
                    </w:rPr>
                  </w:pPr>
                  <w:r>
                    <w:rPr>
                      <w:rFonts w:hint="eastAsia"/>
                      <w:szCs w:val="21"/>
                      <w:highlight w:val="none"/>
                      <w:u w:val="single"/>
                      <w:lang w:val="en-US" w:eastAsia="zh-CN"/>
                    </w:rPr>
                    <w:t>锅炉渣灰</w:t>
                  </w:r>
                </w:p>
              </w:tc>
              <w:tc>
                <w:tcPr>
                  <w:tcW w:w="2359" w:type="pct"/>
                  <w:gridSpan w:val="2"/>
                  <w:vMerge w:val="continue"/>
                  <w:tcBorders>
                    <w:tl2br w:val="nil"/>
                    <w:tr2bl w:val="nil"/>
                  </w:tcBorders>
                  <w:vAlign w:val="center"/>
                </w:tcPr>
                <w:p w14:paraId="016AFDB9">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rPr>
                  </w:pPr>
                </w:p>
              </w:tc>
            </w:tr>
            <w:tr w14:paraId="7317A3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311EC115">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3EF015FB">
                  <w:pPr>
                    <w:keepNext w:val="0"/>
                    <w:keepLines w:val="0"/>
                    <w:suppressLineNumbers w:val="0"/>
                    <w:spacing w:before="0" w:beforeAutospacing="0" w:after="0" w:afterAutospacing="0"/>
                    <w:ind w:left="0" w:right="0"/>
                    <w:jc w:val="center"/>
                    <w:rPr>
                      <w:rFonts w:hint="default" w:eastAsia="宋体"/>
                      <w:szCs w:val="21"/>
                      <w:highlight w:val="none"/>
                      <w:u w:val="single"/>
                      <w:lang w:val="en-US" w:eastAsia="zh-CN"/>
                    </w:rPr>
                  </w:pPr>
                </w:p>
              </w:tc>
              <w:tc>
                <w:tcPr>
                  <w:tcW w:w="1357" w:type="pct"/>
                  <w:tcBorders>
                    <w:tl2br w:val="nil"/>
                    <w:tr2bl w:val="nil"/>
                  </w:tcBorders>
                  <w:shd w:val="clear" w:color="auto" w:fill="auto"/>
                  <w:vAlign w:val="center"/>
                </w:tcPr>
                <w:p w14:paraId="147039C7">
                  <w:pPr>
                    <w:keepNext w:val="0"/>
                    <w:keepLines w:val="0"/>
                    <w:suppressLineNumbers w:val="0"/>
                    <w:spacing w:before="0" w:beforeAutospacing="0" w:after="0" w:afterAutospacing="0"/>
                    <w:ind w:left="0" w:right="0"/>
                    <w:jc w:val="center"/>
                    <w:rPr>
                      <w:rFonts w:hint="default"/>
                      <w:szCs w:val="21"/>
                      <w:highlight w:val="none"/>
                      <w:u w:val="single"/>
                      <w:lang w:val="en-US" w:eastAsia="zh-CN"/>
                    </w:rPr>
                  </w:pPr>
                  <w:r>
                    <w:rPr>
                      <w:rFonts w:hint="eastAsia"/>
                      <w:szCs w:val="21"/>
                      <w:highlight w:val="none"/>
                      <w:u w:val="single"/>
                      <w:lang w:val="en-US" w:eastAsia="zh-CN"/>
                    </w:rPr>
                    <w:t>废食用油</w:t>
                  </w:r>
                </w:p>
              </w:tc>
              <w:tc>
                <w:tcPr>
                  <w:tcW w:w="2359" w:type="pct"/>
                  <w:gridSpan w:val="2"/>
                  <w:tcBorders>
                    <w:tl2br w:val="nil"/>
                    <w:tr2bl w:val="nil"/>
                  </w:tcBorders>
                  <w:vAlign w:val="center"/>
                </w:tcPr>
                <w:p w14:paraId="7838494F">
                  <w:pPr>
                    <w:keepNext w:val="0"/>
                    <w:keepLines w:val="0"/>
                    <w:suppressLineNumbers w:val="0"/>
                    <w:adjustRightInd w:val="0"/>
                    <w:snapToGrid w:val="0"/>
                    <w:spacing w:before="0" w:beforeAutospacing="0" w:after="0" w:afterAutospacing="0"/>
                    <w:ind w:left="0" w:right="0"/>
                    <w:jc w:val="center"/>
                    <w:rPr>
                      <w:rFonts w:hint="default" w:eastAsia="宋体"/>
                      <w:szCs w:val="21"/>
                      <w:highlight w:val="none"/>
                      <w:u w:val="single"/>
                      <w:lang w:val="en-US" w:eastAsia="zh-CN"/>
                    </w:rPr>
                  </w:pPr>
                  <w:r>
                    <w:rPr>
                      <w:rFonts w:hint="eastAsia"/>
                      <w:szCs w:val="21"/>
                      <w:highlight w:val="none"/>
                      <w:u w:val="single"/>
                      <w:lang w:val="en-US" w:eastAsia="zh-CN"/>
                    </w:rPr>
                    <w:t>暂存于废食用油收集罐，定期由岳阳耀臣废油回收有限公司收购</w:t>
                  </w:r>
                </w:p>
              </w:tc>
            </w:tr>
            <w:tr w14:paraId="1E4D94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0D09869B">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restart"/>
                  <w:tcBorders>
                    <w:tl2br w:val="nil"/>
                    <w:tr2bl w:val="nil"/>
                  </w:tcBorders>
                  <w:vAlign w:val="center"/>
                </w:tcPr>
                <w:p w14:paraId="5E344711">
                  <w:pPr>
                    <w:keepNext w:val="0"/>
                    <w:keepLines w:val="0"/>
                    <w:suppressLineNumbers w:val="0"/>
                    <w:spacing w:before="0" w:beforeAutospacing="0" w:after="0" w:afterAutospacing="0"/>
                    <w:ind w:left="0" w:right="0"/>
                    <w:jc w:val="center"/>
                    <w:rPr>
                      <w:rFonts w:hint="eastAsia"/>
                      <w:szCs w:val="21"/>
                      <w:highlight w:val="none"/>
                      <w:u w:val="single"/>
                      <w:lang w:val="en-US" w:eastAsia="zh-CN"/>
                    </w:rPr>
                  </w:pPr>
                  <w:r>
                    <w:rPr>
                      <w:rFonts w:hint="eastAsia"/>
                      <w:szCs w:val="21"/>
                      <w:highlight w:val="none"/>
                      <w:u w:val="single"/>
                      <w:lang w:val="en-US" w:eastAsia="zh-CN"/>
                    </w:rPr>
                    <w:t>危险废物</w:t>
                  </w:r>
                </w:p>
              </w:tc>
              <w:tc>
                <w:tcPr>
                  <w:tcW w:w="1357" w:type="pct"/>
                  <w:tcBorders>
                    <w:tl2br w:val="nil"/>
                    <w:tr2bl w:val="nil"/>
                  </w:tcBorders>
                  <w:shd w:val="clear" w:color="auto" w:fill="auto"/>
                  <w:vAlign w:val="center"/>
                </w:tcPr>
                <w:p w14:paraId="0E897E3C">
                  <w:pPr>
                    <w:keepNext w:val="0"/>
                    <w:keepLines w:val="0"/>
                    <w:suppressLineNumbers w:val="0"/>
                    <w:spacing w:before="0" w:beforeAutospacing="0" w:after="0" w:afterAutospacing="0"/>
                    <w:ind w:left="0" w:right="0"/>
                    <w:jc w:val="center"/>
                    <w:rPr>
                      <w:rFonts w:hint="default"/>
                      <w:szCs w:val="21"/>
                      <w:highlight w:val="none"/>
                      <w:u w:val="single"/>
                      <w:lang w:val="en-US" w:eastAsia="zh-CN"/>
                    </w:rPr>
                  </w:pPr>
                  <w:r>
                    <w:rPr>
                      <w:rFonts w:hint="eastAsia"/>
                      <w:szCs w:val="21"/>
                      <w:highlight w:val="none"/>
                      <w:u w:val="single"/>
                      <w:lang w:val="en-US" w:eastAsia="zh-CN"/>
                    </w:rPr>
                    <w:t>废润滑油</w:t>
                  </w:r>
                </w:p>
              </w:tc>
              <w:tc>
                <w:tcPr>
                  <w:tcW w:w="2359" w:type="pct"/>
                  <w:gridSpan w:val="2"/>
                  <w:vMerge w:val="restart"/>
                  <w:tcBorders>
                    <w:tl2br w:val="nil"/>
                    <w:tr2bl w:val="nil"/>
                  </w:tcBorders>
                  <w:vAlign w:val="center"/>
                </w:tcPr>
                <w:p w14:paraId="3215AAEF">
                  <w:pPr>
                    <w:keepNext w:val="0"/>
                    <w:keepLines w:val="0"/>
                    <w:suppressLineNumbers w:val="0"/>
                    <w:adjustRightInd w:val="0"/>
                    <w:snapToGrid w:val="0"/>
                    <w:spacing w:before="0" w:beforeAutospacing="0" w:after="0" w:afterAutospacing="0"/>
                    <w:ind w:left="0" w:right="0"/>
                    <w:jc w:val="center"/>
                    <w:rPr>
                      <w:rFonts w:hint="default"/>
                      <w:szCs w:val="21"/>
                      <w:highlight w:val="none"/>
                      <w:u w:val="single"/>
                      <w:lang w:val="en-US" w:eastAsia="zh-CN"/>
                    </w:rPr>
                  </w:pPr>
                  <w:r>
                    <w:rPr>
                      <w:rFonts w:hint="eastAsia"/>
                      <w:szCs w:val="21"/>
                      <w:highlight w:val="none"/>
                      <w:u w:val="single"/>
                      <w:lang w:val="en-US" w:eastAsia="zh-CN"/>
                    </w:rPr>
                    <w:t>暂存于危废暂存间，由第三方有资质公司定期清运</w:t>
                  </w:r>
                </w:p>
              </w:tc>
            </w:tr>
            <w:tr w14:paraId="7B7FD3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1A17E90A">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5B91F4EF">
                  <w:pPr>
                    <w:keepNext w:val="0"/>
                    <w:keepLines w:val="0"/>
                    <w:suppressLineNumbers w:val="0"/>
                    <w:spacing w:before="0" w:beforeAutospacing="0" w:after="0" w:afterAutospacing="0"/>
                    <w:ind w:left="0" w:right="0"/>
                    <w:jc w:val="center"/>
                    <w:rPr>
                      <w:rFonts w:hint="eastAsia"/>
                      <w:szCs w:val="21"/>
                      <w:highlight w:val="none"/>
                      <w:u w:val="single"/>
                      <w:lang w:val="en-US" w:eastAsia="zh-CN"/>
                    </w:rPr>
                  </w:pPr>
                </w:p>
              </w:tc>
              <w:tc>
                <w:tcPr>
                  <w:tcW w:w="1357" w:type="pct"/>
                  <w:tcBorders>
                    <w:tl2br w:val="nil"/>
                    <w:tr2bl w:val="nil"/>
                  </w:tcBorders>
                  <w:shd w:val="clear" w:color="auto" w:fill="auto"/>
                  <w:vAlign w:val="center"/>
                </w:tcPr>
                <w:p w14:paraId="62E218A4">
                  <w:pPr>
                    <w:keepNext w:val="0"/>
                    <w:keepLines w:val="0"/>
                    <w:suppressLineNumbers w:val="0"/>
                    <w:spacing w:before="0" w:beforeAutospacing="0" w:after="0" w:afterAutospacing="0"/>
                    <w:ind w:left="0" w:right="0"/>
                    <w:jc w:val="center"/>
                    <w:rPr>
                      <w:rFonts w:hint="default"/>
                      <w:szCs w:val="21"/>
                      <w:highlight w:val="none"/>
                      <w:u w:val="single"/>
                      <w:lang w:val="en-US" w:eastAsia="zh-CN"/>
                    </w:rPr>
                  </w:pPr>
                  <w:r>
                    <w:rPr>
                      <w:rFonts w:hint="eastAsia"/>
                      <w:szCs w:val="21"/>
                      <w:highlight w:val="none"/>
                      <w:u w:val="single"/>
                      <w:lang w:val="en-US" w:eastAsia="zh-CN"/>
                    </w:rPr>
                    <w:t>废含油抹布、手套</w:t>
                  </w:r>
                </w:p>
              </w:tc>
              <w:tc>
                <w:tcPr>
                  <w:tcW w:w="2359" w:type="pct"/>
                  <w:gridSpan w:val="2"/>
                  <w:vMerge w:val="continue"/>
                  <w:tcBorders>
                    <w:tl2br w:val="nil"/>
                    <w:tr2bl w:val="nil"/>
                  </w:tcBorders>
                  <w:vAlign w:val="center"/>
                </w:tcPr>
                <w:p w14:paraId="20112BEE">
                  <w:pPr>
                    <w:keepNext w:val="0"/>
                    <w:keepLines w:val="0"/>
                    <w:suppressLineNumbers w:val="0"/>
                    <w:adjustRightInd w:val="0"/>
                    <w:snapToGrid w:val="0"/>
                    <w:spacing w:before="0" w:beforeAutospacing="0" w:after="0" w:afterAutospacing="0"/>
                    <w:ind w:left="0" w:right="0"/>
                    <w:jc w:val="center"/>
                    <w:rPr>
                      <w:rFonts w:hint="eastAsia"/>
                      <w:szCs w:val="21"/>
                      <w:highlight w:val="none"/>
                      <w:u w:val="single"/>
                      <w:lang w:val="en-US" w:eastAsia="zh-CN"/>
                    </w:rPr>
                  </w:pPr>
                </w:p>
              </w:tc>
            </w:tr>
            <w:tr w14:paraId="784AE5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4" w:type="pct"/>
                  <w:vMerge w:val="continue"/>
                  <w:tcBorders>
                    <w:tl2br w:val="nil"/>
                    <w:tr2bl w:val="nil"/>
                  </w:tcBorders>
                  <w:vAlign w:val="center"/>
                </w:tcPr>
                <w:p w14:paraId="142876EB">
                  <w:pPr>
                    <w:keepNext w:val="0"/>
                    <w:keepLines w:val="0"/>
                    <w:suppressLineNumbers w:val="0"/>
                    <w:spacing w:before="0" w:beforeAutospacing="0" w:after="0" w:afterAutospacing="0"/>
                    <w:ind w:left="0" w:right="0"/>
                    <w:jc w:val="center"/>
                    <w:rPr>
                      <w:rFonts w:hint="default"/>
                      <w:szCs w:val="21"/>
                      <w:highlight w:val="none"/>
                      <w:u w:val="single"/>
                    </w:rPr>
                  </w:pPr>
                </w:p>
              </w:tc>
              <w:tc>
                <w:tcPr>
                  <w:tcW w:w="808" w:type="pct"/>
                  <w:vMerge w:val="continue"/>
                  <w:tcBorders>
                    <w:tl2br w:val="nil"/>
                    <w:tr2bl w:val="nil"/>
                  </w:tcBorders>
                  <w:vAlign w:val="center"/>
                </w:tcPr>
                <w:p w14:paraId="71E78F27">
                  <w:pPr>
                    <w:keepNext w:val="0"/>
                    <w:keepLines w:val="0"/>
                    <w:suppressLineNumbers w:val="0"/>
                    <w:spacing w:before="0" w:beforeAutospacing="0" w:after="0" w:afterAutospacing="0"/>
                    <w:ind w:left="0" w:right="0"/>
                    <w:jc w:val="center"/>
                    <w:rPr>
                      <w:rFonts w:hint="eastAsia"/>
                      <w:szCs w:val="21"/>
                      <w:highlight w:val="none"/>
                      <w:u w:val="single"/>
                      <w:lang w:val="en-US" w:eastAsia="zh-CN"/>
                    </w:rPr>
                  </w:pPr>
                </w:p>
              </w:tc>
              <w:tc>
                <w:tcPr>
                  <w:tcW w:w="1357" w:type="pct"/>
                  <w:tcBorders>
                    <w:tl2br w:val="nil"/>
                    <w:tr2bl w:val="nil"/>
                  </w:tcBorders>
                  <w:shd w:val="clear" w:color="auto" w:fill="auto"/>
                  <w:vAlign w:val="center"/>
                </w:tcPr>
                <w:p w14:paraId="20B501AE">
                  <w:pPr>
                    <w:keepNext w:val="0"/>
                    <w:keepLines w:val="0"/>
                    <w:suppressLineNumbers w:val="0"/>
                    <w:spacing w:before="0" w:beforeAutospacing="0" w:after="0" w:afterAutospacing="0"/>
                    <w:ind w:left="0" w:right="0"/>
                    <w:jc w:val="center"/>
                    <w:rPr>
                      <w:rFonts w:hint="default"/>
                      <w:szCs w:val="21"/>
                      <w:highlight w:val="none"/>
                      <w:u w:val="single"/>
                      <w:lang w:val="en-US" w:eastAsia="zh-CN"/>
                    </w:rPr>
                  </w:pPr>
                  <w:r>
                    <w:rPr>
                      <w:rFonts w:hint="eastAsia"/>
                      <w:szCs w:val="21"/>
                      <w:highlight w:val="none"/>
                      <w:u w:val="single"/>
                      <w:lang w:val="en-US" w:eastAsia="zh-CN"/>
                    </w:rPr>
                    <w:t>废油桶</w:t>
                  </w:r>
                </w:p>
              </w:tc>
              <w:tc>
                <w:tcPr>
                  <w:tcW w:w="2359" w:type="pct"/>
                  <w:gridSpan w:val="2"/>
                  <w:vMerge w:val="continue"/>
                  <w:tcBorders>
                    <w:tl2br w:val="nil"/>
                    <w:tr2bl w:val="nil"/>
                  </w:tcBorders>
                  <w:vAlign w:val="center"/>
                </w:tcPr>
                <w:p w14:paraId="6431EDB8">
                  <w:pPr>
                    <w:keepNext w:val="0"/>
                    <w:keepLines w:val="0"/>
                    <w:suppressLineNumbers w:val="0"/>
                    <w:adjustRightInd w:val="0"/>
                    <w:snapToGrid w:val="0"/>
                    <w:spacing w:before="0" w:beforeAutospacing="0" w:after="0" w:afterAutospacing="0"/>
                    <w:ind w:left="0" w:right="0"/>
                    <w:jc w:val="center"/>
                    <w:rPr>
                      <w:rFonts w:hint="eastAsia"/>
                      <w:szCs w:val="21"/>
                      <w:highlight w:val="none"/>
                      <w:u w:val="single"/>
                      <w:lang w:val="en-US" w:eastAsia="zh-CN"/>
                    </w:rPr>
                  </w:pPr>
                </w:p>
              </w:tc>
            </w:tr>
          </w:tbl>
          <w:p w14:paraId="3255DFD3">
            <w:pPr>
              <w:pStyle w:val="5"/>
              <w:numPr>
                <w:ilvl w:val="0"/>
                <w:numId w:val="15"/>
              </w:numPr>
              <w:suppressLineNumbers w:val="0"/>
              <w:spacing w:before="157" w:beforeLines="50" w:beforeAutospacing="0" w:after="0" w:afterAutospacing="0"/>
              <w:ind w:left="0" w:right="0" w:firstLine="0"/>
              <w:rPr>
                <w:rFonts w:hint="eastAsia"/>
                <w:b/>
                <w:bCs w:val="0"/>
                <w:sz w:val="24"/>
                <w:lang w:val="en-US" w:eastAsia="zh-CN"/>
              </w:rPr>
            </w:pPr>
            <w:r>
              <w:rPr>
                <w:rFonts w:hint="eastAsia"/>
                <w:b/>
                <w:bCs w:val="0"/>
                <w:sz w:val="24"/>
                <w:lang w:val="en-US" w:eastAsia="zh-CN"/>
              </w:rPr>
              <w:t>现有项目污染源及排放达标情况</w:t>
            </w:r>
          </w:p>
          <w:p w14:paraId="0F8481C0">
            <w:pPr>
              <w:keepNext w:val="0"/>
              <w:keepLines w:val="0"/>
              <w:numPr>
                <w:ilvl w:val="-1"/>
                <w:numId w:val="0"/>
              </w:numPr>
              <w:suppressLineNumbers w:val="0"/>
              <w:spacing w:before="0" w:beforeAutospacing="0" w:after="0" w:afterAutospacing="0" w:line="360" w:lineRule="auto"/>
              <w:ind w:left="0" w:right="0" w:firstLine="480" w:firstLineChars="200"/>
              <w:rPr>
                <w:rFonts w:hint="default"/>
                <w:sz w:val="24"/>
                <w:lang w:val="en-US" w:eastAsia="zh-CN"/>
              </w:rPr>
            </w:pPr>
            <w:r>
              <w:rPr>
                <w:rFonts w:hint="default"/>
                <w:sz w:val="24"/>
                <w:lang w:val="en-US" w:eastAsia="zh-CN"/>
              </w:rPr>
              <w:t>根据建设单位提供的2024年8月的环境检测报告《湖南童记三利和食品有限公司常规检测》（昌源岳检字[2024] HJ第105-1号，详见附件），湖南童记三利和食品有限公司现有项目污染源排放具体情况如下：</w:t>
            </w:r>
          </w:p>
          <w:p w14:paraId="2C725200">
            <w:pPr>
              <w:pStyle w:val="41"/>
              <w:keepNext w:val="0"/>
              <w:keepLines w:val="0"/>
              <w:numPr>
                <w:ilvl w:val="1"/>
                <w:numId w:val="16"/>
              </w:numPr>
              <w:suppressLineNumbers w:val="0"/>
              <w:spacing w:before="0" w:beforeAutospacing="0" w:after="0" w:afterAutospacing="0" w:line="360" w:lineRule="auto"/>
              <w:ind w:left="840" w:right="0" w:hanging="420" w:firstLineChars="0"/>
              <w:outlineLvl w:val="3"/>
              <w:rPr>
                <w:rFonts w:hint="default"/>
              </w:rPr>
            </w:pPr>
            <w:r>
              <w:rPr>
                <w:rFonts w:hint="default"/>
                <w:b w:val="0"/>
                <w:bCs w:val="0"/>
                <w:color w:val="auto"/>
              </w:rPr>
              <w:t>废气污染源排放情况</w:t>
            </w:r>
          </w:p>
          <w:p w14:paraId="6D13E43A">
            <w:pPr>
              <w:pStyle w:val="33"/>
              <w:keepNext w:val="0"/>
              <w:keepLines w:val="0"/>
              <w:numPr>
                <w:ilvl w:val="0"/>
                <w:numId w:val="7"/>
              </w:numPr>
              <w:suppressLineNumbers w:val="0"/>
              <w:spacing w:before="0" w:beforeAutospacing="0" w:after="0" w:afterAutospacing="0"/>
              <w:ind w:right="0" w:firstLineChars="0"/>
              <w:jc w:val="center"/>
              <w:rPr>
                <w:rFonts w:hint="default"/>
                <w:b/>
                <w:sz w:val="24"/>
                <w:szCs w:val="24"/>
              </w:rPr>
            </w:pPr>
            <w:r>
              <w:rPr>
                <w:rFonts w:hint="default"/>
                <w:b/>
                <w:sz w:val="24"/>
                <w:szCs w:val="24"/>
              </w:rPr>
              <w:t>现有项目</w:t>
            </w:r>
            <w:r>
              <w:rPr>
                <w:rFonts w:hint="eastAsia"/>
                <w:b/>
                <w:sz w:val="24"/>
                <w:szCs w:val="24"/>
                <w:lang w:val="en-US" w:eastAsia="zh-CN"/>
              </w:rPr>
              <w:t>锅炉</w:t>
            </w:r>
            <w:r>
              <w:rPr>
                <w:rFonts w:hint="default"/>
                <w:b/>
                <w:sz w:val="24"/>
                <w:szCs w:val="24"/>
              </w:rPr>
              <w:t>废气污染物排放情况表</w:t>
            </w:r>
          </w:p>
          <w:tbl>
            <w:tblPr>
              <w:tblStyle w:val="24"/>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18"/>
              <w:gridCol w:w="816"/>
              <w:gridCol w:w="619"/>
              <w:gridCol w:w="632"/>
              <w:gridCol w:w="822"/>
              <w:gridCol w:w="571"/>
              <w:gridCol w:w="979"/>
              <w:gridCol w:w="979"/>
              <w:gridCol w:w="979"/>
              <w:gridCol w:w="979"/>
            </w:tblGrid>
            <w:tr w14:paraId="5E2710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562" w:type="pct"/>
                  <w:vMerge w:val="restart"/>
                  <w:tcMar>
                    <w:top w:w="15" w:type="dxa"/>
                    <w:left w:w="15" w:type="dxa"/>
                    <w:right w:w="15" w:type="dxa"/>
                  </w:tcMar>
                  <w:vAlign w:val="center"/>
                </w:tcPr>
                <w:p w14:paraId="187AD027">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bidi="ar"/>
                    </w:rPr>
                  </w:pPr>
                  <w:r>
                    <w:rPr>
                      <w:rFonts w:hint="default"/>
                      <w:b/>
                      <w:bCs/>
                      <w:spacing w:val="-6"/>
                      <w:kern w:val="0"/>
                      <w:szCs w:val="21"/>
                      <w:lang w:bidi="ar"/>
                    </w:rPr>
                    <w:t>产污工序</w:t>
                  </w:r>
                </w:p>
              </w:tc>
              <w:tc>
                <w:tcPr>
                  <w:tcW w:w="492" w:type="pct"/>
                  <w:vMerge w:val="restart"/>
                  <w:tcMar>
                    <w:top w:w="15" w:type="dxa"/>
                    <w:left w:w="15" w:type="dxa"/>
                    <w:right w:w="15" w:type="dxa"/>
                  </w:tcMar>
                  <w:vAlign w:val="center"/>
                </w:tcPr>
                <w:p w14:paraId="31597431">
                  <w:pPr>
                    <w:keepNext w:val="0"/>
                    <w:keepLines w:val="0"/>
                    <w:widowControl/>
                    <w:suppressLineNumbers w:val="0"/>
                    <w:spacing w:before="0" w:beforeAutospacing="0" w:after="0" w:afterAutospacing="0"/>
                    <w:ind w:left="0" w:right="0"/>
                    <w:jc w:val="center"/>
                    <w:textAlignment w:val="center"/>
                    <w:rPr>
                      <w:rFonts w:hint="eastAsia"/>
                      <w:b/>
                      <w:bCs/>
                      <w:spacing w:val="-6"/>
                      <w:kern w:val="0"/>
                      <w:szCs w:val="21"/>
                      <w:lang w:val="en-US" w:eastAsia="zh-CN" w:bidi="ar"/>
                    </w:rPr>
                  </w:pPr>
                  <w:r>
                    <w:rPr>
                      <w:rFonts w:hint="eastAsia"/>
                      <w:b/>
                      <w:bCs/>
                      <w:spacing w:val="-6"/>
                      <w:kern w:val="0"/>
                      <w:szCs w:val="21"/>
                      <w:lang w:val="en-US" w:eastAsia="zh-CN" w:bidi="ar"/>
                    </w:rPr>
                    <w:t>采样</w:t>
                  </w:r>
                </w:p>
                <w:p w14:paraId="0A70F54A">
                  <w:pPr>
                    <w:keepNext w:val="0"/>
                    <w:keepLines w:val="0"/>
                    <w:widowControl/>
                    <w:suppressLineNumbers w:val="0"/>
                    <w:spacing w:before="0" w:beforeAutospacing="0" w:after="0" w:afterAutospacing="0"/>
                    <w:ind w:left="0" w:right="0"/>
                    <w:jc w:val="center"/>
                    <w:textAlignment w:val="center"/>
                    <w:rPr>
                      <w:rFonts w:hint="eastAsia" w:eastAsia="宋体"/>
                      <w:b/>
                      <w:bCs/>
                      <w:spacing w:val="-6"/>
                      <w:kern w:val="0"/>
                      <w:szCs w:val="21"/>
                      <w:lang w:val="en-US" w:eastAsia="zh-CN" w:bidi="ar"/>
                    </w:rPr>
                  </w:pPr>
                  <w:r>
                    <w:rPr>
                      <w:rFonts w:hint="eastAsia"/>
                      <w:b/>
                      <w:bCs/>
                      <w:spacing w:val="-6"/>
                      <w:kern w:val="0"/>
                      <w:szCs w:val="21"/>
                      <w:lang w:val="en-US" w:eastAsia="zh-CN" w:bidi="ar"/>
                    </w:rPr>
                    <w:t>时间</w:t>
                  </w:r>
                </w:p>
              </w:tc>
              <w:tc>
                <w:tcPr>
                  <w:tcW w:w="373" w:type="pct"/>
                  <w:vMerge w:val="restart"/>
                  <w:tcMar>
                    <w:top w:w="15" w:type="dxa"/>
                    <w:left w:w="15" w:type="dxa"/>
                    <w:right w:w="15" w:type="dxa"/>
                  </w:tcMar>
                  <w:vAlign w:val="center"/>
                </w:tcPr>
                <w:p w14:paraId="371A927B">
                  <w:pPr>
                    <w:keepNext w:val="0"/>
                    <w:keepLines w:val="0"/>
                    <w:widowControl/>
                    <w:suppressLineNumbers w:val="0"/>
                    <w:spacing w:before="0" w:beforeAutospacing="0" w:after="0" w:afterAutospacing="0"/>
                    <w:ind w:left="0" w:right="0"/>
                    <w:jc w:val="center"/>
                    <w:textAlignment w:val="center"/>
                    <w:rPr>
                      <w:rFonts w:hint="default"/>
                      <w:b/>
                      <w:bCs/>
                      <w:spacing w:val="-6"/>
                      <w:szCs w:val="21"/>
                    </w:rPr>
                  </w:pPr>
                  <w:r>
                    <w:rPr>
                      <w:rFonts w:hint="default"/>
                      <w:b/>
                      <w:bCs/>
                      <w:spacing w:val="-6"/>
                      <w:kern w:val="0"/>
                      <w:szCs w:val="21"/>
                      <w:lang w:bidi="ar"/>
                    </w:rPr>
                    <w:t>污染源</w:t>
                  </w:r>
                </w:p>
              </w:tc>
              <w:tc>
                <w:tcPr>
                  <w:tcW w:w="394" w:type="pct"/>
                  <w:vMerge w:val="restart"/>
                  <w:tcMar>
                    <w:top w:w="15" w:type="dxa"/>
                    <w:left w:w="15" w:type="dxa"/>
                    <w:right w:w="15" w:type="dxa"/>
                  </w:tcMar>
                  <w:vAlign w:val="center"/>
                </w:tcPr>
                <w:p w14:paraId="37B987C6">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bidi="ar"/>
                    </w:rPr>
                  </w:pPr>
                  <w:r>
                    <w:rPr>
                      <w:rFonts w:hint="default"/>
                      <w:b/>
                      <w:bCs/>
                      <w:spacing w:val="-6"/>
                      <w:kern w:val="0"/>
                      <w:szCs w:val="21"/>
                      <w:lang w:bidi="ar"/>
                    </w:rPr>
                    <w:t>污染物</w:t>
                  </w:r>
                </w:p>
                <w:p w14:paraId="6F6BB07B">
                  <w:pPr>
                    <w:keepNext w:val="0"/>
                    <w:keepLines w:val="0"/>
                    <w:widowControl/>
                    <w:suppressLineNumbers w:val="0"/>
                    <w:spacing w:before="0" w:beforeAutospacing="0" w:after="0" w:afterAutospacing="0"/>
                    <w:ind w:left="0" w:right="0"/>
                    <w:jc w:val="center"/>
                    <w:textAlignment w:val="center"/>
                    <w:rPr>
                      <w:rFonts w:hint="default"/>
                      <w:b/>
                      <w:bCs/>
                      <w:spacing w:val="-6"/>
                      <w:szCs w:val="21"/>
                    </w:rPr>
                  </w:pPr>
                  <w:r>
                    <w:rPr>
                      <w:rFonts w:hint="default"/>
                      <w:b/>
                      <w:bCs/>
                      <w:spacing w:val="-6"/>
                      <w:kern w:val="0"/>
                      <w:szCs w:val="21"/>
                      <w:lang w:bidi="ar"/>
                    </w:rPr>
                    <w:t>名称</w:t>
                  </w:r>
                </w:p>
              </w:tc>
              <w:tc>
                <w:tcPr>
                  <w:tcW w:w="495" w:type="pct"/>
                  <w:vMerge w:val="restart"/>
                  <w:tcMar>
                    <w:top w:w="15" w:type="dxa"/>
                    <w:left w:w="15" w:type="dxa"/>
                    <w:right w:w="15" w:type="dxa"/>
                  </w:tcMar>
                  <w:vAlign w:val="center"/>
                </w:tcPr>
                <w:p w14:paraId="1699E10F">
                  <w:pPr>
                    <w:keepNext w:val="0"/>
                    <w:keepLines w:val="0"/>
                    <w:widowControl/>
                    <w:suppressLineNumbers w:val="0"/>
                    <w:spacing w:before="0" w:beforeAutospacing="0" w:after="0" w:afterAutospacing="0"/>
                    <w:ind w:left="0" w:right="0"/>
                    <w:jc w:val="center"/>
                    <w:rPr>
                      <w:rFonts w:hint="default"/>
                      <w:b/>
                      <w:bCs/>
                      <w:spacing w:val="-6"/>
                      <w:szCs w:val="21"/>
                    </w:rPr>
                  </w:pPr>
                  <w:r>
                    <w:rPr>
                      <w:rFonts w:hint="eastAsia"/>
                      <w:b/>
                      <w:bCs/>
                      <w:spacing w:val="-6"/>
                      <w:kern w:val="0"/>
                      <w:szCs w:val="21"/>
                      <w:lang w:val="en-US" w:eastAsia="zh-CN" w:bidi="ar"/>
                    </w:rPr>
                    <w:t>标干</w:t>
                  </w:r>
                  <w:r>
                    <w:rPr>
                      <w:rFonts w:hint="default"/>
                      <w:b/>
                      <w:bCs/>
                      <w:spacing w:val="-6"/>
                      <w:kern w:val="0"/>
                      <w:szCs w:val="21"/>
                      <w:lang w:bidi="ar"/>
                    </w:rPr>
                    <w:t>废气量（m</w:t>
                  </w:r>
                  <w:r>
                    <w:rPr>
                      <w:rFonts w:hint="default"/>
                      <w:b/>
                      <w:bCs/>
                      <w:spacing w:val="-6"/>
                      <w:kern w:val="0"/>
                      <w:szCs w:val="21"/>
                      <w:vertAlign w:val="superscript"/>
                      <w:lang w:bidi="ar"/>
                    </w:rPr>
                    <w:t>3</w:t>
                  </w:r>
                  <w:r>
                    <w:rPr>
                      <w:rFonts w:hint="default"/>
                      <w:b/>
                      <w:bCs/>
                      <w:spacing w:val="-6"/>
                      <w:kern w:val="0"/>
                      <w:szCs w:val="21"/>
                      <w:lang w:bidi="ar"/>
                    </w:rPr>
                    <w:t>/h）</w:t>
                  </w:r>
                </w:p>
              </w:tc>
              <w:tc>
                <w:tcPr>
                  <w:tcW w:w="1500" w:type="pct"/>
                  <w:gridSpan w:val="3"/>
                  <w:tcMar>
                    <w:top w:w="15" w:type="dxa"/>
                    <w:left w:w="15" w:type="dxa"/>
                    <w:right w:w="15" w:type="dxa"/>
                  </w:tcMar>
                  <w:vAlign w:val="center"/>
                </w:tcPr>
                <w:p w14:paraId="07140D3E">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val="en-US" w:eastAsia="zh-CN" w:bidi="ar"/>
                    </w:rPr>
                  </w:pPr>
                  <w:r>
                    <w:rPr>
                      <w:rFonts w:hint="eastAsia"/>
                      <w:b/>
                      <w:bCs/>
                      <w:spacing w:val="-6"/>
                      <w:kern w:val="0"/>
                      <w:szCs w:val="21"/>
                      <w:lang w:val="en-US" w:eastAsia="zh-CN" w:bidi="ar"/>
                    </w:rPr>
                    <w:t>监测结果</w:t>
                  </w:r>
                </w:p>
              </w:tc>
              <w:tc>
                <w:tcPr>
                  <w:tcW w:w="590" w:type="pct"/>
                  <w:vMerge w:val="restart"/>
                  <w:tcMar>
                    <w:top w:w="15" w:type="dxa"/>
                    <w:left w:w="15" w:type="dxa"/>
                    <w:right w:w="15" w:type="dxa"/>
                  </w:tcMar>
                  <w:vAlign w:val="center"/>
                </w:tcPr>
                <w:p w14:paraId="65A0006D">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val="en-US" w:eastAsia="zh-CN" w:bidi="ar"/>
                    </w:rPr>
                  </w:pPr>
                  <w:r>
                    <w:rPr>
                      <w:rFonts w:hint="eastAsia"/>
                      <w:b/>
                      <w:bCs/>
                      <w:spacing w:val="-6"/>
                      <w:kern w:val="0"/>
                      <w:szCs w:val="21"/>
                      <w:lang w:val="en-US" w:eastAsia="zh-CN" w:bidi="ar"/>
                    </w:rPr>
                    <w:t>平均值（mg/m</w:t>
                  </w:r>
                  <w:r>
                    <w:rPr>
                      <w:rFonts w:hint="eastAsia"/>
                      <w:b/>
                      <w:bCs/>
                      <w:spacing w:val="-6"/>
                      <w:kern w:val="0"/>
                      <w:szCs w:val="21"/>
                      <w:vertAlign w:val="superscript"/>
                      <w:lang w:val="en-US" w:eastAsia="zh-CN" w:bidi="ar"/>
                    </w:rPr>
                    <w:t>3</w:t>
                  </w:r>
                  <w:r>
                    <w:rPr>
                      <w:rFonts w:hint="eastAsia"/>
                      <w:b/>
                      <w:bCs/>
                      <w:spacing w:val="-6"/>
                      <w:kern w:val="0"/>
                      <w:szCs w:val="21"/>
                      <w:vertAlign w:val="baseline"/>
                      <w:lang w:val="en-US" w:eastAsia="zh-CN" w:bidi="ar"/>
                    </w:rPr>
                    <w:t>）</w:t>
                  </w:r>
                </w:p>
              </w:tc>
              <w:tc>
                <w:tcPr>
                  <w:tcW w:w="590" w:type="pct"/>
                  <w:vMerge w:val="restart"/>
                  <w:tcMar>
                    <w:top w:w="15" w:type="dxa"/>
                    <w:left w:w="15" w:type="dxa"/>
                    <w:right w:w="15" w:type="dxa"/>
                  </w:tcMar>
                  <w:vAlign w:val="center"/>
                </w:tcPr>
                <w:p w14:paraId="4A48925E">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val="en-US" w:eastAsia="zh-CN" w:bidi="ar"/>
                    </w:rPr>
                  </w:pPr>
                  <w:r>
                    <w:rPr>
                      <w:rFonts w:hint="eastAsia"/>
                      <w:b/>
                      <w:bCs/>
                      <w:spacing w:val="-6"/>
                      <w:kern w:val="0"/>
                      <w:szCs w:val="21"/>
                      <w:lang w:val="en-US" w:eastAsia="zh-CN" w:bidi="ar"/>
                    </w:rPr>
                    <w:t>执行限值（mg/m</w:t>
                  </w:r>
                  <w:r>
                    <w:rPr>
                      <w:rFonts w:hint="eastAsia"/>
                      <w:b/>
                      <w:bCs/>
                      <w:spacing w:val="-6"/>
                      <w:kern w:val="0"/>
                      <w:szCs w:val="21"/>
                      <w:vertAlign w:val="superscript"/>
                      <w:lang w:val="en-US" w:eastAsia="zh-CN" w:bidi="ar"/>
                    </w:rPr>
                    <w:t>3</w:t>
                  </w:r>
                  <w:r>
                    <w:rPr>
                      <w:rFonts w:hint="eastAsia"/>
                      <w:b/>
                      <w:bCs/>
                      <w:spacing w:val="-6"/>
                      <w:kern w:val="0"/>
                      <w:szCs w:val="21"/>
                      <w:lang w:val="en-US" w:eastAsia="zh-CN" w:bidi="ar"/>
                    </w:rPr>
                    <w:t>）</w:t>
                  </w:r>
                </w:p>
              </w:tc>
            </w:tr>
            <w:tr w14:paraId="769334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562" w:type="pct"/>
                  <w:vMerge w:val="continue"/>
                  <w:tcMar>
                    <w:top w:w="15" w:type="dxa"/>
                    <w:left w:w="15" w:type="dxa"/>
                    <w:right w:w="15" w:type="dxa"/>
                  </w:tcMar>
                  <w:vAlign w:val="center"/>
                </w:tcPr>
                <w:p w14:paraId="260AE234">
                  <w:pPr>
                    <w:keepNext w:val="0"/>
                    <w:keepLines w:val="0"/>
                    <w:widowControl/>
                    <w:suppressLineNumbers w:val="0"/>
                    <w:spacing w:before="0" w:beforeAutospacing="0" w:after="0" w:afterAutospacing="0"/>
                    <w:ind w:left="0" w:right="0"/>
                    <w:jc w:val="center"/>
                    <w:rPr>
                      <w:rFonts w:hint="default"/>
                      <w:b/>
                      <w:bCs/>
                      <w:spacing w:val="-6"/>
                      <w:szCs w:val="21"/>
                    </w:rPr>
                  </w:pPr>
                </w:p>
              </w:tc>
              <w:tc>
                <w:tcPr>
                  <w:tcW w:w="492" w:type="pct"/>
                  <w:vMerge w:val="continue"/>
                  <w:tcMar>
                    <w:top w:w="15" w:type="dxa"/>
                    <w:left w:w="15" w:type="dxa"/>
                    <w:right w:w="15" w:type="dxa"/>
                  </w:tcMar>
                  <w:vAlign w:val="center"/>
                </w:tcPr>
                <w:p w14:paraId="615AEE75">
                  <w:pPr>
                    <w:keepNext w:val="0"/>
                    <w:keepLines w:val="0"/>
                    <w:widowControl/>
                    <w:suppressLineNumbers w:val="0"/>
                    <w:spacing w:before="0" w:beforeAutospacing="0" w:after="0" w:afterAutospacing="0"/>
                    <w:ind w:left="0" w:right="0"/>
                    <w:jc w:val="center"/>
                    <w:rPr>
                      <w:rFonts w:hint="default"/>
                      <w:b/>
                      <w:bCs/>
                      <w:spacing w:val="-6"/>
                      <w:szCs w:val="21"/>
                    </w:rPr>
                  </w:pPr>
                </w:p>
              </w:tc>
              <w:tc>
                <w:tcPr>
                  <w:tcW w:w="373" w:type="pct"/>
                  <w:vMerge w:val="continue"/>
                  <w:tcMar>
                    <w:top w:w="15" w:type="dxa"/>
                    <w:left w:w="15" w:type="dxa"/>
                    <w:right w:w="15" w:type="dxa"/>
                  </w:tcMar>
                  <w:vAlign w:val="center"/>
                </w:tcPr>
                <w:p w14:paraId="3B9627A9">
                  <w:pPr>
                    <w:keepNext w:val="0"/>
                    <w:keepLines w:val="0"/>
                    <w:widowControl/>
                    <w:suppressLineNumbers w:val="0"/>
                    <w:spacing w:before="0" w:beforeAutospacing="0" w:after="0" w:afterAutospacing="0"/>
                    <w:ind w:left="0" w:right="0"/>
                    <w:jc w:val="center"/>
                    <w:rPr>
                      <w:rFonts w:hint="default"/>
                      <w:b/>
                      <w:bCs/>
                      <w:spacing w:val="-6"/>
                      <w:szCs w:val="21"/>
                    </w:rPr>
                  </w:pPr>
                </w:p>
              </w:tc>
              <w:tc>
                <w:tcPr>
                  <w:tcW w:w="394" w:type="pct"/>
                  <w:vMerge w:val="continue"/>
                  <w:tcMar>
                    <w:top w:w="15" w:type="dxa"/>
                    <w:left w:w="15" w:type="dxa"/>
                    <w:right w:w="15" w:type="dxa"/>
                  </w:tcMar>
                  <w:vAlign w:val="center"/>
                </w:tcPr>
                <w:p w14:paraId="3B7CDBD9">
                  <w:pPr>
                    <w:keepNext w:val="0"/>
                    <w:keepLines w:val="0"/>
                    <w:widowControl/>
                    <w:suppressLineNumbers w:val="0"/>
                    <w:spacing w:before="0" w:beforeAutospacing="0" w:after="0" w:afterAutospacing="0"/>
                    <w:ind w:left="0" w:right="0"/>
                    <w:jc w:val="center"/>
                    <w:rPr>
                      <w:rFonts w:hint="default"/>
                      <w:b/>
                      <w:bCs/>
                      <w:spacing w:val="-6"/>
                      <w:szCs w:val="21"/>
                    </w:rPr>
                  </w:pPr>
                </w:p>
              </w:tc>
              <w:tc>
                <w:tcPr>
                  <w:tcW w:w="495" w:type="pct"/>
                  <w:vMerge w:val="continue"/>
                  <w:tcMar>
                    <w:top w:w="15" w:type="dxa"/>
                    <w:left w:w="15" w:type="dxa"/>
                    <w:right w:w="15" w:type="dxa"/>
                  </w:tcMar>
                  <w:vAlign w:val="center"/>
                </w:tcPr>
                <w:p w14:paraId="7639B827">
                  <w:pPr>
                    <w:keepNext w:val="0"/>
                    <w:keepLines w:val="0"/>
                    <w:widowControl/>
                    <w:suppressLineNumbers w:val="0"/>
                    <w:spacing w:before="0" w:beforeAutospacing="0" w:after="0" w:afterAutospacing="0"/>
                    <w:ind w:left="0" w:right="0"/>
                    <w:jc w:val="center"/>
                    <w:rPr>
                      <w:rFonts w:hint="default"/>
                      <w:b/>
                      <w:bCs/>
                      <w:spacing w:val="-6"/>
                      <w:szCs w:val="21"/>
                    </w:rPr>
                  </w:pPr>
                </w:p>
              </w:tc>
              <w:tc>
                <w:tcPr>
                  <w:tcW w:w="353" w:type="pct"/>
                  <w:tcMar>
                    <w:top w:w="15" w:type="dxa"/>
                    <w:left w:w="15" w:type="dxa"/>
                    <w:right w:w="15" w:type="dxa"/>
                  </w:tcMar>
                  <w:vAlign w:val="center"/>
                </w:tcPr>
                <w:p w14:paraId="5A8C0B90">
                  <w:pPr>
                    <w:keepNext w:val="0"/>
                    <w:keepLines w:val="0"/>
                    <w:widowControl/>
                    <w:suppressLineNumbers w:val="0"/>
                    <w:spacing w:before="0" w:beforeAutospacing="0" w:after="0" w:afterAutospacing="0"/>
                    <w:ind w:left="0" w:right="0"/>
                    <w:jc w:val="center"/>
                    <w:textAlignment w:val="center"/>
                    <w:rPr>
                      <w:rFonts w:hint="default"/>
                      <w:b/>
                      <w:bCs/>
                      <w:spacing w:val="-6"/>
                      <w:szCs w:val="21"/>
                    </w:rPr>
                  </w:pPr>
                  <w:r>
                    <w:rPr>
                      <w:rFonts w:hint="eastAsia"/>
                      <w:b/>
                      <w:bCs/>
                      <w:spacing w:val="-6"/>
                      <w:kern w:val="0"/>
                      <w:szCs w:val="21"/>
                      <w:lang w:val="en-US" w:eastAsia="zh-CN" w:bidi="ar"/>
                    </w:rPr>
                    <w:t>排放</w:t>
                  </w:r>
                  <w:r>
                    <w:rPr>
                      <w:rFonts w:hint="default"/>
                      <w:b/>
                      <w:bCs/>
                      <w:spacing w:val="-6"/>
                      <w:kern w:val="0"/>
                      <w:szCs w:val="21"/>
                      <w:lang w:bidi="ar"/>
                    </w:rPr>
                    <w:t>速率(kg/h)</w:t>
                  </w:r>
                </w:p>
              </w:tc>
              <w:tc>
                <w:tcPr>
                  <w:tcW w:w="557" w:type="pct"/>
                  <w:tcMar>
                    <w:top w:w="15" w:type="dxa"/>
                    <w:left w:w="15" w:type="dxa"/>
                    <w:right w:w="15" w:type="dxa"/>
                  </w:tcMar>
                  <w:vAlign w:val="center"/>
                </w:tcPr>
                <w:p w14:paraId="3E04E3A7">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bidi="ar"/>
                    </w:rPr>
                  </w:pPr>
                  <w:r>
                    <w:rPr>
                      <w:rFonts w:hint="eastAsia"/>
                      <w:b/>
                      <w:bCs/>
                      <w:spacing w:val="-6"/>
                      <w:kern w:val="0"/>
                      <w:szCs w:val="21"/>
                      <w:lang w:val="en-US" w:eastAsia="zh-CN" w:bidi="ar"/>
                    </w:rPr>
                    <w:t>排放</w:t>
                  </w:r>
                  <w:r>
                    <w:rPr>
                      <w:rFonts w:hint="default"/>
                      <w:b/>
                      <w:bCs/>
                      <w:spacing w:val="-6"/>
                      <w:kern w:val="0"/>
                      <w:szCs w:val="21"/>
                      <w:lang w:bidi="ar"/>
                    </w:rPr>
                    <w:t>浓度</w:t>
                  </w:r>
                </w:p>
                <w:p w14:paraId="0160B5D0">
                  <w:pPr>
                    <w:keepNext w:val="0"/>
                    <w:keepLines w:val="0"/>
                    <w:widowControl/>
                    <w:suppressLineNumbers w:val="0"/>
                    <w:spacing w:before="0" w:beforeAutospacing="0" w:after="0" w:afterAutospacing="0"/>
                    <w:ind w:left="0" w:right="0"/>
                    <w:jc w:val="center"/>
                    <w:textAlignment w:val="center"/>
                    <w:rPr>
                      <w:rFonts w:hint="default"/>
                      <w:b/>
                      <w:bCs/>
                      <w:spacing w:val="-6"/>
                      <w:szCs w:val="21"/>
                    </w:rPr>
                  </w:pPr>
                  <w:r>
                    <w:rPr>
                      <w:rFonts w:hint="eastAsia"/>
                      <w:b/>
                      <w:bCs/>
                      <w:spacing w:val="-6"/>
                      <w:kern w:val="0"/>
                      <w:szCs w:val="21"/>
                      <w:lang w:eastAsia="zh-CN" w:bidi="ar"/>
                    </w:rPr>
                    <w:t>（</w:t>
                  </w:r>
                  <w:r>
                    <w:rPr>
                      <w:rFonts w:hint="eastAsia"/>
                      <w:b/>
                      <w:bCs/>
                      <w:spacing w:val="-6"/>
                      <w:kern w:val="0"/>
                      <w:szCs w:val="21"/>
                      <w:lang w:val="en-US" w:eastAsia="zh-CN" w:bidi="ar"/>
                    </w:rPr>
                    <w:t>m</w:t>
                  </w:r>
                  <w:r>
                    <w:rPr>
                      <w:rFonts w:hint="default"/>
                      <w:b/>
                      <w:bCs/>
                      <w:spacing w:val="-6"/>
                      <w:kern w:val="0"/>
                      <w:szCs w:val="21"/>
                      <w:lang w:bidi="ar"/>
                    </w:rPr>
                    <w:t>g/m</w:t>
                  </w:r>
                  <w:r>
                    <w:rPr>
                      <w:rFonts w:hint="default"/>
                      <w:b/>
                      <w:bCs/>
                      <w:spacing w:val="-6"/>
                      <w:kern w:val="0"/>
                      <w:szCs w:val="21"/>
                      <w:vertAlign w:val="superscript"/>
                      <w:lang w:bidi="ar"/>
                    </w:rPr>
                    <w:t>3</w:t>
                  </w:r>
                  <w:r>
                    <w:rPr>
                      <w:rFonts w:hint="eastAsia"/>
                      <w:b/>
                      <w:bCs/>
                      <w:spacing w:val="-6"/>
                      <w:kern w:val="0"/>
                      <w:szCs w:val="21"/>
                      <w:lang w:eastAsia="zh-CN" w:bidi="ar"/>
                    </w:rPr>
                    <w:t>）</w:t>
                  </w:r>
                </w:p>
              </w:tc>
              <w:tc>
                <w:tcPr>
                  <w:tcW w:w="590" w:type="pct"/>
                  <w:tcMar>
                    <w:top w:w="15" w:type="dxa"/>
                    <w:left w:w="15" w:type="dxa"/>
                    <w:right w:w="15" w:type="dxa"/>
                  </w:tcMar>
                  <w:vAlign w:val="center"/>
                </w:tcPr>
                <w:p w14:paraId="3B7CA6A9">
                  <w:pPr>
                    <w:keepNext w:val="0"/>
                    <w:keepLines w:val="0"/>
                    <w:widowControl/>
                    <w:suppressLineNumbers w:val="0"/>
                    <w:spacing w:before="0" w:beforeAutospacing="0" w:after="0" w:afterAutospacing="0"/>
                    <w:ind w:left="0" w:right="0"/>
                    <w:jc w:val="center"/>
                    <w:textAlignment w:val="center"/>
                    <w:rPr>
                      <w:rFonts w:hint="eastAsia"/>
                      <w:b/>
                      <w:bCs/>
                      <w:spacing w:val="-6"/>
                      <w:kern w:val="0"/>
                      <w:szCs w:val="21"/>
                      <w:lang w:val="en-US" w:eastAsia="zh-CN" w:bidi="ar"/>
                    </w:rPr>
                  </w:pPr>
                  <w:r>
                    <w:rPr>
                      <w:rFonts w:hint="eastAsia"/>
                      <w:b/>
                      <w:bCs/>
                      <w:spacing w:val="-6"/>
                      <w:kern w:val="0"/>
                      <w:szCs w:val="21"/>
                      <w:lang w:val="en-US" w:eastAsia="zh-CN" w:bidi="ar"/>
                    </w:rPr>
                    <w:t>折算浓度</w:t>
                  </w:r>
                </w:p>
                <w:p w14:paraId="624AEE68">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val="en-US" w:eastAsia="zh-CN" w:bidi="ar"/>
                    </w:rPr>
                  </w:pPr>
                  <w:r>
                    <w:rPr>
                      <w:rFonts w:hint="eastAsia"/>
                      <w:b/>
                      <w:bCs/>
                      <w:spacing w:val="-6"/>
                      <w:kern w:val="0"/>
                      <w:szCs w:val="21"/>
                      <w:lang w:val="en-US" w:eastAsia="zh-CN" w:bidi="ar"/>
                    </w:rPr>
                    <w:t>（mg/m</w:t>
                  </w:r>
                  <w:r>
                    <w:rPr>
                      <w:rFonts w:hint="eastAsia"/>
                      <w:b/>
                      <w:bCs/>
                      <w:spacing w:val="-6"/>
                      <w:kern w:val="0"/>
                      <w:szCs w:val="21"/>
                      <w:vertAlign w:val="superscript"/>
                      <w:lang w:val="en-US" w:eastAsia="zh-CN" w:bidi="ar"/>
                    </w:rPr>
                    <w:t>3</w:t>
                  </w:r>
                  <w:r>
                    <w:rPr>
                      <w:rFonts w:hint="eastAsia"/>
                      <w:b/>
                      <w:bCs/>
                      <w:spacing w:val="-6"/>
                      <w:kern w:val="0"/>
                      <w:szCs w:val="21"/>
                      <w:lang w:val="en-US" w:eastAsia="zh-CN" w:bidi="ar"/>
                    </w:rPr>
                    <w:t>）</w:t>
                  </w:r>
                </w:p>
              </w:tc>
              <w:tc>
                <w:tcPr>
                  <w:tcW w:w="590" w:type="pct"/>
                  <w:vMerge w:val="continue"/>
                  <w:tcMar>
                    <w:top w:w="15" w:type="dxa"/>
                    <w:left w:w="15" w:type="dxa"/>
                    <w:right w:w="15" w:type="dxa"/>
                  </w:tcMar>
                  <w:vAlign w:val="center"/>
                </w:tcPr>
                <w:p w14:paraId="3FD2D4CF">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val="en-US" w:eastAsia="zh-CN" w:bidi="ar"/>
                    </w:rPr>
                  </w:pPr>
                </w:p>
              </w:tc>
              <w:tc>
                <w:tcPr>
                  <w:tcW w:w="590" w:type="pct"/>
                  <w:vMerge w:val="continue"/>
                  <w:tcMar>
                    <w:top w:w="15" w:type="dxa"/>
                    <w:left w:w="15" w:type="dxa"/>
                    <w:right w:w="15" w:type="dxa"/>
                  </w:tcMar>
                  <w:vAlign w:val="center"/>
                </w:tcPr>
                <w:p w14:paraId="61381980">
                  <w:pPr>
                    <w:keepNext w:val="0"/>
                    <w:keepLines w:val="0"/>
                    <w:widowControl/>
                    <w:suppressLineNumbers w:val="0"/>
                    <w:spacing w:before="0" w:beforeAutospacing="0" w:after="0" w:afterAutospacing="0"/>
                    <w:ind w:left="0" w:right="0"/>
                    <w:jc w:val="center"/>
                    <w:textAlignment w:val="center"/>
                    <w:rPr>
                      <w:rFonts w:hint="default"/>
                      <w:b/>
                      <w:bCs/>
                      <w:spacing w:val="-6"/>
                      <w:kern w:val="0"/>
                      <w:szCs w:val="21"/>
                      <w:lang w:val="en-US" w:eastAsia="zh-CN" w:bidi="ar"/>
                    </w:rPr>
                  </w:pPr>
                </w:p>
              </w:tc>
            </w:tr>
            <w:tr w14:paraId="33D74D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restart"/>
                  <w:tcMar>
                    <w:top w:w="15" w:type="dxa"/>
                    <w:left w:w="15" w:type="dxa"/>
                    <w:right w:w="15" w:type="dxa"/>
                  </w:tcMar>
                  <w:vAlign w:val="center"/>
                </w:tcPr>
                <w:p w14:paraId="3DADCE2D">
                  <w:pPr>
                    <w:keepNext w:val="0"/>
                    <w:keepLines w:val="0"/>
                    <w:widowControl/>
                    <w:suppressLineNumbers w:val="0"/>
                    <w:spacing w:before="0" w:beforeAutospacing="0" w:after="0" w:afterAutospacing="0"/>
                    <w:ind w:left="0" w:right="0"/>
                    <w:jc w:val="center"/>
                    <w:textAlignment w:val="center"/>
                    <w:rPr>
                      <w:rFonts w:hint="eastAsia" w:eastAsia="宋体"/>
                      <w:spacing w:val="-6"/>
                      <w:szCs w:val="21"/>
                      <w:lang w:val="en-US" w:eastAsia="zh-CN"/>
                    </w:rPr>
                  </w:pPr>
                  <w:r>
                    <w:rPr>
                      <w:rFonts w:hint="eastAsia"/>
                      <w:spacing w:val="-6"/>
                      <w:szCs w:val="21"/>
                      <w:lang w:val="en-US" w:eastAsia="zh-CN"/>
                    </w:rPr>
                    <w:t>锅炉废气</w:t>
                  </w:r>
                </w:p>
              </w:tc>
              <w:tc>
                <w:tcPr>
                  <w:tcW w:w="492" w:type="pct"/>
                  <w:vMerge w:val="restart"/>
                  <w:tcMar>
                    <w:top w:w="15" w:type="dxa"/>
                    <w:left w:w="15" w:type="dxa"/>
                    <w:right w:w="15" w:type="dxa"/>
                  </w:tcMar>
                  <w:vAlign w:val="center"/>
                </w:tcPr>
                <w:p w14:paraId="4CA21100">
                  <w:pPr>
                    <w:keepNext w:val="0"/>
                    <w:keepLines w:val="0"/>
                    <w:widowControl/>
                    <w:suppressLineNumbers w:val="0"/>
                    <w:spacing w:before="0" w:beforeAutospacing="0" w:after="0" w:afterAutospacing="0"/>
                    <w:ind w:left="0" w:right="0"/>
                    <w:jc w:val="center"/>
                    <w:textAlignment w:val="center"/>
                    <w:rPr>
                      <w:rFonts w:hint="default"/>
                      <w:spacing w:val="-6"/>
                      <w:szCs w:val="21"/>
                      <w:lang w:val="en-US" w:eastAsia="zh-CN"/>
                    </w:rPr>
                  </w:pPr>
                  <w:r>
                    <w:rPr>
                      <w:rFonts w:hint="eastAsia"/>
                      <w:spacing w:val="-6"/>
                      <w:szCs w:val="21"/>
                      <w:lang w:val="en-US" w:eastAsia="zh-CN"/>
                    </w:rPr>
                    <w:t>2024.8.10</w:t>
                  </w:r>
                </w:p>
              </w:tc>
              <w:tc>
                <w:tcPr>
                  <w:tcW w:w="373" w:type="pct"/>
                  <w:vMerge w:val="restart"/>
                  <w:tcMar>
                    <w:top w:w="15" w:type="dxa"/>
                    <w:left w:w="15" w:type="dxa"/>
                    <w:right w:w="15" w:type="dxa"/>
                  </w:tcMar>
                  <w:vAlign w:val="center"/>
                </w:tcPr>
                <w:p w14:paraId="2A5E76E8">
                  <w:pPr>
                    <w:keepNext w:val="0"/>
                    <w:keepLines w:val="0"/>
                    <w:widowControl/>
                    <w:suppressLineNumbers w:val="0"/>
                    <w:spacing w:before="0" w:beforeAutospacing="0" w:after="0" w:afterAutospacing="0"/>
                    <w:ind w:left="0" w:right="0"/>
                    <w:jc w:val="center"/>
                    <w:textAlignment w:val="center"/>
                    <w:rPr>
                      <w:rFonts w:hint="default" w:eastAsia="宋体"/>
                      <w:spacing w:val="-6"/>
                      <w:szCs w:val="21"/>
                      <w:lang w:val="en-US" w:eastAsia="zh-CN"/>
                    </w:rPr>
                  </w:pPr>
                  <w:r>
                    <w:rPr>
                      <w:rFonts w:hint="eastAsia"/>
                      <w:spacing w:val="-6"/>
                      <w:szCs w:val="21"/>
                      <w:lang w:val="en-US" w:eastAsia="zh-CN"/>
                    </w:rPr>
                    <w:t>DA001</w:t>
                  </w:r>
                </w:p>
              </w:tc>
              <w:tc>
                <w:tcPr>
                  <w:tcW w:w="394" w:type="pct"/>
                  <w:vMerge w:val="restart"/>
                  <w:tcMar>
                    <w:top w:w="15" w:type="dxa"/>
                    <w:left w:w="15" w:type="dxa"/>
                    <w:right w:w="15" w:type="dxa"/>
                  </w:tcMar>
                  <w:vAlign w:val="center"/>
                </w:tcPr>
                <w:p w14:paraId="3829DA28">
                  <w:pPr>
                    <w:pStyle w:val="41"/>
                    <w:keepNext w:val="0"/>
                    <w:keepLines w:val="0"/>
                    <w:suppressLineNumbers w:val="0"/>
                    <w:spacing w:before="0" w:beforeAutospacing="0" w:after="0" w:afterAutospacing="0"/>
                    <w:ind w:left="0" w:right="0"/>
                    <w:jc w:val="center"/>
                    <w:rPr>
                      <w:rFonts w:hint="eastAsia" w:eastAsia="宋体"/>
                      <w:color w:val="auto"/>
                      <w:spacing w:val="-6"/>
                      <w:sz w:val="21"/>
                      <w:szCs w:val="21"/>
                      <w:lang w:val="en-US" w:eastAsia="zh-CN"/>
                    </w:rPr>
                  </w:pPr>
                  <w:r>
                    <w:rPr>
                      <w:rFonts w:hint="eastAsia"/>
                      <w:color w:val="auto"/>
                      <w:spacing w:val="-6"/>
                      <w:sz w:val="21"/>
                      <w:szCs w:val="21"/>
                      <w:lang w:val="en-US" w:eastAsia="zh-CN"/>
                    </w:rPr>
                    <w:t>颗粒物</w:t>
                  </w:r>
                </w:p>
              </w:tc>
              <w:tc>
                <w:tcPr>
                  <w:tcW w:w="495" w:type="pct"/>
                  <w:tcMar>
                    <w:top w:w="15" w:type="dxa"/>
                    <w:left w:w="15" w:type="dxa"/>
                    <w:right w:w="15" w:type="dxa"/>
                  </w:tcMar>
                  <w:vAlign w:val="center"/>
                </w:tcPr>
                <w:p w14:paraId="44580F82">
                  <w:pPr>
                    <w:pStyle w:val="41"/>
                    <w:keepNext w:val="0"/>
                    <w:keepLines w:val="0"/>
                    <w:suppressLineNumbers w:val="0"/>
                    <w:spacing w:before="0" w:beforeAutospacing="0" w:after="0" w:afterAutospacing="0"/>
                    <w:ind w:left="0" w:right="0"/>
                    <w:jc w:val="center"/>
                    <w:rPr>
                      <w:rFonts w:hint="default" w:eastAsia="宋体"/>
                      <w:color w:val="auto"/>
                      <w:spacing w:val="-6"/>
                      <w:sz w:val="21"/>
                      <w:szCs w:val="21"/>
                      <w:lang w:val="en-US" w:eastAsia="zh-CN"/>
                    </w:rPr>
                  </w:pPr>
                  <w:r>
                    <w:rPr>
                      <w:rFonts w:hint="eastAsia"/>
                      <w:color w:val="auto"/>
                      <w:spacing w:val="-6"/>
                      <w:sz w:val="21"/>
                      <w:szCs w:val="21"/>
                      <w:lang w:val="en-US" w:eastAsia="zh-CN"/>
                    </w:rPr>
                    <w:t>15369</w:t>
                  </w:r>
                </w:p>
              </w:tc>
              <w:tc>
                <w:tcPr>
                  <w:tcW w:w="353" w:type="pct"/>
                  <w:tcMar>
                    <w:top w:w="15" w:type="dxa"/>
                    <w:left w:w="15" w:type="dxa"/>
                    <w:right w:w="15" w:type="dxa"/>
                  </w:tcMar>
                  <w:vAlign w:val="center"/>
                </w:tcPr>
                <w:p w14:paraId="3F6AF648">
                  <w:pPr>
                    <w:pStyle w:val="41"/>
                    <w:keepNext w:val="0"/>
                    <w:keepLines w:val="0"/>
                    <w:suppressLineNumbers w:val="0"/>
                    <w:spacing w:before="0" w:beforeAutospacing="0" w:after="0" w:afterAutospacing="0"/>
                    <w:ind w:left="-63" w:leftChars="-30" w:right="-63" w:rightChars="-30"/>
                    <w:jc w:val="center"/>
                    <w:rPr>
                      <w:rFonts w:hint="default" w:eastAsia="宋体"/>
                      <w:color w:val="auto"/>
                      <w:spacing w:val="-6"/>
                      <w:sz w:val="21"/>
                      <w:szCs w:val="21"/>
                      <w:lang w:val="en-US" w:eastAsia="zh-CN"/>
                    </w:rPr>
                  </w:pPr>
                  <w:r>
                    <w:rPr>
                      <w:rFonts w:hint="eastAsia"/>
                      <w:color w:val="auto"/>
                      <w:spacing w:val="-6"/>
                      <w:sz w:val="21"/>
                      <w:szCs w:val="21"/>
                      <w:lang w:val="en-US" w:eastAsia="zh-CN"/>
                    </w:rPr>
                    <w:t>0.128</w:t>
                  </w:r>
                </w:p>
              </w:tc>
              <w:tc>
                <w:tcPr>
                  <w:tcW w:w="557" w:type="pct"/>
                  <w:tcMar>
                    <w:top w:w="15" w:type="dxa"/>
                    <w:left w:w="15" w:type="dxa"/>
                    <w:right w:w="15" w:type="dxa"/>
                  </w:tcMar>
                  <w:vAlign w:val="center"/>
                </w:tcPr>
                <w:p w14:paraId="2326D55B">
                  <w:pPr>
                    <w:pStyle w:val="41"/>
                    <w:keepNext w:val="0"/>
                    <w:keepLines w:val="0"/>
                    <w:suppressLineNumbers w:val="0"/>
                    <w:spacing w:before="0" w:beforeAutospacing="0" w:after="0" w:afterAutospacing="0"/>
                    <w:ind w:left="-63" w:leftChars="-30" w:right="-63" w:rightChars="-30"/>
                    <w:jc w:val="center"/>
                    <w:rPr>
                      <w:rFonts w:hint="default" w:eastAsia="宋体"/>
                      <w:color w:val="auto"/>
                      <w:spacing w:val="-6"/>
                      <w:sz w:val="21"/>
                      <w:szCs w:val="21"/>
                      <w:lang w:val="en-US" w:eastAsia="zh-CN"/>
                    </w:rPr>
                  </w:pPr>
                  <w:r>
                    <w:rPr>
                      <w:rFonts w:hint="eastAsia"/>
                      <w:color w:val="auto"/>
                      <w:spacing w:val="-6"/>
                      <w:sz w:val="21"/>
                      <w:szCs w:val="21"/>
                      <w:lang w:val="en-US" w:eastAsia="zh-CN"/>
                    </w:rPr>
                    <w:t>8.3</w:t>
                  </w:r>
                </w:p>
              </w:tc>
              <w:tc>
                <w:tcPr>
                  <w:tcW w:w="590" w:type="pct"/>
                  <w:tcMar>
                    <w:top w:w="15" w:type="dxa"/>
                    <w:left w:w="15" w:type="dxa"/>
                    <w:right w:w="15" w:type="dxa"/>
                  </w:tcMar>
                  <w:vAlign w:val="center"/>
                </w:tcPr>
                <w:p w14:paraId="552ED59C">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8.4</w:t>
                  </w:r>
                </w:p>
              </w:tc>
              <w:tc>
                <w:tcPr>
                  <w:tcW w:w="590" w:type="pct"/>
                  <w:vMerge w:val="restart"/>
                  <w:tcMar>
                    <w:top w:w="15" w:type="dxa"/>
                    <w:left w:w="15" w:type="dxa"/>
                    <w:right w:w="15" w:type="dxa"/>
                  </w:tcMar>
                  <w:vAlign w:val="center"/>
                </w:tcPr>
                <w:p w14:paraId="1BFE6D7D">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8.8</w:t>
                  </w:r>
                </w:p>
              </w:tc>
              <w:tc>
                <w:tcPr>
                  <w:tcW w:w="590" w:type="pct"/>
                  <w:vMerge w:val="restart"/>
                  <w:tcMar>
                    <w:top w:w="15" w:type="dxa"/>
                    <w:left w:w="15" w:type="dxa"/>
                    <w:right w:w="15" w:type="dxa"/>
                  </w:tcMar>
                  <w:vAlign w:val="center"/>
                </w:tcPr>
                <w:p w14:paraId="7F4E9AFC">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30</w:t>
                  </w:r>
                </w:p>
              </w:tc>
            </w:tr>
            <w:tr w14:paraId="0254FD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16304064">
                  <w:pPr>
                    <w:keepNext w:val="0"/>
                    <w:keepLines w:val="0"/>
                    <w:widowControl/>
                    <w:suppressLineNumbers w:val="0"/>
                    <w:spacing w:before="0" w:beforeAutospacing="0" w:after="0" w:afterAutospacing="0"/>
                    <w:ind w:left="0" w:right="0"/>
                    <w:jc w:val="center"/>
                    <w:textAlignment w:val="center"/>
                    <w:rPr>
                      <w:rFonts w:hint="eastAsia"/>
                      <w:spacing w:val="-6"/>
                      <w:szCs w:val="21"/>
                      <w:lang w:val="en-US" w:eastAsia="zh-CN"/>
                    </w:rPr>
                  </w:pPr>
                </w:p>
              </w:tc>
              <w:tc>
                <w:tcPr>
                  <w:tcW w:w="492" w:type="pct"/>
                  <w:vMerge w:val="continue"/>
                  <w:tcMar>
                    <w:top w:w="15" w:type="dxa"/>
                    <w:left w:w="15" w:type="dxa"/>
                    <w:right w:w="15" w:type="dxa"/>
                  </w:tcMar>
                  <w:vAlign w:val="center"/>
                </w:tcPr>
                <w:p w14:paraId="2A2222F0">
                  <w:pPr>
                    <w:keepNext w:val="0"/>
                    <w:keepLines w:val="0"/>
                    <w:widowControl/>
                    <w:suppressLineNumbers w:val="0"/>
                    <w:spacing w:before="0" w:beforeAutospacing="0" w:after="0" w:afterAutospacing="0"/>
                    <w:ind w:left="0" w:right="0"/>
                    <w:jc w:val="center"/>
                    <w:textAlignment w:val="center"/>
                    <w:rPr>
                      <w:rFonts w:hint="eastAsia"/>
                      <w:spacing w:val="-6"/>
                      <w:szCs w:val="21"/>
                      <w:lang w:val="en-US" w:eastAsia="zh-CN"/>
                    </w:rPr>
                  </w:pPr>
                </w:p>
              </w:tc>
              <w:tc>
                <w:tcPr>
                  <w:tcW w:w="373" w:type="pct"/>
                  <w:vMerge w:val="continue"/>
                  <w:tcMar>
                    <w:top w:w="15" w:type="dxa"/>
                    <w:left w:w="15" w:type="dxa"/>
                    <w:right w:w="15" w:type="dxa"/>
                  </w:tcMar>
                  <w:vAlign w:val="center"/>
                </w:tcPr>
                <w:p w14:paraId="48B6F1F3">
                  <w:pPr>
                    <w:keepNext w:val="0"/>
                    <w:keepLines w:val="0"/>
                    <w:widowControl/>
                    <w:suppressLineNumbers w:val="0"/>
                    <w:spacing w:before="0" w:beforeAutospacing="0" w:after="0" w:afterAutospacing="0"/>
                    <w:ind w:left="0" w:right="0"/>
                    <w:jc w:val="center"/>
                    <w:textAlignment w:val="center"/>
                    <w:rPr>
                      <w:rFonts w:hint="eastAsia"/>
                      <w:spacing w:val="-6"/>
                      <w:szCs w:val="21"/>
                      <w:lang w:val="en-US" w:eastAsia="zh-CN"/>
                    </w:rPr>
                  </w:pPr>
                </w:p>
              </w:tc>
              <w:tc>
                <w:tcPr>
                  <w:tcW w:w="394" w:type="pct"/>
                  <w:vMerge w:val="continue"/>
                  <w:tcMar>
                    <w:top w:w="15" w:type="dxa"/>
                    <w:left w:w="15" w:type="dxa"/>
                    <w:right w:w="15" w:type="dxa"/>
                  </w:tcMar>
                  <w:vAlign w:val="center"/>
                </w:tcPr>
                <w:p w14:paraId="6A85A990">
                  <w:pPr>
                    <w:pStyle w:val="41"/>
                    <w:keepNext w:val="0"/>
                    <w:keepLines w:val="0"/>
                    <w:suppressLineNumbers w:val="0"/>
                    <w:spacing w:before="0" w:beforeAutospacing="0" w:after="0" w:afterAutospacing="0"/>
                    <w:ind w:left="0" w:right="0"/>
                    <w:jc w:val="center"/>
                    <w:rPr>
                      <w:rFonts w:hint="eastAsia"/>
                      <w:color w:val="auto"/>
                      <w:spacing w:val="-6"/>
                      <w:sz w:val="21"/>
                      <w:szCs w:val="21"/>
                      <w:lang w:val="en-US" w:eastAsia="zh-CN"/>
                    </w:rPr>
                  </w:pPr>
                </w:p>
              </w:tc>
              <w:tc>
                <w:tcPr>
                  <w:tcW w:w="495" w:type="pct"/>
                  <w:tcMar>
                    <w:top w:w="15" w:type="dxa"/>
                    <w:left w:w="15" w:type="dxa"/>
                    <w:right w:w="15" w:type="dxa"/>
                  </w:tcMar>
                  <w:vAlign w:val="center"/>
                </w:tcPr>
                <w:p w14:paraId="241CA4C8">
                  <w:pPr>
                    <w:pStyle w:val="41"/>
                    <w:keepNext w:val="0"/>
                    <w:keepLines w:val="0"/>
                    <w:suppressLineNumbers w:val="0"/>
                    <w:spacing w:before="0" w:beforeAutospacing="0" w:after="0" w:afterAutospacing="0"/>
                    <w:ind w:left="0" w:right="0"/>
                    <w:jc w:val="center"/>
                    <w:rPr>
                      <w:rFonts w:hint="default"/>
                      <w:color w:val="auto"/>
                      <w:spacing w:val="-6"/>
                      <w:sz w:val="21"/>
                      <w:szCs w:val="21"/>
                      <w:lang w:val="en-US" w:eastAsia="zh-CN"/>
                    </w:rPr>
                  </w:pPr>
                  <w:r>
                    <w:rPr>
                      <w:rFonts w:hint="eastAsia"/>
                      <w:color w:val="auto"/>
                      <w:spacing w:val="-6"/>
                      <w:sz w:val="21"/>
                      <w:szCs w:val="21"/>
                      <w:lang w:val="en-US" w:eastAsia="zh-CN"/>
                    </w:rPr>
                    <w:t>16581</w:t>
                  </w:r>
                </w:p>
              </w:tc>
              <w:tc>
                <w:tcPr>
                  <w:tcW w:w="353" w:type="pct"/>
                  <w:tcMar>
                    <w:top w:w="15" w:type="dxa"/>
                    <w:left w:w="15" w:type="dxa"/>
                    <w:right w:w="15" w:type="dxa"/>
                  </w:tcMar>
                  <w:vAlign w:val="center"/>
                </w:tcPr>
                <w:p w14:paraId="763237E3">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0.156</w:t>
                  </w:r>
                </w:p>
              </w:tc>
              <w:tc>
                <w:tcPr>
                  <w:tcW w:w="557" w:type="pct"/>
                  <w:tcMar>
                    <w:top w:w="15" w:type="dxa"/>
                    <w:left w:w="15" w:type="dxa"/>
                    <w:right w:w="15" w:type="dxa"/>
                  </w:tcMar>
                  <w:vAlign w:val="center"/>
                </w:tcPr>
                <w:p w14:paraId="573C9326">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9.4</w:t>
                  </w:r>
                </w:p>
              </w:tc>
              <w:tc>
                <w:tcPr>
                  <w:tcW w:w="590" w:type="pct"/>
                  <w:tcMar>
                    <w:top w:w="15" w:type="dxa"/>
                    <w:left w:w="15" w:type="dxa"/>
                    <w:right w:w="15" w:type="dxa"/>
                  </w:tcMar>
                  <w:vAlign w:val="center"/>
                </w:tcPr>
                <w:p w14:paraId="5F78283F">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9.6</w:t>
                  </w:r>
                </w:p>
              </w:tc>
              <w:tc>
                <w:tcPr>
                  <w:tcW w:w="590" w:type="pct"/>
                  <w:vMerge w:val="continue"/>
                  <w:tcMar>
                    <w:top w:w="15" w:type="dxa"/>
                    <w:left w:w="15" w:type="dxa"/>
                    <w:right w:w="15" w:type="dxa"/>
                  </w:tcMar>
                  <w:vAlign w:val="center"/>
                </w:tcPr>
                <w:p w14:paraId="5B0D3BD7">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590" w:type="pct"/>
                  <w:vMerge w:val="continue"/>
                  <w:tcMar>
                    <w:top w:w="15" w:type="dxa"/>
                    <w:left w:w="15" w:type="dxa"/>
                    <w:right w:w="15" w:type="dxa"/>
                  </w:tcMar>
                  <w:vAlign w:val="center"/>
                </w:tcPr>
                <w:p w14:paraId="77EFEF31">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r>
            <w:tr w14:paraId="5C514B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5EE3FFFB">
                  <w:pPr>
                    <w:keepNext w:val="0"/>
                    <w:keepLines w:val="0"/>
                    <w:widowControl/>
                    <w:suppressLineNumbers w:val="0"/>
                    <w:spacing w:before="0" w:beforeAutospacing="0" w:after="0" w:afterAutospacing="0"/>
                    <w:ind w:left="0" w:right="0"/>
                    <w:jc w:val="center"/>
                    <w:textAlignment w:val="center"/>
                    <w:rPr>
                      <w:rFonts w:hint="eastAsia"/>
                      <w:spacing w:val="-6"/>
                      <w:szCs w:val="21"/>
                      <w:lang w:val="en-US" w:eastAsia="zh-CN"/>
                    </w:rPr>
                  </w:pPr>
                </w:p>
              </w:tc>
              <w:tc>
                <w:tcPr>
                  <w:tcW w:w="492" w:type="pct"/>
                  <w:vMerge w:val="continue"/>
                  <w:tcMar>
                    <w:top w:w="15" w:type="dxa"/>
                    <w:left w:w="15" w:type="dxa"/>
                    <w:right w:w="15" w:type="dxa"/>
                  </w:tcMar>
                  <w:vAlign w:val="center"/>
                </w:tcPr>
                <w:p w14:paraId="2B26C251">
                  <w:pPr>
                    <w:keepNext w:val="0"/>
                    <w:keepLines w:val="0"/>
                    <w:widowControl/>
                    <w:suppressLineNumbers w:val="0"/>
                    <w:spacing w:before="0" w:beforeAutospacing="0" w:after="0" w:afterAutospacing="0"/>
                    <w:ind w:left="0" w:right="0"/>
                    <w:jc w:val="center"/>
                    <w:textAlignment w:val="center"/>
                    <w:rPr>
                      <w:rFonts w:hint="eastAsia"/>
                      <w:spacing w:val="-6"/>
                      <w:szCs w:val="21"/>
                      <w:lang w:val="en-US" w:eastAsia="zh-CN"/>
                    </w:rPr>
                  </w:pPr>
                </w:p>
              </w:tc>
              <w:tc>
                <w:tcPr>
                  <w:tcW w:w="373" w:type="pct"/>
                  <w:vMerge w:val="continue"/>
                  <w:tcMar>
                    <w:top w:w="15" w:type="dxa"/>
                    <w:left w:w="15" w:type="dxa"/>
                    <w:right w:w="15" w:type="dxa"/>
                  </w:tcMar>
                  <w:vAlign w:val="center"/>
                </w:tcPr>
                <w:p w14:paraId="137BD760">
                  <w:pPr>
                    <w:keepNext w:val="0"/>
                    <w:keepLines w:val="0"/>
                    <w:widowControl/>
                    <w:suppressLineNumbers w:val="0"/>
                    <w:spacing w:before="0" w:beforeAutospacing="0" w:after="0" w:afterAutospacing="0"/>
                    <w:ind w:left="0" w:right="0"/>
                    <w:jc w:val="center"/>
                    <w:textAlignment w:val="center"/>
                    <w:rPr>
                      <w:rFonts w:hint="eastAsia"/>
                      <w:spacing w:val="-6"/>
                      <w:szCs w:val="21"/>
                      <w:lang w:val="en-US" w:eastAsia="zh-CN"/>
                    </w:rPr>
                  </w:pPr>
                </w:p>
              </w:tc>
              <w:tc>
                <w:tcPr>
                  <w:tcW w:w="394" w:type="pct"/>
                  <w:vMerge w:val="continue"/>
                  <w:tcMar>
                    <w:top w:w="15" w:type="dxa"/>
                    <w:left w:w="15" w:type="dxa"/>
                    <w:right w:w="15" w:type="dxa"/>
                  </w:tcMar>
                  <w:vAlign w:val="center"/>
                </w:tcPr>
                <w:p w14:paraId="6E583577">
                  <w:pPr>
                    <w:pStyle w:val="41"/>
                    <w:keepNext w:val="0"/>
                    <w:keepLines w:val="0"/>
                    <w:suppressLineNumbers w:val="0"/>
                    <w:spacing w:before="0" w:beforeAutospacing="0" w:after="0" w:afterAutospacing="0"/>
                    <w:ind w:left="0" w:right="0"/>
                    <w:jc w:val="center"/>
                    <w:rPr>
                      <w:rFonts w:hint="eastAsia"/>
                      <w:color w:val="auto"/>
                      <w:spacing w:val="-6"/>
                      <w:sz w:val="21"/>
                      <w:szCs w:val="21"/>
                      <w:lang w:val="en-US" w:eastAsia="zh-CN"/>
                    </w:rPr>
                  </w:pPr>
                </w:p>
              </w:tc>
              <w:tc>
                <w:tcPr>
                  <w:tcW w:w="495" w:type="pct"/>
                  <w:tcMar>
                    <w:top w:w="15" w:type="dxa"/>
                    <w:left w:w="15" w:type="dxa"/>
                    <w:right w:w="15" w:type="dxa"/>
                  </w:tcMar>
                  <w:vAlign w:val="center"/>
                </w:tcPr>
                <w:p w14:paraId="2A56D557">
                  <w:pPr>
                    <w:pStyle w:val="41"/>
                    <w:keepNext w:val="0"/>
                    <w:keepLines w:val="0"/>
                    <w:suppressLineNumbers w:val="0"/>
                    <w:spacing w:before="0" w:beforeAutospacing="0" w:after="0" w:afterAutospacing="0"/>
                    <w:ind w:left="0" w:right="0"/>
                    <w:jc w:val="center"/>
                    <w:rPr>
                      <w:rFonts w:hint="default"/>
                      <w:color w:val="auto"/>
                      <w:spacing w:val="-6"/>
                      <w:sz w:val="21"/>
                      <w:szCs w:val="21"/>
                      <w:lang w:val="en-US" w:eastAsia="zh-CN"/>
                    </w:rPr>
                  </w:pPr>
                  <w:r>
                    <w:rPr>
                      <w:rFonts w:hint="eastAsia"/>
                      <w:color w:val="auto"/>
                      <w:spacing w:val="-6"/>
                      <w:sz w:val="21"/>
                      <w:szCs w:val="21"/>
                      <w:lang w:val="en-US" w:eastAsia="zh-CN"/>
                    </w:rPr>
                    <w:t>15970</w:t>
                  </w:r>
                </w:p>
              </w:tc>
              <w:tc>
                <w:tcPr>
                  <w:tcW w:w="353" w:type="pct"/>
                  <w:tcMar>
                    <w:top w:w="15" w:type="dxa"/>
                    <w:left w:w="15" w:type="dxa"/>
                    <w:right w:w="15" w:type="dxa"/>
                  </w:tcMar>
                  <w:vAlign w:val="center"/>
                </w:tcPr>
                <w:p w14:paraId="165D0B64">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0.140</w:t>
                  </w:r>
                </w:p>
              </w:tc>
              <w:tc>
                <w:tcPr>
                  <w:tcW w:w="557" w:type="pct"/>
                  <w:tcMar>
                    <w:top w:w="15" w:type="dxa"/>
                    <w:left w:w="15" w:type="dxa"/>
                    <w:right w:w="15" w:type="dxa"/>
                  </w:tcMar>
                  <w:vAlign w:val="center"/>
                </w:tcPr>
                <w:p w14:paraId="06448AAF">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8.8</w:t>
                  </w:r>
                </w:p>
              </w:tc>
              <w:tc>
                <w:tcPr>
                  <w:tcW w:w="590" w:type="pct"/>
                  <w:tcMar>
                    <w:top w:w="15" w:type="dxa"/>
                    <w:left w:w="15" w:type="dxa"/>
                    <w:right w:w="15" w:type="dxa"/>
                  </w:tcMar>
                  <w:vAlign w:val="center"/>
                </w:tcPr>
                <w:p w14:paraId="3CB899E7">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8.5</w:t>
                  </w:r>
                </w:p>
              </w:tc>
              <w:tc>
                <w:tcPr>
                  <w:tcW w:w="590" w:type="pct"/>
                  <w:vMerge w:val="continue"/>
                  <w:tcMar>
                    <w:top w:w="15" w:type="dxa"/>
                    <w:left w:w="15" w:type="dxa"/>
                    <w:right w:w="15" w:type="dxa"/>
                  </w:tcMar>
                  <w:vAlign w:val="center"/>
                </w:tcPr>
                <w:p w14:paraId="30964DD2">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590" w:type="pct"/>
                  <w:vMerge w:val="continue"/>
                  <w:tcMar>
                    <w:top w:w="15" w:type="dxa"/>
                    <w:left w:w="15" w:type="dxa"/>
                    <w:right w:w="15" w:type="dxa"/>
                  </w:tcMar>
                  <w:vAlign w:val="center"/>
                </w:tcPr>
                <w:p w14:paraId="6B659FD9">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r>
            <w:tr w14:paraId="1BA345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0984B13B">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492" w:type="pct"/>
                  <w:vMerge w:val="continue"/>
                  <w:tcMar>
                    <w:top w:w="15" w:type="dxa"/>
                    <w:left w:w="15" w:type="dxa"/>
                    <w:right w:w="15" w:type="dxa"/>
                  </w:tcMar>
                  <w:vAlign w:val="center"/>
                </w:tcPr>
                <w:p w14:paraId="179DC074">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73" w:type="pct"/>
                  <w:vMerge w:val="continue"/>
                  <w:tcMar>
                    <w:top w:w="15" w:type="dxa"/>
                    <w:left w:w="15" w:type="dxa"/>
                    <w:right w:w="15" w:type="dxa"/>
                  </w:tcMar>
                  <w:vAlign w:val="center"/>
                </w:tcPr>
                <w:p w14:paraId="175946BE">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94" w:type="pct"/>
                  <w:vMerge w:val="restart"/>
                  <w:tcMar>
                    <w:top w:w="15" w:type="dxa"/>
                    <w:left w:w="15" w:type="dxa"/>
                    <w:right w:w="15" w:type="dxa"/>
                  </w:tcMar>
                  <w:vAlign w:val="center"/>
                </w:tcPr>
                <w:p w14:paraId="7457953C">
                  <w:pPr>
                    <w:pStyle w:val="41"/>
                    <w:keepNext w:val="0"/>
                    <w:keepLines w:val="0"/>
                    <w:suppressLineNumbers w:val="0"/>
                    <w:spacing w:before="0" w:beforeAutospacing="0" w:after="0" w:afterAutospacing="0"/>
                    <w:ind w:left="-63" w:leftChars="-30" w:right="-63" w:rightChars="-30"/>
                    <w:jc w:val="center"/>
                    <w:rPr>
                      <w:rFonts w:hint="eastAsia" w:eastAsia="宋体"/>
                      <w:color w:val="auto"/>
                      <w:spacing w:val="-6"/>
                      <w:sz w:val="21"/>
                      <w:szCs w:val="21"/>
                      <w:lang w:val="en-US" w:eastAsia="zh-CN"/>
                    </w:rPr>
                  </w:pPr>
                  <w:r>
                    <w:rPr>
                      <w:rFonts w:hint="eastAsia"/>
                      <w:color w:val="auto"/>
                      <w:spacing w:val="-6"/>
                      <w:sz w:val="21"/>
                      <w:szCs w:val="21"/>
                      <w:lang w:val="en-US" w:eastAsia="zh-CN"/>
                    </w:rPr>
                    <w:t>氮氧化物</w:t>
                  </w:r>
                </w:p>
              </w:tc>
              <w:tc>
                <w:tcPr>
                  <w:tcW w:w="495" w:type="pct"/>
                  <w:shd w:val="clear" w:color="auto" w:fill="auto"/>
                  <w:tcMar>
                    <w:top w:w="15" w:type="dxa"/>
                    <w:left w:w="15" w:type="dxa"/>
                    <w:right w:w="15" w:type="dxa"/>
                  </w:tcMar>
                  <w:vAlign w:val="center"/>
                </w:tcPr>
                <w:p w14:paraId="645BD161">
                  <w:pPr>
                    <w:pStyle w:val="4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pacing w:val="-6"/>
                      <w:kern w:val="2"/>
                      <w:sz w:val="21"/>
                      <w:szCs w:val="21"/>
                      <w:lang w:val="en-US" w:eastAsia="zh-CN" w:bidi="ar-SA"/>
                    </w:rPr>
                  </w:pPr>
                  <w:r>
                    <w:rPr>
                      <w:rFonts w:hint="eastAsia"/>
                      <w:color w:val="auto"/>
                      <w:spacing w:val="-6"/>
                      <w:sz w:val="21"/>
                      <w:szCs w:val="21"/>
                      <w:lang w:val="en-US" w:eastAsia="zh-CN"/>
                    </w:rPr>
                    <w:t>15369</w:t>
                  </w:r>
                </w:p>
              </w:tc>
              <w:tc>
                <w:tcPr>
                  <w:tcW w:w="353" w:type="pct"/>
                  <w:tcMar>
                    <w:top w:w="15" w:type="dxa"/>
                    <w:left w:w="15" w:type="dxa"/>
                    <w:right w:w="15" w:type="dxa"/>
                  </w:tcMar>
                  <w:vAlign w:val="center"/>
                </w:tcPr>
                <w:p w14:paraId="37257A10">
                  <w:pPr>
                    <w:pStyle w:val="41"/>
                    <w:keepNext w:val="0"/>
                    <w:keepLines w:val="0"/>
                    <w:suppressLineNumbers w:val="0"/>
                    <w:spacing w:before="0" w:beforeAutospacing="0" w:after="0" w:afterAutospacing="0"/>
                    <w:ind w:left="-63" w:leftChars="-30" w:right="-63" w:rightChars="-30"/>
                    <w:jc w:val="center"/>
                    <w:rPr>
                      <w:rFonts w:hint="default" w:eastAsia="宋体"/>
                      <w:color w:val="auto"/>
                      <w:spacing w:val="-6"/>
                      <w:sz w:val="21"/>
                      <w:szCs w:val="21"/>
                      <w:lang w:val="en-US" w:eastAsia="zh-CN"/>
                    </w:rPr>
                  </w:pPr>
                  <w:r>
                    <w:rPr>
                      <w:rFonts w:hint="eastAsia"/>
                      <w:color w:val="auto"/>
                      <w:spacing w:val="-6"/>
                      <w:sz w:val="21"/>
                      <w:szCs w:val="21"/>
                      <w:lang w:val="en-US" w:eastAsia="zh-CN"/>
                    </w:rPr>
                    <w:t>1.322</w:t>
                  </w:r>
                </w:p>
              </w:tc>
              <w:tc>
                <w:tcPr>
                  <w:tcW w:w="557" w:type="pct"/>
                  <w:tcMar>
                    <w:top w:w="15" w:type="dxa"/>
                    <w:left w:w="15" w:type="dxa"/>
                    <w:right w:w="15" w:type="dxa"/>
                  </w:tcMar>
                  <w:vAlign w:val="center"/>
                </w:tcPr>
                <w:p w14:paraId="1B6323C7">
                  <w:pPr>
                    <w:pStyle w:val="41"/>
                    <w:keepNext w:val="0"/>
                    <w:keepLines w:val="0"/>
                    <w:suppressLineNumbers w:val="0"/>
                    <w:spacing w:before="0" w:beforeAutospacing="0" w:after="0" w:afterAutospacing="0"/>
                    <w:ind w:left="-63" w:leftChars="-30" w:right="-63" w:rightChars="-30"/>
                    <w:jc w:val="center"/>
                    <w:rPr>
                      <w:rFonts w:hint="default" w:eastAsia="宋体"/>
                      <w:color w:val="auto"/>
                      <w:spacing w:val="-6"/>
                      <w:sz w:val="21"/>
                      <w:szCs w:val="21"/>
                      <w:lang w:val="en-US" w:eastAsia="zh-CN"/>
                    </w:rPr>
                  </w:pPr>
                  <w:r>
                    <w:rPr>
                      <w:rFonts w:hint="eastAsia"/>
                      <w:color w:val="auto"/>
                      <w:spacing w:val="-6"/>
                      <w:sz w:val="21"/>
                      <w:szCs w:val="21"/>
                      <w:lang w:val="en-US" w:eastAsia="zh-CN"/>
                    </w:rPr>
                    <w:t>86</w:t>
                  </w:r>
                </w:p>
              </w:tc>
              <w:tc>
                <w:tcPr>
                  <w:tcW w:w="590" w:type="pct"/>
                  <w:tcMar>
                    <w:top w:w="15" w:type="dxa"/>
                    <w:left w:w="15" w:type="dxa"/>
                    <w:right w:w="15" w:type="dxa"/>
                  </w:tcMar>
                  <w:vAlign w:val="center"/>
                </w:tcPr>
                <w:p w14:paraId="55E9DC3B">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87</w:t>
                  </w:r>
                </w:p>
              </w:tc>
              <w:tc>
                <w:tcPr>
                  <w:tcW w:w="590" w:type="pct"/>
                  <w:vMerge w:val="restart"/>
                  <w:tcMar>
                    <w:top w:w="15" w:type="dxa"/>
                    <w:left w:w="15" w:type="dxa"/>
                    <w:right w:w="15" w:type="dxa"/>
                  </w:tcMar>
                  <w:vAlign w:val="center"/>
                </w:tcPr>
                <w:p w14:paraId="5D7E942E">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81</w:t>
                  </w:r>
                </w:p>
              </w:tc>
              <w:tc>
                <w:tcPr>
                  <w:tcW w:w="590" w:type="pct"/>
                  <w:vMerge w:val="restart"/>
                  <w:tcMar>
                    <w:top w:w="15" w:type="dxa"/>
                    <w:left w:w="15" w:type="dxa"/>
                    <w:right w:w="15" w:type="dxa"/>
                  </w:tcMar>
                  <w:vAlign w:val="center"/>
                </w:tcPr>
                <w:p w14:paraId="2768AF85">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200</w:t>
                  </w:r>
                </w:p>
              </w:tc>
            </w:tr>
            <w:tr w14:paraId="60048F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27B678C4">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492" w:type="pct"/>
                  <w:vMerge w:val="continue"/>
                  <w:tcMar>
                    <w:top w:w="15" w:type="dxa"/>
                    <w:left w:w="15" w:type="dxa"/>
                    <w:right w:w="15" w:type="dxa"/>
                  </w:tcMar>
                  <w:vAlign w:val="center"/>
                </w:tcPr>
                <w:p w14:paraId="018A4241">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73" w:type="pct"/>
                  <w:vMerge w:val="continue"/>
                  <w:tcMar>
                    <w:top w:w="15" w:type="dxa"/>
                    <w:left w:w="15" w:type="dxa"/>
                    <w:right w:w="15" w:type="dxa"/>
                  </w:tcMar>
                  <w:vAlign w:val="center"/>
                </w:tcPr>
                <w:p w14:paraId="20EDE9F8">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94" w:type="pct"/>
                  <w:vMerge w:val="continue"/>
                  <w:tcMar>
                    <w:top w:w="15" w:type="dxa"/>
                    <w:left w:w="15" w:type="dxa"/>
                    <w:right w:w="15" w:type="dxa"/>
                  </w:tcMar>
                  <w:vAlign w:val="center"/>
                </w:tcPr>
                <w:p w14:paraId="5173520B">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495" w:type="pct"/>
                  <w:shd w:val="clear" w:color="auto" w:fill="auto"/>
                  <w:tcMar>
                    <w:top w:w="15" w:type="dxa"/>
                    <w:left w:w="15" w:type="dxa"/>
                    <w:right w:w="15" w:type="dxa"/>
                  </w:tcMar>
                  <w:vAlign w:val="center"/>
                </w:tcPr>
                <w:p w14:paraId="3071CE60">
                  <w:pPr>
                    <w:pStyle w:val="4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pacing w:val="-6"/>
                      <w:kern w:val="2"/>
                      <w:sz w:val="21"/>
                      <w:szCs w:val="21"/>
                      <w:lang w:val="en-US" w:eastAsia="zh-CN" w:bidi="ar-SA"/>
                    </w:rPr>
                  </w:pPr>
                  <w:r>
                    <w:rPr>
                      <w:rFonts w:hint="eastAsia"/>
                      <w:color w:val="auto"/>
                      <w:spacing w:val="-6"/>
                      <w:sz w:val="21"/>
                      <w:szCs w:val="21"/>
                      <w:lang w:val="en-US" w:eastAsia="zh-CN"/>
                    </w:rPr>
                    <w:t>16581</w:t>
                  </w:r>
                </w:p>
              </w:tc>
              <w:tc>
                <w:tcPr>
                  <w:tcW w:w="353" w:type="pct"/>
                  <w:tcMar>
                    <w:top w:w="15" w:type="dxa"/>
                    <w:left w:w="15" w:type="dxa"/>
                    <w:right w:w="15" w:type="dxa"/>
                  </w:tcMar>
                  <w:vAlign w:val="center"/>
                </w:tcPr>
                <w:p w14:paraId="64B2C53B">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1.293</w:t>
                  </w:r>
                </w:p>
              </w:tc>
              <w:tc>
                <w:tcPr>
                  <w:tcW w:w="557" w:type="pct"/>
                  <w:tcMar>
                    <w:top w:w="15" w:type="dxa"/>
                    <w:left w:w="15" w:type="dxa"/>
                    <w:right w:w="15" w:type="dxa"/>
                  </w:tcMar>
                  <w:vAlign w:val="center"/>
                </w:tcPr>
                <w:p w14:paraId="65A98D46">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78</w:t>
                  </w:r>
                </w:p>
              </w:tc>
              <w:tc>
                <w:tcPr>
                  <w:tcW w:w="590" w:type="pct"/>
                  <w:tcMar>
                    <w:top w:w="15" w:type="dxa"/>
                    <w:left w:w="15" w:type="dxa"/>
                    <w:right w:w="15" w:type="dxa"/>
                  </w:tcMar>
                  <w:vAlign w:val="center"/>
                </w:tcPr>
                <w:p w14:paraId="16ABB9AD">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80</w:t>
                  </w:r>
                </w:p>
              </w:tc>
              <w:tc>
                <w:tcPr>
                  <w:tcW w:w="590" w:type="pct"/>
                  <w:vMerge w:val="continue"/>
                  <w:tcMar>
                    <w:top w:w="15" w:type="dxa"/>
                    <w:left w:w="15" w:type="dxa"/>
                    <w:right w:w="15" w:type="dxa"/>
                  </w:tcMar>
                  <w:vAlign w:val="center"/>
                </w:tcPr>
                <w:p w14:paraId="3375F6CA">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590" w:type="pct"/>
                  <w:vMerge w:val="continue"/>
                  <w:tcMar>
                    <w:top w:w="15" w:type="dxa"/>
                    <w:left w:w="15" w:type="dxa"/>
                    <w:right w:w="15" w:type="dxa"/>
                  </w:tcMar>
                  <w:vAlign w:val="center"/>
                </w:tcPr>
                <w:p w14:paraId="0AE31ED4">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r>
            <w:tr w14:paraId="49C134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6909EC29">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492" w:type="pct"/>
                  <w:vMerge w:val="continue"/>
                  <w:tcMar>
                    <w:top w:w="15" w:type="dxa"/>
                    <w:left w:w="15" w:type="dxa"/>
                    <w:right w:w="15" w:type="dxa"/>
                  </w:tcMar>
                  <w:vAlign w:val="center"/>
                </w:tcPr>
                <w:p w14:paraId="67282A78">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73" w:type="pct"/>
                  <w:vMerge w:val="continue"/>
                  <w:tcMar>
                    <w:top w:w="15" w:type="dxa"/>
                    <w:left w:w="15" w:type="dxa"/>
                    <w:right w:w="15" w:type="dxa"/>
                  </w:tcMar>
                  <w:vAlign w:val="center"/>
                </w:tcPr>
                <w:p w14:paraId="4C63071D">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94" w:type="pct"/>
                  <w:vMerge w:val="continue"/>
                  <w:tcMar>
                    <w:top w:w="15" w:type="dxa"/>
                    <w:left w:w="15" w:type="dxa"/>
                    <w:right w:w="15" w:type="dxa"/>
                  </w:tcMar>
                  <w:vAlign w:val="center"/>
                </w:tcPr>
                <w:p w14:paraId="0B4E0C38">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495" w:type="pct"/>
                  <w:shd w:val="clear" w:color="auto" w:fill="auto"/>
                  <w:tcMar>
                    <w:top w:w="15" w:type="dxa"/>
                    <w:left w:w="15" w:type="dxa"/>
                    <w:right w:w="15" w:type="dxa"/>
                  </w:tcMar>
                  <w:vAlign w:val="center"/>
                </w:tcPr>
                <w:p w14:paraId="21591015">
                  <w:pPr>
                    <w:pStyle w:val="4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pacing w:val="-6"/>
                      <w:kern w:val="2"/>
                      <w:sz w:val="21"/>
                      <w:szCs w:val="21"/>
                      <w:lang w:val="en-US" w:eastAsia="zh-CN" w:bidi="ar-SA"/>
                    </w:rPr>
                  </w:pPr>
                  <w:r>
                    <w:rPr>
                      <w:rFonts w:hint="eastAsia"/>
                      <w:color w:val="auto"/>
                      <w:spacing w:val="-6"/>
                      <w:sz w:val="21"/>
                      <w:szCs w:val="21"/>
                      <w:lang w:val="en-US" w:eastAsia="zh-CN"/>
                    </w:rPr>
                    <w:t>15970</w:t>
                  </w:r>
                </w:p>
              </w:tc>
              <w:tc>
                <w:tcPr>
                  <w:tcW w:w="353" w:type="pct"/>
                  <w:tcMar>
                    <w:top w:w="15" w:type="dxa"/>
                    <w:left w:w="15" w:type="dxa"/>
                    <w:right w:w="15" w:type="dxa"/>
                  </w:tcMar>
                  <w:vAlign w:val="center"/>
                </w:tcPr>
                <w:p w14:paraId="102BAB79">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1.230</w:t>
                  </w:r>
                </w:p>
              </w:tc>
              <w:tc>
                <w:tcPr>
                  <w:tcW w:w="557" w:type="pct"/>
                  <w:tcMar>
                    <w:top w:w="15" w:type="dxa"/>
                    <w:left w:w="15" w:type="dxa"/>
                    <w:right w:w="15" w:type="dxa"/>
                  </w:tcMar>
                  <w:vAlign w:val="center"/>
                </w:tcPr>
                <w:p w14:paraId="63FEAB85">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77</w:t>
                  </w:r>
                </w:p>
              </w:tc>
              <w:tc>
                <w:tcPr>
                  <w:tcW w:w="590" w:type="pct"/>
                  <w:tcMar>
                    <w:top w:w="15" w:type="dxa"/>
                    <w:left w:w="15" w:type="dxa"/>
                    <w:right w:w="15" w:type="dxa"/>
                  </w:tcMar>
                  <w:vAlign w:val="center"/>
                </w:tcPr>
                <w:p w14:paraId="0B4E3C26">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75</w:t>
                  </w:r>
                </w:p>
              </w:tc>
              <w:tc>
                <w:tcPr>
                  <w:tcW w:w="590" w:type="pct"/>
                  <w:vMerge w:val="continue"/>
                  <w:tcMar>
                    <w:top w:w="15" w:type="dxa"/>
                    <w:left w:w="15" w:type="dxa"/>
                    <w:right w:w="15" w:type="dxa"/>
                  </w:tcMar>
                  <w:vAlign w:val="center"/>
                </w:tcPr>
                <w:p w14:paraId="2F721FCA">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590" w:type="pct"/>
                  <w:vMerge w:val="continue"/>
                  <w:tcMar>
                    <w:top w:w="15" w:type="dxa"/>
                    <w:left w:w="15" w:type="dxa"/>
                    <w:right w:w="15" w:type="dxa"/>
                  </w:tcMar>
                  <w:vAlign w:val="center"/>
                </w:tcPr>
                <w:p w14:paraId="7E23329D">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r>
            <w:tr w14:paraId="3ACF31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5F2CF371">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492" w:type="pct"/>
                  <w:vMerge w:val="continue"/>
                  <w:tcMar>
                    <w:top w:w="15" w:type="dxa"/>
                    <w:left w:w="15" w:type="dxa"/>
                    <w:right w:w="15" w:type="dxa"/>
                  </w:tcMar>
                  <w:vAlign w:val="center"/>
                </w:tcPr>
                <w:p w14:paraId="7587DA3D">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73" w:type="pct"/>
                  <w:vMerge w:val="continue"/>
                  <w:tcMar>
                    <w:top w:w="15" w:type="dxa"/>
                    <w:left w:w="15" w:type="dxa"/>
                    <w:right w:w="15" w:type="dxa"/>
                  </w:tcMar>
                  <w:vAlign w:val="center"/>
                </w:tcPr>
                <w:p w14:paraId="713C6F7F">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94" w:type="pct"/>
                  <w:vMerge w:val="restart"/>
                  <w:tcMar>
                    <w:top w:w="15" w:type="dxa"/>
                    <w:left w:w="15" w:type="dxa"/>
                    <w:right w:w="15" w:type="dxa"/>
                  </w:tcMar>
                  <w:vAlign w:val="center"/>
                </w:tcPr>
                <w:p w14:paraId="7B48D731">
                  <w:pPr>
                    <w:pStyle w:val="41"/>
                    <w:keepNext w:val="0"/>
                    <w:keepLines w:val="0"/>
                    <w:suppressLineNumbers w:val="0"/>
                    <w:spacing w:before="0" w:beforeAutospacing="0" w:after="0" w:afterAutospacing="0"/>
                    <w:ind w:left="-63" w:leftChars="-30" w:right="-63" w:rightChars="-30"/>
                    <w:jc w:val="center"/>
                    <w:rPr>
                      <w:rFonts w:hint="eastAsia" w:eastAsia="宋体"/>
                      <w:color w:val="auto"/>
                      <w:spacing w:val="-6"/>
                      <w:sz w:val="21"/>
                      <w:szCs w:val="21"/>
                      <w:lang w:val="en-US" w:eastAsia="zh-CN"/>
                    </w:rPr>
                  </w:pPr>
                  <w:r>
                    <w:rPr>
                      <w:rFonts w:hint="eastAsia"/>
                      <w:color w:val="auto"/>
                      <w:spacing w:val="-6"/>
                      <w:sz w:val="21"/>
                      <w:szCs w:val="21"/>
                      <w:lang w:val="en-US" w:eastAsia="zh-CN"/>
                    </w:rPr>
                    <w:t>二氧化硫</w:t>
                  </w:r>
                </w:p>
              </w:tc>
              <w:tc>
                <w:tcPr>
                  <w:tcW w:w="495" w:type="pct"/>
                  <w:shd w:val="clear" w:color="auto" w:fill="auto"/>
                  <w:tcMar>
                    <w:top w:w="15" w:type="dxa"/>
                    <w:left w:w="15" w:type="dxa"/>
                    <w:right w:w="15" w:type="dxa"/>
                  </w:tcMar>
                  <w:vAlign w:val="center"/>
                </w:tcPr>
                <w:p w14:paraId="64CA4290">
                  <w:pPr>
                    <w:pStyle w:val="4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pacing w:val="-6"/>
                      <w:kern w:val="2"/>
                      <w:sz w:val="21"/>
                      <w:szCs w:val="21"/>
                      <w:lang w:val="en-US" w:eastAsia="zh-CN" w:bidi="ar-SA"/>
                    </w:rPr>
                  </w:pPr>
                  <w:r>
                    <w:rPr>
                      <w:rFonts w:hint="eastAsia"/>
                      <w:color w:val="auto"/>
                      <w:spacing w:val="-6"/>
                      <w:sz w:val="21"/>
                      <w:szCs w:val="21"/>
                      <w:lang w:val="en-US" w:eastAsia="zh-CN"/>
                    </w:rPr>
                    <w:t>15369</w:t>
                  </w:r>
                </w:p>
              </w:tc>
              <w:tc>
                <w:tcPr>
                  <w:tcW w:w="353" w:type="pct"/>
                  <w:tcMar>
                    <w:top w:w="15" w:type="dxa"/>
                    <w:left w:w="15" w:type="dxa"/>
                    <w:right w:w="15" w:type="dxa"/>
                  </w:tcMar>
                  <w:vAlign w:val="center"/>
                </w:tcPr>
                <w:p w14:paraId="0DFABF9E">
                  <w:pPr>
                    <w:pStyle w:val="41"/>
                    <w:keepNext w:val="0"/>
                    <w:keepLines w:val="0"/>
                    <w:suppressLineNumbers w:val="0"/>
                    <w:spacing w:before="0" w:beforeAutospacing="0" w:after="0" w:afterAutospacing="0"/>
                    <w:ind w:left="-63" w:leftChars="-30" w:right="-63" w:rightChars="-30"/>
                    <w:jc w:val="center"/>
                    <w:rPr>
                      <w:rFonts w:hint="default" w:eastAsia="宋体"/>
                      <w:color w:val="auto"/>
                      <w:spacing w:val="-6"/>
                      <w:sz w:val="21"/>
                      <w:szCs w:val="21"/>
                      <w:lang w:val="en-US" w:eastAsia="zh-CN"/>
                    </w:rPr>
                  </w:pPr>
                  <w:r>
                    <w:rPr>
                      <w:rFonts w:hint="eastAsia"/>
                      <w:color w:val="auto"/>
                      <w:spacing w:val="-6"/>
                      <w:sz w:val="21"/>
                      <w:szCs w:val="21"/>
                      <w:lang w:val="en-US" w:eastAsia="zh-CN"/>
                    </w:rPr>
                    <w:t>0.108</w:t>
                  </w:r>
                </w:p>
              </w:tc>
              <w:tc>
                <w:tcPr>
                  <w:tcW w:w="557" w:type="pct"/>
                  <w:tcMar>
                    <w:top w:w="15" w:type="dxa"/>
                    <w:left w:w="15" w:type="dxa"/>
                    <w:right w:w="15" w:type="dxa"/>
                  </w:tcMar>
                  <w:vAlign w:val="center"/>
                </w:tcPr>
                <w:p w14:paraId="422D2CCB">
                  <w:pPr>
                    <w:pStyle w:val="41"/>
                    <w:keepNext w:val="0"/>
                    <w:keepLines w:val="0"/>
                    <w:suppressLineNumbers w:val="0"/>
                    <w:spacing w:before="0" w:beforeAutospacing="0" w:after="0" w:afterAutospacing="0"/>
                    <w:ind w:left="-63" w:leftChars="-30" w:right="-63" w:rightChars="-30"/>
                    <w:jc w:val="center"/>
                    <w:rPr>
                      <w:rFonts w:hint="default" w:eastAsia="宋体"/>
                      <w:color w:val="auto"/>
                      <w:spacing w:val="-6"/>
                      <w:sz w:val="21"/>
                      <w:szCs w:val="21"/>
                      <w:lang w:val="en-US" w:eastAsia="zh-CN"/>
                    </w:rPr>
                  </w:pPr>
                  <w:r>
                    <w:rPr>
                      <w:rFonts w:hint="eastAsia"/>
                      <w:color w:val="auto"/>
                      <w:spacing w:val="-6"/>
                      <w:sz w:val="21"/>
                      <w:szCs w:val="21"/>
                      <w:lang w:val="en-US" w:eastAsia="zh-CN"/>
                    </w:rPr>
                    <w:t>7</w:t>
                  </w:r>
                </w:p>
              </w:tc>
              <w:tc>
                <w:tcPr>
                  <w:tcW w:w="590" w:type="pct"/>
                  <w:tcMar>
                    <w:top w:w="15" w:type="dxa"/>
                    <w:left w:w="15" w:type="dxa"/>
                    <w:right w:w="15" w:type="dxa"/>
                  </w:tcMar>
                  <w:vAlign w:val="center"/>
                </w:tcPr>
                <w:p w14:paraId="6C18D2FA">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7</w:t>
                  </w:r>
                </w:p>
              </w:tc>
              <w:tc>
                <w:tcPr>
                  <w:tcW w:w="590" w:type="pct"/>
                  <w:vMerge w:val="restart"/>
                  <w:tcMar>
                    <w:top w:w="15" w:type="dxa"/>
                    <w:left w:w="15" w:type="dxa"/>
                    <w:right w:w="15" w:type="dxa"/>
                  </w:tcMar>
                  <w:vAlign w:val="center"/>
                </w:tcPr>
                <w:p w14:paraId="08284271">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11</w:t>
                  </w:r>
                </w:p>
              </w:tc>
              <w:tc>
                <w:tcPr>
                  <w:tcW w:w="590" w:type="pct"/>
                  <w:vMerge w:val="restart"/>
                  <w:tcMar>
                    <w:top w:w="15" w:type="dxa"/>
                    <w:left w:w="15" w:type="dxa"/>
                    <w:right w:w="15" w:type="dxa"/>
                  </w:tcMar>
                  <w:vAlign w:val="center"/>
                </w:tcPr>
                <w:p w14:paraId="5BF7B757">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200</w:t>
                  </w:r>
                </w:p>
              </w:tc>
            </w:tr>
            <w:tr w14:paraId="1ED435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28674BE5">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492" w:type="pct"/>
                  <w:vMerge w:val="continue"/>
                  <w:tcMar>
                    <w:top w:w="15" w:type="dxa"/>
                    <w:left w:w="15" w:type="dxa"/>
                    <w:right w:w="15" w:type="dxa"/>
                  </w:tcMar>
                  <w:vAlign w:val="center"/>
                </w:tcPr>
                <w:p w14:paraId="30D32BF4">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73" w:type="pct"/>
                  <w:vMerge w:val="continue"/>
                  <w:tcMar>
                    <w:top w:w="15" w:type="dxa"/>
                    <w:left w:w="15" w:type="dxa"/>
                    <w:right w:w="15" w:type="dxa"/>
                  </w:tcMar>
                  <w:vAlign w:val="center"/>
                </w:tcPr>
                <w:p w14:paraId="4198B4B7">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94" w:type="pct"/>
                  <w:vMerge w:val="continue"/>
                  <w:tcMar>
                    <w:top w:w="15" w:type="dxa"/>
                    <w:left w:w="15" w:type="dxa"/>
                    <w:right w:w="15" w:type="dxa"/>
                  </w:tcMar>
                  <w:vAlign w:val="center"/>
                </w:tcPr>
                <w:p w14:paraId="0A2C0B4B">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495" w:type="pct"/>
                  <w:shd w:val="clear" w:color="auto" w:fill="auto"/>
                  <w:tcMar>
                    <w:top w:w="15" w:type="dxa"/>
                    <w:left w:w="15" w:type="dxa"/>
                    <w:right w:w="15" w:type="dxa"/>
                  </w:tcMar>
                  <w:vAlign w:val="center"/>
                </w:tcPr>
                <w:p w14:paraId="5F8DAB83">
                  <w:pPr>
                    <w:pStyle w:val="4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pacing w:val="-6"/>
                      <w:kern w:val="2"/>
                      <w:sz w:val="21"/>
                      <w:szCs w:val="21"/>
                      <w:lang w:val="en-US" w:eastAsia="zh-CN" w:bidi="ar-SA"/>
                    </w:rPr>
                  </w:pPr>
                  <w:r>
                    <w:rPr>
                      <w:rFonts w:hint="eastAsia"/>
                      <w:color w:val="auto"/>
                      <w:spacing w:val="-6"/>
                      <w:sz w:val="21"/>
                      <w:szCs w:val="21"/>
                      <w:lang w:val="en-US" w:eastAsia="zh-CN"/>
                    </w:rPr>
                    <w:t>16581</w:t>
                  </w:r>
                </w:p>
              </w:tc>
              <w:tc>
                <w:tcPr>
                  <w:tcW w:w="353" w:type="pct"/>
                  <w:tcMar>
                    <w:top w:w="15" w:type="dxa"/>
                    <w:left w:w="15" w:type="dxa"/>
                    <w:right w:w="15" w:type="dxa"/>
                  </w:tcMar>
                  <w:vAlign w:val="center"/>
                </w:tcPr>
                <w:p w14:paraId="1DF35639">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w:t>
                  </w:r>
                </w:p>
              </w:tc>
              <w:tc>
                <w:tcPr>
                  <w:tcW w:w="557" w:type="pct"/>
                  <w:tcMar>
                    <w:top w:w="15" w:type="dxa"/>
                    <w:left w:w="15" w:type="dxa"/>
                    <w:right w:w="15" w:type="dxa"/>
                  </w:tcMar>
                  <w:vAlign w:val="center"/>
                </w:tcPr>
                <w:p w14:paraId="60541FB1">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ascii="微软雅黑" w:hAnsi="微软雅黑" w:eastAsia="微软雅黑" w:cs="微软雅黑"/>
                      <w:color w:val="auto"/>
                      <w:spacing w:val="-6"/>
                      <w:sz w:val="21"/>
                      <w:szCs w:val="21"/>
                      <w:lang w:val="en-US" w:eastAsia="zh-CN"/>
                    </w:rPr>
                    <w:t>&lt;</w:t>
                  </w:r>
                  <w:r>
                    <w:rPr>
                      <w:rFonts w:hint="eastAsia"/>
                      <w:color w:val="auto"/>
                      <w:spacing w:val="-6"/>
                      <w:sz w:val="21"/>
                      <w:szCs w:val="21"/>
                      <w:lang w:val="en-US" w:eastAsia="zh-CN"/>
                    </w:rPr>
                    <w:t>3</w:t>
                  </w:r>
                </w:p>
              </w:tc>
              <w:tc>
                <w:tcPr>
                  <w:tcW w:w="590" w:type="pct"/>
                  <w:tcMar>
                    <w:top w:w="15" w:type="dxa"/>
                    <w:left w:w="15" w:type="dxa"/>
                    <w:right w:w="15" w:type="dxa"/>
                  </w:tcMar>
                  <w:vAlign w:val="center"/>
                </w:tcPr>
                <w:p w14:paraId="616B7B1F">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r>
                    <w:rPr>
                      <w:rFonts w:hint="eastAsia"/>
                      <w:color w:val="auto"/>
                      <w:spacing w:val="-6"/>
                      <w:sz w:val="21"/>
                      <w:szCs w:val="21"/>
                      <w:lang w:val="en-US" w:eastAsia="zh-CN"/>
                    </w:rPr>
                    <w:t>&lt;3</w:t>
                  </w:r>
                </w:p>
              </w:tc>
              <w:tc>
                <w:tcPr>
                  <w:tcW w:w="590" w:type="pct"/>
                  <w:vMerge w:val="continue"/>
                  <w:tcMar>
                    <w:top w:w="15" w:type="dxa"/>
                    <w:left w:w="15" w:type="dxa"/>
                    <w:right w:w="15" w:type="dxa"/>
                  </w:tcMar>
                  <w:vAlign w:val="center"/>
                </w:tcPr>
                <w:p w14:paraId="325514A5">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590" w:type="pct"/>
                  <w:vMerge w:val="continue"/>
                  <w:tcMar>
                    <w:top w:w="15" w:type="dxa"/>
                    <w:left w:w="15" w:type="dxa"/>
                    <w:right w:w="15" w:type="dxa"/>
                  </w:tcMar>
                  <w:vAlign w:val="center"/>
                </w:tcPr>
                <w:p w14:paraId="6BB95D24">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r>
            <w:tr w14:paraId="10F13C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62" w:type="pct"/>
                  <w:vMerge w:val="continue"/>
                  <w:tcMar>
                    <w:top w:w="15" w:type="dxa"/>
                    <w:left w:w="15" w:type="dxa"/>
                    <w:right w:w="15" w:type="dxa"/>
                  </w:tcMar>
                  <w:vAlign w:val="center"/>
                </w:tcPr>
                <w:p w14:paraId="2E679A06">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492" w:type="pct"/>
                  <w:vMerge w:val="continue"/>
                  <w:tcMar>
                    <w:top w:w="15" w:type="dxa"/>
                    <w:left w:w="15" w:type="dxa"/>
                    <w:right w:w="15" w:type="dxa"/>
                  </w:tcMar>
                  <w:vAlign w:val="center"/>
                </w:tcPr>
                <w:p w14:paraId="2B78440D">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73" w:type="pct"/>
                  <w:vMerge w:val="continue"/>
                  <w:tcMar>
                    <w:top w:w="15" w:type="dxa"/>
                    <w:left w:w="15" w:type="dxa"/>
                    <w:right w:w="15" w:type="dxa"/>
                  </w:tcMar>
                  <w:vAlign w:val="center"/>
                </w:tcPr>
                <w:p w14:paraId="03556C8F">
                  <w:pPr>
                    <w:keepNext w:val="0"/>
                    <w:keepLines w:val="0"/>
                    <w:widowControl/>
                    <w:suppressLineNumbers w:val="0"/>
                    <w:spacing w:before="0" w:beforeAutospacing="0" w:after="0" w:afterAutospacing="0"/>
                    <w:ind w:left="0" w:right="0"/>
                    <w:jc w:val="center"/>
                    <w:textAlignment w:val="center"/>
                    <w:rPr>
                      <w:rFonts w:hint="default"/>
                      <w:spacing w:val="-6"/>
                      <w:szCs w:val="21"/>
                    </w:rPr>
                  </w:pPr>
                </w:p>
              </w:tc>
              <w:tc>
                <w:tcPr>
                  <w:tcW w:w="394" w:type="pct"/>
                  <w:vMerge w:val="continue"/>
                  <w:tcMar>
                    <w:top w:w="15" w:type="dxa"/>
                    <w:left w:w="15" w:type="dxa"/>
                    <w:right w:w="15" w:type="dxa"/>
                  </w:tcMar>
                  <w:vAlign w:val="center"/>
                </w:tcPr>
                <w:p w14:paraId="6D7988DE">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495" w:type="pct"/>
                  <w:shd w:val="clear" w:color="auto" w:fill="auto"/>
                  <w:tcMar>
                    <w:top w:w="15" w:type="dxa"/>
                    <w:left w:w="15" w:type="dxa"/>
                    <w:right w:w="15" w:type="dxa"/>
                  </w:tcMar>
                  <w:vAlign w:val="center"/>
                </w:tcPr>
                <w:p w14:paraId="718512B3">
                  <w:pPr>
                    <w:pStyle w:val="41"/>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pacing w:val="-6"/>
                      <w:kern w:val="2"/>
                      <w:sz w:val="21"/>
                      <w:szCs w:val="21"/>
                      <w:lang w:val="en-US" w:eastAsia="zh-CN" w:bidi="ar-SA"/>
                    </w:rPr>
                  </w:pPr>
                  <w:r>
                    <w:rPr>
                      <w:rFonts w:hint="eastAsia"/>
                      <w:color w:val="auto"/>
                      <w:spacing w:val="-6"/>
                      <w:sz w:val="21"/>
                      <w:szCs w:val="21"/>
                      <w:lang w:val="en-US" w:eastAsia="zh-CN"/>
                    </w:rPr>
                    <w:t>15970</w:t>
                  </w:r>
                </w:p>
              </w:tc>
              <w:tc>
                <w:tcPr>
                  <w:tcW w:w="353" w:type="pct"/>
                  <w:tcMar>
                    <w:top w:w="15" w:type="dxa"/>
                    <w:left w:w="15" w:type="dxa"/>
                    <w:right w:w="15" w:type="dxa"/>
                  </w:tcMar>
                  <w:vAlign w:val="center"/>
                </w:tcPr>
                <w:p w14:paraId="01798A17">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0.383</w:t>
                  </w:r>
                </w:p>
              </w:tc>
              <w:tc>
                <w:tcPr>
                  <w:tcW w:w="557" w:type="pct"/>
                  <w:tcMar>
                    <w:top w:w="15" w:type="dxa"/>
                    <w:left w:w="15" w:type="dxa"/>
                    <w:right w:w="15" w:type="dxa"/>
                  </w:tcMar>
                  <w:vAlign w:val="center"/>
                </w:tcPr>
                <w:p w14:paraId="711A148A">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24</w:t>
                  </w:r>
                </w:p>
              </w:tc>
              <w:tc>
                <w:tcPr>
                  <w:tcW w:w="590" w:type="pct"/>
                  <w:tcMar>
                    <w:top w:w="15" w:type="dxa"/>
                    <w:left w:w="15" w:type="dxa"/>
                    <w:right w:w="15" w:type="dxa"/>
                  </w:tcMar>
                  <w:vAlign w:val="center"/>
                </w:tcPr>
                <w:p w14:paraId="71DF7586">
                  <w:pPr>
                    <w:pStyle w:val="41"/>
                    <w:keepNext w:val="0"/>
                    <w:keepLines w:val="0"/>
                    <w:suppressLineNumbers w:val="0"/>
                    <w:spacing w:before="0" w:beforeAutospacing="0" w:after="0" w:afterAutospacing="0"/>
                    <w:ind w:left="-63" w:leftChars="-30" w:right="-63" w:rightChars="-30"/>
                    <w:jc w:val="center"/>
                    <w:rPr>
                      <w:rFonts w:hint="default"/>
                      <w:color w:val="auto"/>
                      <w:spacing w:val="-6"/>
                      <w:sz w:val="21"/>
                      <w:szCs w:val="21"/>
                      <w:lang w:val="en-US" w:eastAsia="zh-CN"/>
                    </w:rPr>
                  </w:pPr>
                  <w:r>
                    <w:rPr>
                      <w:rFonts w:hint="eastAsia"/>
                      <w:color w:val="auto"/>
                      <w:spacing w:val="-6"/>
                      <w:sz w:val="21"/>
                      <w:szCs w:val="21"/>
                      <w:lang w:val="en-US" w:eastAsia="zh-CN"/>
                    </w:rPr>
                    <w:t>23</w:t>
                  </w:r>
                </w:p>
              </w:tc>
              <w:tc>
                <w:tcPr>
                  <w:tcW w:w="590" w:type="pct"/>
                  <w:vMerge w:val="continue"/>
                  <w:tcMar>
                    <w:top w:w="15" w:type="dxa"/>
                    <w:left w:w="15" w:type="dxa"/>
                    <w:right w:w="15" w:type="dxa"/>
                  </w:tcMar>
                  <w:vAlign w:val="center"/>
                </w:tcPr>
                <w:p w14:paraId="37DD09E0">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c>
                <w:tcPr>
                  <w:tcW w:w="590" w:type="pct"/>
                  <w:vMerge w:val="continue"/>
                  <w:tcMar>
                    <w:top w:w="15" w:type="dxa"/>
                    <w:left w:w="15" w:type="dxa"/>
                    <w:right w:w="15" w:type="dxa"/>
                  </w:tcMar>
                  <w:vAlign w:val="center"/>
                </w:tcPr>
                <w:p w14:paraId="529A71A8">
                  <w:pPr>
                    <w:pStyle w:val="41"/>
                    <w:keepNext w:val="0"/>
                    <w:keepLines w:val="0"/>
                    <w:suppressLineNumbers w:val="0"/>
                    <w:spacing w:before="0" w:beforeAutospacing="0" w:after="0" w:afterAutospacing="0"/>
                    <w:ind w:left="-63" w:leftChars="-30" w:right="-63" w:rightChars="-30"/>
                    <w:jc w:val="center"/>
                    <w:rPr>
                      <w:rFonts w:hint="eastAsia"/>
                      <w:color w:val="auto"/>
                      <w:spacing w:val="-6"/>
                      <w:sz w:val="21"/>
                      <w:szCs w:val="21"/>
                      <w:lang w:val="en-US" w:eastAsia="zh-CN"/>
                    </w:rPr>
                  </w:pPr>
                </w:p>
              </w:tc>
            </w:tr>
          </w:tbl>
          <w:p w14:paraId="1CBE6990">
            <w:pPr>
              <w:pStyle w:val="33"/>
              <w:keepNext w:val="0"/>
              <w:keepLines w:val="0"/>
              <w:pageBreakBefore w:val="0"/>
              <w:widowControl w:val="0"/>
              <w:numPr>
                <w:ilvl w:val="0"/>
                <w:numId w:val="7"/>
              </w:numPr>
              <w:suppressLineNumbers w:val="0"/>
              <w:kinsoku/>
              <w:wordWrap/>
              <w:overflowPunct/>
              <w:topLinePunct w:val="0"/>
              <w:autoSpaceDE/>
              <w:autoSpaceDN/>
              <w:bidi w:val="0"/>
              <w:adjustRightInd/>
              <w:snapToGrid/>
              <w:spacing w:before="157" w:beforeLines="50" w:beforeAutospacing="0" w:after="0" w:afterAutospacing="0"/>
              <w:ind w:right="0" w:firstLineChars="0"/>
              <w:jc w:val="center"/>
              <w:textAlignment w:val="auto"/>
              <w:rPr>
                <w:rFonts w:hint="eastAsia"/>
                <w:b/>
                <w:bCs/>
                <w:color w:val="auto"/>
                <w:sz w:val="24"/>
                <w:szCs w:val="24"/>
                <w:lang w:val="en-US" w:eastAsia="zh-CN"/>
              </w:rPr>
            </w:pPr>
            <w:r>
              <w:rPr>
                <w:rFonts w:hint="eastAsia"/>
                <w:b/>
                <w:bCs/>
                <w:color w:val="auto"/>
                <w:sz w:val="24"/>
                <w:szCs w:val="24"/>
                <w:lang w:val="en-US" w:eastAsia="zh-CN"/>
              </w:rPr>
              <w:t>现有项目油炸废气污染物排放情况表</w:t>
            </w:r>
          </w:p>
          <w:tbl>
            <w:tblPr>
              <w:tblStyle w:val="2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056"/>
              <w:gridCol w:w="835"/>
              <w:gridCol w:w="427"/>
              <w:gridCol w:w="841"/>
              <w:gridCol w:w="1056"/>
              <w:gridCol w:w="1219"/>
              <w:gridCol w:w="1219"/>
              <w:gridCol w:w="1219"/>
            </w:tblGrid>
            <w:tr w14:paraId="3D4CF5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57" w:type="pct"/>
                  <w:vMerge w:val="restart"/>
                  <w:tcBorders>
                    <w:tl2br w:val="nil"/>
                    <w:tr2bl w:val="nil"/>
                  </w:tcBorders>
                  <w:vAlign w:val="center"/>
                </w:tcPr>
                <w:p w14:paraId="0F8E4BC8">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产污工序</w:t>
                  </w:r>
                </w:p>
              </w:tc>
              <w:tc>
                <w:tcPr>
                  <w:tcW w:w="636" w:type="pct"/>
                  <w:vMerge w:val="restart"/>
                  <w:tcBorders>
                    <w:tl2br w:val="nil"/>
                    <w:tr2bl w:val="nil"/>
                  </w:tcBorders>
                  <w:vAlign w:val="center"/>
                </w:tcPr>
                <w:p w14:paraId="0A0AE4E9">
                  <w:pPr>
                    <w:keepNext w:val="0"/>
                    <w:keepLines w:val="0"/>
                    <w:suppressLineNumbers w:val="0"/>
                    <w:spacing w:before="0" w:beforeAutospacing="0" w:after="0" w:afterAutospacing="0"/>
                    <w:ind w:left="0" w:leftChars="0" w:right="0" w:rightChars="0" w:firstLine="0" w:firstLineChars="0"/>
                    <w:jc w:val="center"/>
                    <w:rPr>
                      <w:rFonts w:hint="eastAsia"/>
                      <w:b/>
                      <w:bCs/>
                      <w:sz w:val="21"/>
                      <w:szCs w:val="21"/>
                      <w:vertAlign w:val="baseline"/>
                      <w:lang w:val="en-US" w:eastAsia="zh-CN"/>
                    </w:rPr>
                  </w:pPr>
                  <w:r>
                    <w:rPr>
                      <w:rFonts w:hint="eastAsia"/>
                      <w:b/>
                      <w:bCs/>
                      <w:sz w:val="21"/>
                      <w:szCs w:val="21"/>
                      <w:vertAlign w:val="baseline"/>
                      <w:lang w:val="en-US" w:eastAsia="zh-CN"/>
                    </w:rPr>
                    <w:t>采样</w:t>
                  </w:r>
                </w:p>
                <w:p w14:paraId="40796CE3">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时间</w:t>
                  </w:r>
                </w:p>
              </w:tc>
              <w:tc>
                <w:tcPr>
                  <w:tcW w:w="503" w:type="pct"/>
                  <w:vMerge w:val="restart"/>
                  <w:tcBorders>
                    <w:tl2br w:val="nil"/>
                    <w:tr2bl w:val="nil"/>
                  </w:tcBorders>
                  <w:vAlign w:val="center"/>
                </w:tcPr>
                <w:p w14:paraId="56BD0E85">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污染源</w:t>
                  </w:r>
                </w:p>
              </w:tc>
              <w:tc>
                <w:tcPr>
                  <w:tcW w:w="257" w:type="pct"/>
                  <w:vMerge w:val="restart"/>
                  <w:tcBorders>
                    <w:tl2br w:val="nil"/>
                    <w:tr2bl w:val="nil"/>
                  </w:tcBorders>
                  <w:vAlign w:val="center"/>
                </w:tcPr>
                <w:p w14:paraId="66FE7315">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污染物名称</w:t>
                  </w:r>
                </w:p>
              </w:tc>
              <w:tc>
                <w:tcPr>
                  <w:tcW w:w="570" w:type="pct"/>
                  <w:vMerge w:val="restart"/>
                  <w:tcBorders>
                    <w:tl2br w:val="nil"/>
                    <w:tr2bl w:val="nil"/>
                  </w:tcBorders>
                  <w:vAlign w:val="center"/>
                </w:tcPr>
                <w:p w14:paraId="1AA3CB8E">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折算工作灶头数</w:t>
                  </w:r>
                </w:p>
              </w:tc>
              <w:tc>
                <w:tcPr>
                  <w:tcW w:w="649" w:type="pct"/>
                  <w:vMerge w:val="restart"/>
                  <w:tcBorders>
                    <w:tl2br w:val="nil"/>
                    <w:tr2bl w:val="nil"/>
                  </w:tcBorders>
                  <w:vAlign w:val="center"/>
                </w:tcPr>
                <w:p w14:paraId="5B3C9B83">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标干流量（m</w:t>
                  </w:r>
                  <w:r>
                    <w:rPr>
                      <w:rFonts w:hint="eastAsia"/>
                      <w:b/>
                      <w:bCs/>
                      <w:sz w:val="21"/>
                      <w:szCs w:val="21"/>
                      <w:vertAlign w:val="superscript"/>
                      <w:lang w:val="en-US" w:eastAsia="zh-CN"/>
                    </w:rPr>
                    <w:t>3</w:t>
                  </w:r>
                  <w:r>
                    <w:rPr>
                      <w:rFonts w:hint="eastAsia"/>
                      <w:b/>
                      <w:bCs/>
                      <w:sz w:val="21"/>
                      <w:szCs w:val="21"/>
                      <w:vertAlign w:val="baseline"/>
                      <w:lang w:val="en-US" w:eastAsia="zh-CN"/>
                    </w:rPr>
                    <w:t>/h）</w:t>
                  </w:r>
                </w:p>
              </w:tc>
              <w:tc>
                <w:tcPr>
                  <w:tcW w:w="1445" w:type="pct"/>
                  <w:gridSpan w:val="2"/>
                  <w:tcBorders>
                    <w:tl2br w:val="nil"/>
                    <w:tr2bl w:val="nil"/>
                  </w:tcBorders>
                  <w:vAlign w:val="center"/>
                </w:tcPr>
                <w:p w14:paraId="42417B2A">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监测结果</w:t>
                  </w:r>
                </w:p>
              </w:tc>
              <w:tc>
                <w:tcPr>
                  <w:tcW w:w="680" w:type="pct"/>
                  <w:vMerge w:val="restart"/>
                  <w:tcBorders>
                    <w:tl2br w:val="nil"/>
                    <w:tr2bl w:val="nil"/>
                  </w:tcBorders>
                  <w:vAlign w:val="center"/>
                </w:tcPr>
                <w:p w14:paraId="148F2F0E">
                  <w:pPr>
                    <w:keepNext w:val="0"/>
                    <w:keepLines w:val="0"/>
                    <w:suppressLineNumbers w:val="0"/>
                    <w:spacing w:before="0" w:beforeAutospacing="0" w:after="0" w:afterAutospacing="0"/>
                    <w:ind w:left="0" w:leftChars="0" w:right="0" w:rightChars="0" w:firstLine="0" w:firstLineChars="0"/>
                    <w:jc w:val="center"/>
                    <w:rPr>
                      <w:rFonts w:hint="eastAsia"/>
                      <w:b/>
                      <w:bCs/>
                      <w:sz w:val="21"/>
                      <w:szCs w:val="21"/>
                      <w:vertAlign w:val="baseline"/>
                      <w:lang w:val="en-US" w:eastAsia="zh-CN"/>
                    </w:rPr>
                  </w:pPr>
                  <w:r>
                    <w:rPr>
                      <w:rFonts w:hint="eastAsia"/>
                      <w:b/>
                      <w:bCs/>
                      <w:sz w:val="21"/>
                      <w:szCs w:val="21"/>
                      <w:vertAlign w:val="baseline"/>
                      <w:lang w:val="en-US" w:eastAsia="zh-CN"/>
                    </w:rPr>
                    <w:t>执行限值</w:t>
                  </w:r>
                </w:p>
                <w:p w14:paraId="0A8D9B0C">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（mg/m</w:t>
                  </w:r>
                  <w:r>
                    <w:rPr>
                      <w:rFonts w:hint="eastAsia"/>
                      <w:b/>
                      <w:bCs/>
                      <w:sz w:val="21"/>
                      <w:szCs w:val="21"/>
                      <w:vertAlign w:val="superscript"/>
                      <w:lang w:val="en-US" w:eastAsia="zh-CN"/>
                    </w:rPr>
                    <w:t>3</w:t>
                  </w:r>
                  <w:r>
                    <w:rPr>
                      <w:rFonts w:hint="eastAsia"/>
                      <w:b/>
                      <w:bCs/>
                      <w:sz w:val="21"/>
                      <w:szCs w:val="21"/>
                      <w:vertAlign w:val="baseline"/>
                      <w:lang w:val="en-US" w:eastAsia="zh-CN"/>
                    </w:rPr>
                    <w:t>）</w:t>
                  </w:r>
                </w:p>
              </w:tc>
            </w:tr>
            <w:tr w14:paraId="73B487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57" w:type="pct"/>
                  <w:vMerge w:val="continue"/>
                  <w:tcBorders>
                    <w:tl2br w:val="nil"/>
                    <w:tr2bl w:val="nil"/>
                  </w:tcBorders>
                  <w:vAlign w:val="center"/>
                </w:tcPr>
                <w:p w14:paraId="3211072E">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636" w:type="pct"/>
                  <w:vMerge w:val="continue"/>
                  <w:tcBorders>
                    <w:tl2br w:val="nil"/>
                    <w:tr2bl w:val="nil"/>
                  </w:tcBorders>
                  <w:vAlign w:val="center"/>
                </w:tcPr>
                <w:p w14:paraId="4E6F2736">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503" w:type="pct"/>
                  <w:vMerge w:val="continue"/>
                  <w:tcBorders>
                    <w:tl2br w:val="nil"/>
                    <w:tr2bl w:val="nil"/>
                  </w:tcBorders>
                  <w:vAlign w:val="center"/>
                </w:tcPr>
                <w:p w14:paraId="6688D3E5">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257" w:type="pct"/>
                  <w:vMerge w:val="continue"/>
                  <w:tcBorders>
                    <w:tl2br w:val="nil"/>
                    <w:tr2bl w:val="nil"/>
                  </w:tcBorders>
                  <w:vAlign w:val="center"/>
                </w:tcPr>
                <w:p w14:paraId="3D31B303">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570" w:type="pct"/>
                  <w:vMerge w:val="continue"/>
                  <w:tcBorders>
                    <w:tl2br w:val="nil"/>
                    <w:tr2bl w:val="nil"/>
                  </w:tcBorders>
                  <w:vAlign w:val="center"/>
                </w:tcPr>
                <w:p w14:paraId="4F1F21C7">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649" w:type="pct"/>
                  <w:vMerge w:val="continue"/>
                  <w:tcBorders>
                    <w:tl2br w:val="nil"/>
                    <w:tr2bl w:val="nil"/>
                  </w:tcBorders>
                  <w:vAlign w:val="center"/>
                </w:tcPr>
                <w:p w14:paraId="2BAFE866">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747" w:type="pct"/>
                  <w:tcBorders>
                    <w:tl2br w:val="nil"/>
                    <w:tr2bl w:val="nil"/>
                  </w:tcBorders>
                  <w:vAlign w:val="center"/>
                </w:tcPr>
                <w:p w14:paraId="1D207294">
                  <w:pPr>
                    <w:keepNext w:val="0"/>
                    <w:keepLines w:val="0"/>
                    <w:suppressLineNumbers w:val="0"/>
                    <w:spacing w:before="0" w:beforeAutospacing="0" w:after="0" w:afterAutospacing="0"/>
                    <w:ind w:left="0" w:leftChars="0" w:right="0" w:rightChars="0" w:firstLine="0" w:firstLineChars="0"/>
                    <w:jc w:val="center"/>
                    <w:rPr>
                      <w:rFonts w:hint="eastAsia"/>
                      <w:b/>
                      <w:bCs/>
                      <w:sz w:val="21"/>
                      <w:szCs w:val="21"/>
                      <w:vertAlign w:val="baseline"/>
                      <w:lang w:val="en-US" w:eastAsia="zh-CN"/>
                    </w:rPr>
                  </w:pPr>
                  <w:r>
                    <w:rPr>
                      <w:rFonts w:hint="eastAsia"/>
                      <w:b/>
                      <w:bCs/>
                      <w:sz w:val="21"/>
                      <w:szCs w:val="21"/>
                      <w:vertAlign w:val="baseline"/>
                      <w:lang w:val="en-US" w:eastAsia="zh-CN"/>
                    </w:rPr>
                    <w:t>实测排放</w:t>
                  </w:r>
                </w:p>
                <w:p w14:paraId="553AC72F">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浓度（mg/m</w:t>
                  </w:r>
                  <w:r>
                    <w:rPr>
                      <w:rFonts w:hint="eastAsia"/>
                      <w:b/>
                      <w:bCs/>
                      <w:sz w:val="21"/>
                      <w:szCs w:val="21"/>
                      <w:vertAlign w:val="superscript"/>
                      <w:lang w:val="en-US" w:eastAsia="zh-CN"/>
                    </w:rPr>
                    <w:t>3</w:t>
                  </w:r>
                  <w:r>
                    <w:rPr>
                      <w:rFonts w:hint="eastAsia"/>
                      <w:b/>
                      <w:bCs/>
                      <w:sz w:val="21"/>
                      <w:szCs w:val="21"/>
                      <w:vertAlign w:val="baseline"/>
                      <w:lang w:val="en-US" w:eastAsia="zh-CN"/>
                    </w:rPr>
                    <w:t>）</w:t>
                  </w:r>
                </w:p>
              </w:tc>
              <w:tc>
                <w:tcPr>
                  <w:tcW w:w="698" w:type="pct"/>
                  <w:tcBorders>
                    <w:tl2br w:val="nil"/>
                    <w:tr2bl w:val="nil"/>
                  </w:tcBorders>
                  <w:vAlign w:val="center"/>
                </w:tcPr>
                <w:p w14:paraId="2D5726FC">
                  <w:pPr>
                    <w:keepNext w:val="0"/>
                    <w:keepLines w:val="0"/>
                    <w:suppressLineNumbers w:val="0"/>
                    <w:spacing w:before="0" w:beforeAutospacing="0" w:after="0" w:afterAutospacing="0"/>
                    <w:ind w:left="0" w:leftChars="0" w:right="0" w:rightChars="0" w:firstLine="0" w:firstLineChars="0"/>
                    <w:jc w:val="center"/>
                    <w:rPr>
                      <w:rFonts w:hint="eastAsia"/>
                      <w:b/>
                      <w:bCs/>
                      <w:sz w:val="21"/>
                      <w:szCs w:val="21"/>
                      <w:vertAlign w:val="baseline"/>
                      <w:lang w:val="en-US" w:eastAsia="zh-CN"/>
                    </w:rPr>
                  </w:pPr>
                  <w:r>
                    <w:rPr>
                      <w:rFonts w:hint="eastAsia"/>
                      <w:b/>
                      <w:bCs/>
                      <w:sz w:val="21"/>
                      <w:szCs w:val="21"/>
                      <w:vertAlign w:val="baseline"/>
                      <w:lang w:val="en-US" w:eastAsia="zh-CN"/>
                    </w:rPr>
                    <w:t>基准风量</w:t>
                  </w:r>
                </w:p>
                <w:p w14:paraId="370311AF">
                  <w:pPr>
                    <w:keepNext w:val="0"/>
                    <w:keepLines w:val="0"/>
                    <w:suppressLineNumbers w:val="0"/>
                    <w:spacing w:before="0" w:beforeAutospacing="0" w:after="0" w:afterAutospacing="0"/>
                    <w:ind w:left="0" w:leftChars="0" w:right="0" w:rightChars="0" w:firstLine="0" w:firstLineChars="0"/>
                    <w:jc w:val="center"/>
                    <w:rPr>
                      <w:rFonts w:hint="default"/>
                      <w:b/>
                      <w:bCs/>
                      <w:sz w:val="21"/>
                      <w:szCs w:val="21"/>
                      <w:vertAlign w:val="baseline"/>
                      <w:lang w:val="en-US" w:eastAsia="zh-CN"/>
                    </w:rPr>
                  </w:pPr>
                  <w:r>
                    <w:rPr>
                      <w:rFonts w:hint="eastAsia"/>
                      <w:b/>
                      <w:bCs/>
                      <w:sz w:val="21"/>
                      <w:szCs w:val="21"/>
                      <w:vertAlign w:val="baseline"/>
                      <w:lang w:val="en-US" w:eastAsia="zh-CN"/>
                    </w:rPr>
                    <w:t>排放浓度（</w:t>
                  </w:r>
                  <w:r>
                    <w:rPr>
                      <w:rFonts w:hint="eastAsia" w:ascii="Times New Roman" w:eastAsia="宋体"/>
                      <w:b/>
                      <w:bCs/>
                      <w:sz w:val="21"/>
                      <w:szCs w:val="21"/>
                      <w:vertAlign w:val="baseline"/>
                      <w:lang w:val="en-US" w:eastAsia="zh-CN"/>
                    </w:rPr>
                    <w:t>mg/m</w:t>
                  </w:r>
                  <w:r>
                    <w:rPr>
                      <w:rFonts w:hint="eastAsia" w:ascii="Times New Roman" w:eastAsia="宋体"/>
                      <w:b/>
                      <w:bCs/>
                      <w:sz w:val="21"/>
                      <w:szCs w:val="21"/>
                      <w:vertAlign w:val="superscript"/>
                      <w:lang w:val="en-US" w:eastAsia="zh-CN"/>
                    </w:rPr>
                    <w:t>3</w:t>
                  </w:r>
                  <w:r>
                    <w:rPr>
                      <w:rFonts w:hint="eastAsia"/>
                      <w:b/>
                      <w:bCs/>
                      <w:sz w:val="21"/>
                      <w:szCs w:val="21"/>
                      <w:vertAlign w:val="baseline"/>
                      <w:lang w:val="en-US" w:eastAsia="zh-CN"/>
                    </w:rPr>
                    <w:t>）</w:t>
                  </w:r>
                </w:p>
              </w:tc>
              <w:tc>
                <w:tcPr>
                  <w:tcW w:w="680" w:type="pct"/>
                  <w:vMerge w:val="continue"/>
                  <w:tcBorders>
                    <w:tl2br w:val="nil"/>
                    <w:tr2bl w:val="nil"/>
                  </w:tcBorders>
                  <w:vAlign w:val="center"/>
                </w:tcPr>
                <w:p w14:paraId="563174B9">
                  <w:pPr>
                    <w:keepNext w:val="0"/>
                    <w:keepLines w:val="0"/>
                    <w:suppressLineNumbers w:val="0"/>
                    <w:spacing w:before="0" w:beforeAutospacing="0" w:after="0" w:afterAutospacing="0"/>
                    <w:ind w:left="0" w:leftChars="0" w:right="0" w:rightChars="0" w:firstLine="0" w:firstLineChars="0"/>
                    <w:jc w:val="center"/>
                    <w:rPr>
                      <w:rFonts w:hint="eastAsia"/>
                      <w:b/>
                      <w:bCs/>
                      <w:sz w:val="21"/>
                      <w:szCs w:val="21"/>
                      <w:vertAlign w:val="baseline"/>
                      <w:lang w:val="en-US" w:eastAsia="zh-CN"/>
                    </w:rPr>
                  </w:pPr>
                </w:p>
              </w:tc>
            </w:tr>
            <w:tr w14:paraId="01F00F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vMerge w:val="restart"/>
                  <w:tcBorders>
                    <w:tl2br w:val="nil"/>
                    <w:tr2bl w:val="nil"/>
                  </w:tcBorders>
                  <w:vAlign w:val="center"/>
                </w:tcPr>
                <w:p w14:paraId="15BF935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油炸废气</w:t>
                  </w:r>
                </w:p>
              </w:tc>
              <w:tc>
                <w:tcPr>
                  <w:tcW w:w="636" w:type="pct"/>
                  <w:vMerge w:val="restart"/>
                  <w:tcBorders>
                    <w:tl2br w:val="nil"/>
                    <w:tr2bl w:val="nil"/>
                  </w:tcBorders>
                  <w:vAlign w:val="center"/>
                </w:tcPr>
                <w:p w14:paraId="728257F7">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2024.8.10</w:t>
                  </w:r>
                </w:p>
              </w:tc>
              <w:tc>
                <w:tcPr>
                  <w:tcW w:w="503" w:type="pct"/>
                  <w:vMerge w:val="restart"/>
                  <w:tcBorders>
                    <w:tl2br w:val="nil"/>
                    <w:tr2bl w:val="nil"/>
                  </w:tcBorders>
                  <w:vAlign w:val="center"/>
                </w:tcPr>
                <w:p w14:paraId="26056150">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DA002</w:t>
                  </w:r>
                </w:p>
              </w:tc>
              <w:tc>
                <w:tcPr>
                  <w:tcW w:w="257" w:type="pct"/>
                  <w:vMerge w:val="restart"/>
                  <w:tcBorders>
                    <w:tl2br w:val="nil"/>
                    <w:tr2bl w:val="nil"/>
                  </w:tcBorders>
                  <w:vAlign w:val="center"/>
                </w:tcPr>
                <w:p w14:paraId="66CD9E73">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油烟</w:t>
                  </w:r>
                </w:p>
              </w:tc>
              <w:tc>
                <w:tcPr>
                  <w:tcW w:w="570" w:type="pct"/>
                  <w:vMerge w:val="restart"/>
                  <w:tcBorders>
                    <w:tl2br w:val="nil"/>
                    <w:tr2bl w:val="nil"/>
                  </w:tcBorders>
                  <w:vAlign w:val="center"/>
                </w:tcPr>
                <w:p w14:paraId="13D2AB09">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16.4</w:t>
                  </w:r>
                </w:p>
              </w:tc>
              <w:tc>
                <w:tcPr>
                  <w:tcW w:w="649" w:type="pct"/>
                  <w:tcBorders>
                    <w:tl2br w:val="nil"/>
                    <w:tr2bl w:val="nil"/>
                  </w:tcBorders>
                  <w:vAlign w:val="center"/>
                </w:tcPr>
                <w:p w14:paraId="1A849936">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15362</w:t>
                  </w:r>
                </w:p>
              </w:tc>
              <w:tc>
                <w:tcPr>
                  <w:tcW w:w="747" w:type="pct"/>
                  <w:tcBorders>
                    <w:tl2br w:val="nil"/>
                    <w:tr2bl w:val="nil"/>
                  </w:tcBorders>
                  <w:vAlign w:val="center"/>
                </w:tcPr>
                <w:p w14:paraId="4853A2E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2.85</w:t>
                  </w:r>
                </w:p>
              </w:tc>
              <w:tc>
                <w:tcPr>
                  <w:tcW w:w="698" w:type="pct"/>
                  <w:tcBorders>
                    <w:tl2br w:val="nil"/>
                    <w:tr2bl w:val="nil"/>
                  </w:tcBorders>
                  <w:vAlign w:val="center"/>
                </w:tcPr>
                <w:p w14:paraId="49D65B9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1.33</w:t>
                  </w:r>
                </w:p>
              </w:tc>
              <w:tc>
                <w:tcPr>
                  <w:tcW w:w="680" w:type="pct"/>
                  <w:vMerge w:val="restart"/>
                  <w:tcBorders>
                    <w:tl2br w:val="nil"/>
                    <w:tr2bl w:val="nil"/>
                  </w:tcBorders>
                  <w:vAlign w:val="center"/>
                </w:tcPr>
                <w:p w14:paraId="390B3912">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2.0</w:t>
                  </w:r>
                </w:p>
              </w:tc>
            </w:tr>
            <w:tr w14:paraId="701151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vMerge w:val="continue"/>
                  <w:tcBorders>
                    <w:tl2br w:val="nil"/>
                    <w:tr2bl w:val="nil"/>
                  </w:tcBorders>
                  <w:vAlign w:val="center"/>
                </w:tcPr>
                <w:p w14:paraId="6E9F5289">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36" w:type="pct"/>
                  <w:vMerge w:val="continue"/>
                  <w:tcBorders>
                    <w:tl2br w:val="nil"/>
                    <w:tr2bl w:val="nil"/>
                  </w:tcBorders>
                  <w:vAlign w:val="center"/>
                </w:tcPr>
                <w:p w14:paraId="699A50EA">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03" w:type="pct"/>
                  <w:vMerge w:val="continue"/>
                  <w:tcBorders>
                    <w:tl2br w:val="nil"/>
                    <w:tr2bl w:val="nil"/>
                  </w:tcBorders>
                  <w:vAlign w:val="center"/>
                </w:tcPr>
                <w:p w14:paraId="3DEE45CB">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257" w:type="pct"/>
                  <w:vMerge w:val="continue"/>
                  <w:tcBorders>
                    <w:tl2br w:val="nil"/>
                    <w:tr2bl w:val="nil"/>
                  </w:tcBorders>
                  <w:vAlign w:val="center"/>
                </w:tcPr>
                <w:p w14:paraId="493DFA75">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70" w:type="pct"/>
                  <w:vMerge w:val="continue"/>
                  <w:tcBorders>
                    <w:tl2br w:val="nil"/>
                    <w:tr2bl w:val="nil"/>
                  </w:tcBorders>
                  <w:vAlign w:val="center"/>
                </w:tcPr>
                <w:p w14:paraId="4CAF50B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49" w:type="pct"/>
                  <w:tcBorders>
                    <w:tl2br w:val="nil"/>
                    <w:tr2bl w:val="nil"/>
                  </w:tcBorders>
                  <w:vAlign w:val="center"/>
                </w:tcPr>
                <w:p w14:paraId="379512C5">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15977</w:t>
                  </w:r>
                </w:p>
              </w:tc>
              <w:tc>
                <w:tcPr>
                  <w:tcW w:w="747" w:type="pct"/>
                  <w:tcBorders>
                    <w:tl2br w:val="nil"/>
                    <w:tr2bl w:val="nil"/>
                  </w:tcBorders>
                  <w:vAlign w:val="center"/>
                </w:tcPr>
                <w:p w14:paraId="1D0E9085">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2.30</w:t>
                  </w:r>
                </w:p>
              </w:tc>
              <w:tc>
                <w:tcPr>
                  <w:tcW w:w="698" w:type="pct"/>
                  <w:tcBorders>
                    <w:tl2br w:val="nil"/>
                    <w:tr2bl w:val="nil"/>
                  </w:tcBorders>
                  <w:vAlign w:val="center"/>
                </w:tcPr>
                <w:p w14:paraId="164B5989">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1.12</w:t>
                  </w:r>
                </w:p>
              </w:tc>
              <w:tc>
                <w:tcPr>
                  <w:tcW w:w="680" w:type="pct"/>
                  <w:vMerge w:val="continue"/>
                  <w:tcBorders>
                    <w:tl2br w:val="nil"/>
                    <w:tr2bl w:val="nil"/>
                  </w:tcBorders>
                  <w:vAlign w:val="center"/>
                </w:tcPr>
                <w:p w14:paraId="36AF49B2">
                  <w:pPr>
                    <w:keepNext w:val="0"/>
                    <w:keepLines w:val="0"/>
                    <w:suppressLineNumbers w:val="0"/>
                    <w:spacing w:before="0" w:beforeAutospacing="0" w:after="0" w:afterAutospacing="0"/>
                    <w:ind w:left="0" w:leftChars="0" w:right="0" w:rightChars="0" w:firstLine="0" w:firstLineChars="0"/>
                    <w:jc w:val="center"/>
                    <w:rPr>
                      <w:rFonts w:hint="eastAsia"/>
                      <w:sz w:val="21"/>
                      <w:szCs w:val="21"/>
                      <w:vertAlign w:val="baseline"/>
                      <w:lang w:val="en-US" w:eastAsia="zh-CN"/>
                    </w:rPr>
                  </w:pPr>
                </w:p>
              </w:tc>
            </w:tr>
            <w:tr w14:paraId="264E0C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vMerge w:val="continue"/>
                  <w:tcBorders>
                    <w:tl2br w:val="nil"/>
                    <w:tr2bl w:val="nil"/>
                  </w:tcBorders>
                  <w:vAlign w:val="center"/>
                </w:tcPr>
                <w:p w14:paraId="5CE0DBD7">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36" w:type="pct"/>
                  <w:vMerge w:val="continue"/>
                  <w:tcBorders>
                    <w:tl2br w:val="nil"/>
                    <w:tr2bl w:val="nil"/>
                  </w:tcBorders>
                  <w:vAlign w:val="center"/>
                </w:tcPr>
                <w:p w14:paraId="064EBDC7">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03" w:type="pct"/>
                  <w:vMerge w:val="continue"/>
                  <w:tcBorders>
                    <w:tl2br w:val="nil"/>
                    <w:tr2bl w:val="nil"/>
                  </w:tcBorders>
                  <w:vAlign w:val="center"/>
                </w:tcPr>
                <w:p w14:paraId="76F22F78">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257" w:type="pct"/>
                  <w:vMerge w:val="continue"/>
                  <w:tcBorders>
                    <w:tl2br w:val="nil"/>
                    <w:tr2bl w:val="nil"/>
                  </w:tcBorders>
                  <w:vAlign w:val="center"/>
                </w:tcPr>
                <w:p w14:paraId="0F2F397B">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70" w:type="pct"/>
                  <w:vMerge w:val="continue"/>
                  <w:tcBorders>
                    <w:tl2br w:val="nil"/>
                    <w:tr2bl w:val="nil"/>
                  </w:tcBorders>
                  <w:vAlign w:val="center"/>
                </w:tcPr>
                <w:p w14:paraId="69C8F4B4">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49" w:type="pct"/>
                  <w:tcBorders>
                    <w:tl2br w:val="nil"/>
                    <w:tr2bl w:val="nil"/>
                  </w:tcBorders>
                  <w:vAlign w:val="center"/>
                </w:tcPr>
                <w:p w14:paraId="3BE2E808">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17285</w:t>
                  </w:r>
                </w:p>
              </w:tc>
              <w:tc>
                <w:tcPr>
                  <w:tcW w:w="747" w:type="pct"/>
                  <w:tcBorders>
                    <w:tl2br w:val="nil"/>
                    <w:tr2bl w:val="nil"/>
                  </w:tcBorders>
                  <w:vAlign w:val="center"/>
                </w:tcPr>
                <w:p w14:paraId="4D884658">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2.05</w:t>
                  </w:r>
                </w:p>
              </w:tc>
              <w:tc>
                <w:tcPr>
                  <w:tcW w:w="698" w:type="pct"/>
                  <w:tcBorders>
                    <w:tl2br w:val="nil"/>
                    <w:tr2bl w:val="nil"/>
                  </w:tcBorders>
                  <w:vAlign w:val="center"/>
                </w:tcPr>
                <w:p w14:paraId="0C904DDD">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1.40</w:t>
                  </w:r>
                </w:p>
              </w:tc>
              <w:tc>
                <w:tcPr>
                  <w:tcW w:w="680" w:type="pct"/>
                  <w:vMerge w:val="continue"/>
                  <w:tcBorders>
                    <w:tl2br w:val="nil"/>
                    <w:tr2bl w:val="nil"/>
                  </w:tcBorders>
                  <w:vAlign w:val="center"/>
                </w:tcPr>
                <w:p w14:paraId="347044A4">
                  <w:pPr>
                    <w:keepNext w:val="0"/>
                    <w:keepLines w:val="0"/>
                    <w:suppressLineNumbers w:val="0"/>
                    <w:spacing w:before="0" w:beforeAutospacing="0" w:after="0" w:afterAutospacing="0"/>
                    <w:ind w:left="0" w:leftChars="0" w:right="0" w:rightChars="0" w:firstLine="0" w:firstLineChars="0"/>
                    <w:jc w:val="center"/>
                    <w:rPr>
                      <w:rFonts w:hint="eastAsia"/>
                      <w:sz w:val="21"/>
                      <w:szCs w:val="21"/>
                      <w:vertAlign w:val="baseline"/>
                      <w:lang w:val="en-US" w:eastAsia="zh-CN"/>
                    </w:rPr>
                  </w:pPr>
                </w:p>
              </w:tc>
            </w:tr>
            <w:tr w14:paraId="10FA40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vMerge w:val="continue"/>
                  <w:tcBorders>
                    <w:tl2br w:val="nil"/>
                    <w:tr2bl w:val="nil"/>
                  </w:tcBorders>
                  <w:vAlign w:val="center"/>
                </w:tcPr>
                <w:p w14:paraId="3FF0E239">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36" w:type="pct"/>
                  <w:vMerge w:val="continue"/>
                  <w:tcBorders>
                    <w:tl2br w:val="nil"/>
                    <w:tr2bl w:val="nil"/>
                  </w:tcBorders>
                  <w:vAlign w:val="center"/>
                </w:tcPr>
                <w:p w14:paraId="4EFE1970">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03" w:type="pct"/>
                  <w:vMerge w:val="continue"/>
                  <w:tcBorders>
                    <w:tl2br w:val="nil"/>
                    <w:tr2bl w:val="nil"/>
                  </w:tcBorders>
                  <w:vAlign w:val="center"/>
                </w:tcPr>
                <w:p w14:paraId="078CAB48">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257" w:type="pct"/>
                  <w:vMerge w:val="continue"/>
                  <w:tcBorders>
                    <w:tl2br w:val="nil"/>
                    <w:tr2bl w:val="nil"/>
                  </w:tcBorders>
                  <w:vAlign w:val="center"/>
                </w:tcPr>
                <w:p w14:paraId="7F7B8D3D">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70" w:type="pct"/>
                  <w:vMerge w:val="continue"/>
                  <w:tcBorders>
                    <w:tl2br w:val="nil"/>
                    <w:tr2bl w:val="nil"/>
                  </w:tcBorders>
                  <w:vAlign w:val="center"/>
                </w:tcPr>
                <w:p w14:paraId="12292A4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49" w:type="pct"/>
                  <w:tcBorders>
                    <w:tl2br w:val="nil"/>
                    <w:tr2bl w:val="nil"/>
                  </w:tcBorders>
                  <w:vAlign w:val="center"/>
                </w:tcPr>
                <w:p w14:paraId="18BD5C8E">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15295</w:t>
                  </w:r>
                </w:p>
              </w:tc>
              <w:tc>
                <w:tcPr>
                  <w:tcW w:w="747" w:type="pct"/>
                  <w:tcBorders>
                    <w:tl2br w:val="nil"/>
                    <w:tr2bl w:val="nil"/>
                  </w:tcBorders>
                  <w:vAlign w:val="center"/>
                </w:tcPr>
                <w:p w14:paraId="5F573AD7">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2.15</w:t>
                  </w:r>
                </w:p>
              </w:tc>
              <w:tc>
                <w:tcPr>
                  <w:tcW w:w="698" w:type="pct"/>
                  <w:tcBorders>
                    <w:tl2br w:val="nil"/>
                    <w:tr2bl w:val="nil"/>
                  </w:tcBorders>
                  <w:vAlign w:val="center"/>
                </w:tcPr>
                <w:p w14:paraId="13E1D504">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1.00</w:t>
                  </w:r>
                </w:p>
              </w:tc>
              <w:tc>
                <w:tcPr>
                  <w:tcW w:w="680" w:type="pct"/>
                  <w:vMerge w:val="continue"/>
                  <w:tcBorders>
                    <w:tl2br w:val="nil"/>
                    <w:tr2bl w:val="nil"/>
                  </w:tcBorders>
                  <w:vAlign w:val="center"/>
                </w:tcPr>
                <w:p w14:paraId="491A43D5">
                  <w:pPr>
                    <w:keepNext w:val="0"/>
                    <w:keepLines w:val="0"/>
                    <w:suppressLineNumbers w:val="0"/>
                    <w:spacing w:before="0" w:beforeAutospacing="0" w:after="0" w:afterAutospacing="0"/>
                    <w:ind w:left="0" w:leftChars="0" w:right="0" w:rightChars="0" w:firstLine="0" w:firstLineChars="0"/>
                    <w:jc w:val="center"/>
                    <w:rPr>
                      <w:rFonts w:hint="eastAsia"/>
                      <w:sz w:val="21"/>
                      <w:szCs w:val="21"/>
                      <w:vertAlign w:val="baseline"/>
                      <w:lang w:val="en-US" w:eastAsia="zh-CN"/>
                    </w:rPr>
                  </w:pPr>
                </w:p>
              </w:tc>
            </w:tr>
            <w:tr w14:paraId="0BD180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57" w:type="pct"/>
                  <w:vMerge w:val="continue"/>
                  <w:tcBorders>
                    <w:tl2br w:val="nil"/>
                    <w:tr2bl w:val="nil"/>
                  </w:tcBorders>
                  <w:vAlign w:val="center"/>
                </w:tcPr>
                <w:p w14:paraId="6946717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36" w:type="pct"/>
                  <w:vMerge w:val="continue"/>
                  <w:tcBorders>
                    <w:tl2br w:val="nil"/>
                    <w:tr2bl w:val="nil"/>
                  </w:tcBorders>
                  <w:vAlign w:val="center"/>
                </w:tcPr>
                <w:p w14:paraId="081A61B8">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03" w:type="pct"/>
                  <w:vMerge w:val="continue"/>
                  <w:tcBorders>
                    <w:tl2br w:val="nil"/>
                    <w:tr2bl w:val="nil"/>
                  </w:tcBorders>
                  <w:vAlign w:val="center"/>
                </w:tcPr>
                <w:p w14:paraId="47CA228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257" w:type="pct"/>
                  <w:vMerge w:val="continue"/>
                  <w:tcBorders>
                    <w:tl2br w:val="nil"/>
                    <w:tr2bl w:val="nil"/>
                  </w:tcBorders>
                  <w:vAlign w:val="center"/>
                </w:tcPr>
                <w:p w14:paraId="531B75DC">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570" w:type="pct"/>
                  <w:vMerge w:val="continue"/>
                  <w:tcBorders>
                    <w:tl2br w:val="nil"/>
                    <w:tr2bl w:val="nil"/>
                  </w:tcBorders>
                  <w:vAlign w:val="center"/>
                </w:tcPr>
                <w:p w14:paraId="1CC13C8F">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p>
              </w:tc>
              <w:tc>
                <w:tcPr>
                  <w:tcW w:w="649" w:type="pct"/>
                  <w:tcBorders>
                    <w:tl2br w:val="nil"/>
                    <w:tr2bl w:val="nil"/>
                  </w:tcBorders>
                  <w:vAlign w:val="center"/>
                </w:tcPr>
                <w:p w14:paraId="77A8EB1E">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15814</w:t>
                  </w:r>
                </w:p>
              </w:tc>
              <w:tc>
                <w:tcPr>
                  <w:tcW w:w="747" w:type="pct"/>
                  <w:tcBorders>
                    <w:tl2br w:val="nil"/>
                    <w:tr2bl w:val="nil"/>
                  </w:tcBorders>
                  <w:vAlign w:val="center"/>
                </w:tcPr>
                <w:p w14:paraId="39714F64">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2.20</w:t>
                  </w:r>
                </w:p>
              </w:tc>
              <w:tc>
                <w:tcPr>
                  <w:tcW w:w="698" w:type="pct"/>
                  <w:tcBorders>
                    <w:tl2br w:val="nil"/>
                    <w:tr2bl w:val="nil"/>
                  </w:tcBorders>
                  <w:vAlign w:val="center"/>
                </w:tcPr>
                <w:p w14:paraId="76F9B115">
                  <w:pPr>
                    <w:keepNext w:val="0"/>
                    <w:keepLines w:val="0"/>
                    <w:suppressLineNumbers w:val="0"/>
                    <w:spacing w:before="0" w:beforeAutospacing="0" w:after="0" w:afterAutospacing="0"/>
                    <w:ind w:left="0" w:leftChars="0" w:right="0" w:rightChars="0" w:firstLine="0" w:firstLineChars="0"/>
                    <w:jc w:val="center"/>
                    <w:rPr>
                      <w:rFonts w:hint="default"/>
                      <w:sz w:val="21"/>
                      <w:szCs w:val="21"/>
                      <w:vertAlign w:val="baseline"/>
                      <w:lang w:val="en-US" w:eastAsia="zh-CN"/>
                    </w:rPr>
                  </w:pPr>
                  <w:r>
                    <w:rPr>
                      <w:rFonts w:hint="eastAsia"/>
                      <w:sz w:val="21"/>
                      <w:szCs w:val="21"/>
                      <w:vertAlign w:val="baseline"/>
                      <w:lang w:val="en-US" w:eastAsia="zh-CN"/>
                    </w:rPr>
                    <w:t>1.06</w:t>
                  </w:r>
                </w:p>
              </w:tc>
              <w:tc>
                <w:tcPr>
                  <w:tcW w:w="680" w:type="pct"/>
                  <w:vMerge w:val="continue"/>
                  <w:tcBorders>
                    <w:tl2br w:val="nil"/>
                    <w:tr2bl w:val="nil"/>
                  </w:tcBorders>
                  <w:vAlign w:val="center"/>
                </w:tcPr>
                <w:p w14:paraId="5E2BE610">
                  <w:pPr>
                    <w:keepNext w:val="0"/>
                    <w:keepLines w:val="0"/>
                    <w:suppressLineNumbers w:val="0"/>
                    <w:spacing w:before="0" w:beforeAutospacing="0" w:after="0" w:afterAutospacing="0"/>
                    <w:ind w:left="0" w:leftChars="0" w:right="0" w:rightChars="0" w:firstLine="0" w:firstLineChars="0"/>
                    <w:jc w:val="center"/>
                    <w:rPr>
                      <w:rFonts w:hint="eastAsia"/>
                      <w:sz w:val="21"/>
                      <w:szCs w:val="21"/>
                      <w:vertAlign w:val="baseline"/>
                      <w:lang w:val="en-US" w:eastAsia="zh-CN"/>
                    </w:rPr>
                  </w:pPr>
                </w:p>
              </w:tc>
            </w:tr>
          </w:tbl>
          <w:p w14:paraId="03A5FAA1">
            <w:pPr>
              <w:pStyle w:val="33"/>
              <w:keepNext w:val="0"/>
              <w:keepLines w:val="0"/>
              <w:pageBreakBefore w:val="0"/>
              <w:widowControl w:val="0"/>
              <w:numPr>
                <w:ilvl w:val="0"/>
                <w:numId w:val="7"/>
              </w:numPr>
              <w:suppressLineNumbers w:val="0"/>
              <w:kinsoku/>
              <w:wordWrap/>
              <w:overflowPunct/>
              <w:topLinePunct w:val="0"/>
              <w:autoSpaceDE/>
              <w:autoSpaceDN/>
              <w:bidi w:val="0"/>
              <w:adjustRightInd/>
              <w:snapToGrid/>
              <w:spacing w:before="157" w:beforeLines="50" w:beforeAutospacing="0" w:after="0" w:afterAutospacing="0"/>
              <w:ind w:right="0" w:firstLineChars="0"/>
              <w:jc w:val="center"/>
              <w:textAlignment w:val="auto"/>
              <w:rPr>
                <w:rFonts w:hint="eastAsia"/>
                <w:sz w:val="24"/>
                <w:lang w:val="en-US" w:eastAsia="zh-CN"/>
              </w:rPr>
            </w:pPr>
            <w:r>
              <w:rPr>
                <w:rFonts w:hint="eastAsia"/>
                <w:b/>
                <w:bCs/>
                <w:sz w:val="24"/>
                <w:szCs w:val="24"/>
                <w:lang w:val="en-US" w:eastAsia="zh-CN"/>
              </w:rPr>
              <w:t>现有项目车间恶臭污染物排放情况表</w:t>
            </w:r>
          </w:p>
          <w:tbl>
            <w:tblPr>
              <w:tblStyle w:val="25"/>
              <w:tblW w:w="0" w:type="auto"/>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1280"/>
              <w:gridCol w:w="1026"/>
              <w:gridCol w:w="1027"/>
              <w:gridCol w:w="864"/>
              <w:gridCol w:w="1069"/>
              <w:gridCol w:w="1013"/>
              <w:gridCol w:w="1219"/>
            </w:tblGrid>
            <w:tr w14:paraId="49D979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802" w:type="dxa"/>
                  <w:vMerge w:val="restart"/>
                  <w:tcBorders>
                    <w:tl2br w:val="nil"/>
                    <w:tr2bl w:val="nil"/>
                  </w:tcBorders>
                  <w:vAlign w:val="center"/>
                </w:tcPr>
                <w:p w14:paraId="39A840F5">
                  <w:pPr>
                    <w:keepNext w:val="0"/>
                    <w:keepLines w:val="0"/>
                    <w:suppressLineNumbers w:val="0"/>
                    <w:spacing w:before="0" w:beforeAutospacing="0" w:after="0" w:afterAutospacing="0"/>
                    <w:ind w:left="0" w:leftChars="0" w:right="0" w:rightChars="0" w:firstLine="0" w:firstLineChars="0"/>
                    <w:jc w:val="center"/>
                    <w:rPr>
                      <w:rFonts w:hint="default"/>
                      <w:b/>
                      <w:bCs/>
                      <w:vertAlign w:val="baseline"/>
                      <w:lang w:val="en-US" w:eastAsia="zh-CN"/>
                    </w:rPr>
                  </w:pPr>
                  <w:r>
                    <w:rPr>
                      <w:rFonts w:hint="eastAsia"/>
                      <w:b/>
                      <w:bCs/>
                      <w:vertAlign w:val="baseline"/>
                      <w:lang w:val="en-US" w:eastAsia="zh-CN"/>
                    </w:rPr>
                    <w:t>产污工序</w:t>
                  </w:r>
                </w:p>
              </w:tc>
              <w:tc>
                <w:tcPr>
                  <w:tcW w:w="1280" w:type="dxa"/>
                  <w:vMerge w:val="restart"/>
                  <w:tcBorders>
                    <w:tl2br w:val="nil"/>
                    <w:tr2bl w:val="nil"/>
                  </w:tcBorders>
                  <w:vAlign w:val="center"/>
                </w:tcPr>
                <w:p w14:paraId="5881D82D">
                  <w:pPr>
                    <w:keepNext w:val="0"/>
                    <w:keepLines w:val="0"/>
                    <w:suppressLineNumbers w:val="0"/>
                    <w:spacing w:before="0" w:beforeAutospacing="0" w:after="0" w:afterAutospacing="0"/>
                    <w:ind w:left="0" w:leftChars="0" w:right="0" w:rightChars="0" w:firstLine="0" w:firstLineChars="0"/>
                    <w:jc w:val="center"/>
                    <w:rPr>
                      <w:rFonts w:hint="default"/>
                      <w:b/>
                      <w:bCs/>
                      <w:vertAlign w:val="baseline"/>
                      <w:lang w:val="en-US" w:eastAsia="zh-CN"/>
                    </w:rPr>
                  </w:pPr>
                  <w:r>
                    <w:rPr>
                      <w:rFonts w:hint="eastAsia"/>
                      <w:b/>
                      <w:bCs/>
                      <w:vertAlign w:val="baseline"/>
                      <w:lang w:val="en-US" w:eastAsia="zh-CN"/>
                    </w:rPr>
                    <w:t>采样时间</w:t>
                  </w:r>
                </w:p>
              </w:tc>
              <w:tc>
                <w:tcPr>
                  <w:tcW w:w="1026" w:type="dxa"/>
                  <w:vMerge w:val="restart"/>
                  <w:tcBorders>
                    <w:tl2br w:val="nil"/>
                    <w:tr2bl w:val="nil"/>
                  </w:tcBorders>
                  <w:vAlign w:val="center"/>
                </w:tcPr>
                <w:p w14:paraId="05EE2BAF">
                  <w:pPr>
                    <w:keepNext w:val="0"/>
                    <w:keepLines w:val="0"/>
                    <w:suppressLineNumbers w:val="0"/>
                    <w:spacing w:before="0" w:beforeAutospacing="0" w:after="0" w:afterAutospacing="0"/>
                    <w:ind w:left="0" w:leftChars="0" w:right="0" w:rightChars="0" w:firstLine="0" w:firstLineChars="0"/>
                    <w:jc w:val="center"/>
                    <w:rPr>
                      <w:rFonts w:hint="default"/>
                      <w:b/>
                      <w:bCs/>
                      <w:vertAlign w:val="baseline"/>
                      <w:lang w:val="en-US" w:eastAsia="zh-CN"/>
                    </w:rPr>
                  </w:pPr>
                  <w:r>
                    <w:rPr>
                      <w:rFonts w:hint="eastAsia"/>
                      <w:b/>
                      <w:bCs/>
                      <w:vertAlign w:val="baseline"/>
                      <w:lang w:val="en-US" w:eastAsia="zh-CN"/>
                    </w:rPr>
                    <w:t>污染源</w:t>
                  </w:r>
                </w:p>
              </w:tc>
              <w:tc>
                <w:tcPr>
                  <w:tcW w:w="1027" w:type="dxa"/>
                  <w:vMerge w:val="restart"/>
                  <w:tcBorders>
                    <w:tl2br w:val="nil"/>
                    <w:tr2bl w:val="nil"/>
                  </w:tcBorders>
                  <w:vAlign w:val="center"/>
                </w:tcPr>
                <w:p w14:paraId="3827002F">
                  <w:pPr>
                    <w:keepNext w:val="0"/>
                    <w:keepLines w:val="0"/>
                    <w:suppressLineNumbers w:val="0"/>
                    <w:spacing w:before="0" w:beforeAutospacing="0" w:after="0" w:afterAutospacing="0"/>
                    <w:ind w:left="0" w:leftChars="0" w:right="0" w:rightChars="0" w:firstLine="0" w:firstLineChars="0"/>
                    <w:jc w:val="center"/>
                    <w:rPr>
                      <w:rFonts w:hint="default"/>
                      <w:b/>
                      <w:bCs/>
                      <w:vertAlign w:val="baseline"/>
                      <w:lang w:val="en-US" w:eastAsia="zh-CN"/>
                    </w:rPr>
                  </w:pPr>
                  <w:r>
                    <w:rPr>
                      <w:rFonts w:hint="eastAsia"/>
                      <w:b/>
                      <w:bCs/>
                      <w:vertAlign w:val="baseline"/>
                      <w:lang w:val="en-US" w:eastAsia="zh-CN"/>
                    </w:rPr>
                    <w:t>污染物名称</w:t>
                  </w:r>
                </w:p>
              </w:tc>
              <w:tc>
                <w:tcPr>
                  <w:tcW w:w="2946" w:type="dxa"/>
                  <w:gridSpan w:val="3"/>
                  <w:tcBorders>
                    <w:tl2br w:val="nil"/>
                    <w:tr2bl w:val="nil"/>
                  </w:tcBorders>
                  <w:vAlign w:val="center"/>
                </w:tcPr>
                <w:p w14:paraId="4F6F41AE">
                  <w:pPr>
                    <w:keepNext w:val="0"/>
                    <w:keepLines w:val="0"/>
                    <w:suppressLineNumbers w:val="0"/>
                    <w:spacing w:before="0" w:beforeAutospacing="0" w:after="0" w:afterAutospacing="0"/>
                    <w:ind w:left="0" w:leftChars="0" w:right="0" w:rightChars="0" w:firstLine="0" w:firstLineChars="0"/>
                    <w:jc w:val="center"/>
                    <w:rPr>
                      <w:rFonts w:hint="default"/>
                      <w:b/>
                      <w:bCs/>
                      <w:vertAlign w:val="baseline"/>
                      <w:lang w:val="en-US" w:eastAsia="zh-CN"/>
                    </w:rPr>
                  </w:pPr>
                  <w:r>
                    <w:rPr>
                      <w:rFonts w:hint="eastAsia"/>
                      <w:b/>
                      <w:bCs/>
                      <w:vertAlign w:val="baseline"/>
                      <w:lang w:val="en-US" w:eastAsia="zh-CN"/>
                    </w:rPr>
                    <w:t>监测结果  单位：mg/m</w:t>
                  </w:r>
                  <w:r>
                    <w:rPr>
                      <w:rFonts w:hint="eastAsia"/>
                      <w:b/>
                      <w:bCs/>
                      <w:vertAlign w:val="superscript"/>
                      <w:lang w:val="en-US" w:eastAsia="zh-CN"/>
                    </w:rPr>
                    <w:t>3</w:t>
                  </w:r>
                </w:p>
              </w:tc>
              <w:tc>
                <w:tcPr>
                  <w:tcW w:w="1219" w:type="dxa"/>
                  <w:vMerge w:val="restart"/>
                  <w:tcBorders>
                    <w:tl2br w:val="nil"/>
                    <w:tr2bl w:val="nil"/>
                  </w:tcBorders>
                  <w:vAlign w:val="center"/>
                </w:tcPr>
                <w:p w14:paraId="0233979C">
                  <w:pPr>
                    <w:keepNext w:val="0"/>
                    <w:keepLines w:val="0"/>
                    <w:suppressLineNumbers w:val="0"/>
                    <w:spacing w:before="0" w:beforeAutospacing="0" w:after="0" w:afterAutospacing="0"/>
                    <w:ind w:left="0" w:leftChars="0" w:right="0" w:rightChars="0" w:firstLine="0" w:firstLineChars="0"/>
                    <w:jc w:val="center"/>
                    <w:rPr>
                      <w:rFonts w:hint="default"/>
                      <w:b/>
                      <w:bCs/>
                      <w:vertAlign w:val="baseline"/>
                      <w:lang w:val="en-US" w:eastAsia="zh-CN"/>
                    </w:rPr>
                  </w:pPr>
                  <w:r>
                    <w:rPr>
                      <w:rFonts w:hint="eastAsia"/>
                      <w:b/>
                      <w:bCs/>
                      <w:vertAlign w:val="baseline"/>
                      <w:lang w:val="en-US" w:eastAsia="zh-CN"/>
                    </w:rPr>
                    <w:t>执行限值</w:t>
                  </w:r>
                </w:p>
                <w:p w14:paraId="21DC5561">
                  <w:pPr>
                    <w:keepNext w:val="0"/>
                    <w:keepLines w:val="0"/>
                    <w:suppressLineNumbers w:val="0"/>
                    <w:spacing w:before="0" w:beforeAutospacing="0" w:after="0" w:afterAutospacing="0"/>
                    <w:ind w:left="0" w:leftChars="0" w:right="0" w:rightChars="0" w:firstLine="0" w:firstLineChars="0"/>
                    <w:jc w:val="center"/>
                    <w:rPr>
                      <w:rFonts w:hint="default"/>
                      <w:b/>
                      <w:bCs/>
                      <w:vertAlign w:val="baseline"/>
                      <w:lang w:val="en-US" w:eastAsia="zh-CN"/>
                    </w:rPr>
                  </w:pPr>
                  <w:r>
                    <w:rPr>
                      <w:rFonts w:hint="eastAsia"/>
                      <w:b/>
                      <w:bCs/>
                      <w:vertAlign w:val="baseline"/>
                      <w:lang w:val="en-US" w:eastAsia="zh-CN"/>
                    </w:rPr>
                    <w:t>（mg/m</w:t>
                  </w:r>
                  <w:r>
                    <w:rPr>
                      <w:rFonts w:hint="eastAsia"/>
                      <w:b/>
                      <w:bCs/>
                      <w:vertAlign w:val="superscript"/>
                      <w:lang w:val="en-US" w:eastAsia="zh-CN"/>
                    </w:rPr>
                    <w:t>3</w:t>
                  </w:r>
                  <w:r>
                    <w:rPr>
                      <w:rFonts w:hint="eastAsia"/>
                      <w:b/>
                      <w:bCs/>
                      <w:vertAlign w:val="baseline"/>
                      <w:lang w:val="en-US" w:eastAsia="zh-CN"/>
                    </w:rPr>
                    <w:t>）</w:t>
                  </w:r>
                </w:p>
              </w:tc>
            </w:tr>
            <w:tr w14:paraId="4E7B05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802" w:type="dxa"/>
                  <w:vMerge w:val="continue"/>
                  <w:tcBorders>
                    <w:tl2br w:val="nil"/>
                    <w:tr2bl w:val="nil"/>
                  </w:tcBorders>
                  <w:vAlign w:val="center"/>
                </w:tcPr>
                <w:p w14:paraId="4710FE13">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1280" w:type="dxa"/>
                  <w:vMerge w:val="continue"/>
                  <w:tcBorders>
                    <w:tl2br w:val="nil"/>
                    <w:tr2bl w:val="nil"/>
                  </w:tcBorders>
                  <w:vAlign w:val="center"/>
                </w:tcPr>
                <w:p w14:paraId="477B3553">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1026" w:type="dxa"/>
                  <w:vMerge w:val="continue"/>
                  <w:tcBorders>
                    <w:tl2br w:val="nil"/>
                    <w:tr2bl w:val="nil"/>
                  </w:tcBorders>
                  <w:vAlign w:val="center"/>
                </w:tcPr>
                <w:p w14:paraId="47F09EB7">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1027" w:type="dxa"/>
                  <w:vMerge w:val="continue"/>
                  <w:tcBorders>
                    <w:tl2br w:val="nil"/>
                    <w:tr2bl w:val="nil"/>
                  </w:tcBorders>
                  <w:vAlign w:val="center"/>
                </w:tcPr>
                <w:p w14:paraId="05C335C6">
                  <w:pPr>
                    <w:keepNext w:val="0"/>
                    <w:keepLines w:val="0"/>
                    <w:suppressLineNumbers w:val="0"/>
                    <w:spacing w:before="0" w:beforeAutospacing="0" w:after="0" w:afterAutospacing="0"/>
                    <w:ind w:left="0" w:leftChars="0" w:right="0" w:rightChars="0" w:firstLine="0" w:firstLineChars="0"/>
                    <w:jc w:val="center"/>
                    <w:rPr>
                      <w:rFonts w:hint="default"/>
                      <w:b/>
                      <w:bCs/>
                    </w:rPr>
                  </w:pPr>
                </w:p>
              </w:tc>
              <w:tc>
                <w:tcPr>
                  <w:tcW w:w="864" w:type="dxa"/>
                  <w:tcBorders>
                    <w:tl2br w:val="nil"/>
                    <w:tr2bl w:val="nil"/>
                  </w:tcBorders>
                  <w:vAlign w:val="center"/>
                </w:tcPr>
                <w:p w14:paraId="72553D53">
                  <w:pPr>
                    <w:keepNext w:val="0"/>
                    <w:keepLines w:val="0"/>
                    <w:suppressLineNumbers w:val="0"/>
                    <w:spacing w:before="0" w:beforeAutospacing="0" w:after="0" w:afterAutospacing="0"/>
                    <w:ind w:left="0" w:leftChars="0" w:right="0" w:rightChars="0" w:firstLine="0" w:firstLineChars="0"/>
                    <w:jc w:val="center"/>
                    <w:rPr>
                      <w:rFonts w:hint="eastAsia" w:eastAsia="宋体"/>
                      <w:b/>
                      <w:bCs/>
                      <w:lang w:val="en-US" w:eastAsia="zh-CN"/>
                    </w:rPr>
                  </w:pPr>
                  <w:r>
                    <w:rPr>
                      <w:rFonts w:hint="eastAsia"/>
                      <w:b/>
                      <w:bCs/>
                      <w:lang w:val="en-US" w:eastAsia="zh-CN"/>
                    </w:rPr>
                    <w:t>上风向</w:t>
                  </w:r>
                </w:p>
              </w:tc>
              <w:tc>
                <w:tcPr>
                  <w:tcW w:w="1069" w:type="dxa"/>
                  <w:tcBorders>
                    <w:tl2br w:val="nil"/>
                    <w:tr2bl w:val="nil"/>
                  </w:tcBorders>
                  <w:vAlign w:val="center"/>
                </w:tcPr>
                <w:p w14:paraId="030B2035">
                  <w:pPr>
                    <w:keepNext w:val="0"/>
                    <w:keepLines w:val="0"/>
                    <w:suppressLineNumbers w:val="0"/>
                    <w:spacing w:before="0" w:beforeAutospacing="0" w:after="0" w:afterAutospacing="0"/>
                    <w:ind w:left="0" w:leftChars="0" w:right="0" w:rightChars="0" w:firstLine="0" w:firstLineChars="0"/>
                    <w:jc w:val="center"/>
                    <w:rPr>
                      <w:rFonts w:hint="default" w:eastAsia="宋体"/>
                      <w:b/>
                      <w:bCs/>
                      <w:lang w:val="en-US" w:eastAsia="zh-CN"/>
                    </w:rPr>
                  </w:pPr>
                  <w:r>
                    <w:rPr>
                      <w:rFonts w:hint="eastAsia"/>
                      <w:b/>
                      <w:bCs/>
                      <w:lang w:val="en-US" w:eastAsia="zh-CN"/>
                    </w:rPr>
                    <w:t>下风向1</w:t>
                  </w:r>
                </w:p>
              </w:tc>
              <w:tc>
                <w:tcPr>
                  <w:tcW w:w="1013" w:type="dxa"/>
                  <w:tcBorders>
                    <w:tl2br w:val="nil"/>
                    <w:tr2bl w:val="nil"/>
                  </w:tcBorders>
                  <w:vAlign w:val="center"/>
                </w:tcPr>
                <w:p w14:paraId="29DC0FCC">
                  <w:pPr>
                    <w:keepNext w:val="0"/>
                    <w:keepLines w:val="0"/>
                    <w:suppressLineNumbers w:val="0"/>
                    <w:spacing w:before="0" w:beforeAutospacing="0" w:after="0" w:afterAutospacing="0"/>
                    <w:ind w:left="0" w:leftChars="0" w:right="0" w:rightChars="0" w:firstLine="0" w:firstLineChars="0"/>
                    <w:jc w:val="center"/>
                    <w:rPr>
                      <w:rFonts w:hint="default" w:eastAsia="宋体"/>
                      <w:b/>
                      <w:bCs/>
                      <w:lang w:val="en-US" w:eastAsia="zh-CN"/>
                    </w:rPr>
                  </w:pPr>
                  <w:r>
                    <w:rPr>
                      <w:rFonts w:hint="eastAsia"/>
                      <w:b/>
                      <w:bCs/>
                      <w:lang w:val="en-US" w:eastAsia="zh-CN"/>
                    </w:rPr>
                    <w:t>下风向2</w:t>
                  </w:r>
                </w:p>
              </w:tc>
              <w:tc>
                <w:tcPr>
                  <w:tcW w:w="1219" w:type="dxa"/>
                  <w:vMerge w:val="continue"/>
                  <w:tcBorders>
                    <w:tl2br w:val="nil"/>
                    <w:tr2bl w:val="nil"/>
                  </w:tcBorders>
                  <w:vAlign w:val="center"/>
                </w:tcPr>
                <w:p w14:paraId="3237007B">
                  <w:pPr>
                    <w:keepNext w:val="0"/>
                    <w:keepLines w:val="0"/>
                    <w:suppressLineNumbers w:val="0"/>
                    <w:spacing w:before="0" w:beforeAutospacing="0" w:after="0" w:afterAutospacing="0"/>
                    <w:ind w:left="0" w:leftChars="0" w:right="0" w:rightChars="0" w:firstLine="0" w:firstLineChars="0"/>
                    <w:jc w:val="center"/>
                    <w:rPr>
                      <w:rFonts w:hint="eastAsia"/>
                      <w:b/>
                      <w:bCs/>
                      <w:lang w:val="en-US" w:eastAsia="zh-CN"/>
                    </w:rPr>
                  </w:pPr>
                </w:p>
              </w:tc>
            </w:tr>
            <w:tr w14:paraId="335DE9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802" w:type="dxa"/>
                  <w:vMerge w:val="restart"/>
                  <w:tcBorders>
                    <w:tl2br w:val="nil"/>
                    <w:tr2bl w:val="nil"/>
                  </w:tcBorders>
                  <w:vAlign w:val="center"/>
                </w:tcPr>
                <w:p w14:paraId="4B7B73C6">
                  <w:pPr>
                    <w:keepNext w:val="0"/>
                    <w:keepLines w:val="0"/>
                    <w:suppressLineNumbers w:val="0"/>
                    <w:spacing w:before="0" w:beforeAutospacing="0" w:after="0" w:afterAutospacing="0"/>
                    <w:ind w:left="0" w:leftChars="0" w:right="0" w:rightChars="0" w:firstLine="0" w:firstLineChars="0"/>
                    <w:jc w:val="center"/>
                    <w:rPr>
                      <w:rFonts w:hint="default" w:eastAsia="宋体"/>
                      <w:b w:val="0"/>
                      <w:bCs w:val="0"/>
                      <w:lang w:val="en-US" w:eastAsia="zh-CN"/>
                    </w:rPr>
                  </w:pPr>
                  <w:r>
                    <w:rPr>
                      <w:rFonts w:hint="eastAsia"/>
                      <w:b w:val="0"/>
                      <w:bCs w:val="0"/>
                      <w:lang w:val="en-US" w:eastAsia="zh-CN"/>
                    </w:rPr>
                    <w:t>车间恶臭</w:t>
                  </w:r>
                </w:p>
              </w:tc>
              <w:tc>
                <w:tcPr>
                  <w:tcW w:w="1280" w:type="dxa"/>
                  <w:vMerge w:val="restart"/>
                  <w:tcBorders>
                    <w:tl2br w:val="nil"/>
                    <w:tr2bl w:val="nil"/>
                  </w:tcBorders>
                  <w:vAlign w:val="center"/>
                </w:tcPr>
                <w:p w14:paraId="79F8EE71">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2024.8.10</w:t>
                  </w:r>
                </w:p>
              </w:tc>
              <w:tc>
                <w:tcPr>
                  <w:tcW w:w="1026" w:type="dxa"/>
                  <w:vMerge w:val="restart"/>
                  <w:tcBorders>
                    <w:tl2br w:val="nil"/>
                    <w:tr2bl w:val="nil"/>
                  </w:tcBorders>
                  <w:vAlign w:val="center"/>
                </w:tcPr>
                <w:p w14:paraId="08884D9D">
                  <w:pPr>
                    <w:keepNext w:val="0"/>
                    <w:keepLines w:val="0"/>
                    <w:suppressLineNumbers w:val="0"/>
                    <w:spacing w:before="0" w:beforeAutospacing="0" w:after="0" w:afterAutospacing="0"/>
                    <w:ind w:left="0" w:leftChars="0" w:right="0" w:rightChars="0" w:firstLine="0" w:firstLineChars="0"/>
                    <w:jc w:val="center"/>
                    <w:rPr>
                      <w:rFonts w:hint="default" w:eastAsia="宋体"/>
                      <w:b w:val="0"/>
                      <w:bCs w:val="0"/>
                      <w:lang w:val="en-US" w:eastAsia="zh-CN"/>
                    </w:rPr>
                  </w:pPr>
                  <w:r>
                    <w:rPr>
                      <w:rFonts w:hint="eastAsia"/>
                      <w:b w:val="0"/>
                      <w:bCs w:val="0"/>
                      <w:lang w:val="en-US" w:eastAsia="zh-CN"/>
                    </w:rPr>
                    <w:t>厂界无组织</w:t>
                  </w:r>
                </w:p>
              </w:tc>
              <w:tc>
                <w:tcPr>
                  <w:tcW w:w="1027" w:type="dxa"/>
                  <w:tcBorders>
                    <w:tl2br w:val="nil"/>
                    <w:tr2bl w:val="nil"/>
                  </w:tcBorders>
                  <w:vAlign w:val="center"/>
                </w:tcPr>
                <w:p w14:paraId="24A621CB">
                  <w:pPr>
                    <w:keepNext w:val="0"/>
                    <w:keepLines w:val="0"/>
                    <w:suppressLineNumbers w:val="0"/>
                    <w:spacing w:before="0" w:beforeAutospacing="0" w:after="0" w:afterAutospacing="0"/>
                    <w:ind w:left="0" w:leftChars="0" w:right="0" w:rightChars="0" w:firstLine="0" w:firstLineChars="0"/>
                    <w:jc w:val="center"/>
                    <w:rPr>
                      <w:rFonts w:hint="eastAsia" w:eastAsia="宋体"/>
                      <w:b w:val="0"/>
                      <w:bCs w:val="0"/>
                      <w:lang w:val="en-US" w:eastAsia="zh-CN"/>
                    </w:rPr>
                  </w:pPr>
                  <w:r>
                    <w:rPr>
                      <w:rFonts w:hint="eastAsia"/>
                      <w:b w:val="0"/>
                      <w:bCs w:val="0"/>
                      <w:lang w:val="en-US" w:eastAsia="zh-CN"/>
                    </w:rPr>
                    <w:t>氨</w:t>
                  </w:r>
                </w:p>
              </w:tc>
              <w:tc>
                <w:tcPr>
                  <w:tcW w:w="864" w:type="dxa"/>
                  <w:tcBorders>
                    <w:tl2br w:val="nil"/>
                    <w:tr2bl w:val="nil"/>
                  </w:tcBorders>
                  <w:vAlign w:val="center"/>
                </w:tcPr>
                <w:p w14:paraId="42213A63">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0.10</w:t>
                  </w:r>
                </w:p>
              </w:tc>
              <w:tc>
                <w:tcPr>
                  <w:tcW w:w="1069" w:type="dxa"/>
                  <w:tcBorders>
                    <w:tl2br w:val="nil"/>
                    <w:tr2bl w:val="nil"/>
                  </w:tcBorders>
                  <w:vAlign w:val="center"/>
                </w:tcPr>
                <w:p w14:paraId="3B7A8C3F">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0.12</w:t>
                  </w:r>
                </w:p>
              </w:tc>
              <w:tc>
                <w:tcPr>
                  <w:tcW w:w="1013" w:type="dxa"/>
                  <w:tcBorders>
                    <w:tl2br w:val="nil"/>
                    <w:tr2bl w:val="nil"/>
                  </w:tcBorders>
                  <w:vAlign w:val="center"/>
                </w:tcPr>
                <w:p w14:paraId="6AE373C4">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0.14</w:t>
                  </w:r>
                </w:p>
              </w:tc>
              <w:tc>
                <w:tcPr>
                  <w:tcW w:w="1219" w:type="dxa"/>
                  <w:tcBorders>
                    <w:tl2br w:val="nil"/>
                    <w:tr2bl w:val="nil"/>
                  </w:tcBorders>
                  <w:vAlign w:val="center"/>
                </w:tcPr>
                <w:p w14:paraId="07A3AA23">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1.5</w:t>
                  </w:r>
                </w:p>
              </w:tc>
            </w:tr>
            <w:tr w14:paraId="6F4A05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802" w:type="dxa"/>
                  <w:vMerge w:val="continue"/>
                  <w:tcBorders>
                    <w:tl2br w:val="nil"/>
                    <w:tr2bl w:val="nil"/>
                  </w:tcBorders>
                  <w:vAlign w:val="center"/>
                </w:tcPr>
                <w:p w14:paraId="0397D20D">
                  <w:pPr>
                    <w:keepNext w:val="0"/>
                    <w:keepLines w:val="0"/>
                    <w:suppressLineNumbers w:val="0"/>
                    <w:spacing w:before="0" w:beforeAutospacing="0" w:after="0" w:afterAutospacing="0"/>
                    <w:ind w:left="0" w:leftChars="0" w:right="0" w:rightChars="0" w:firstLine="0" w:firstLineChars="0"/>
                    <w:jc w:val="center"/>
                    <w:rPr>
                      <w:rFonts w:hint="default"/>
                      <w:b w:val="0"/>
                      <w:bCs w:val="0"/>
                    </w:rPr>
                  </w:pPr>
                </w:p>
              </w:tc>
              <w:tc>
                <w:tcPr>
                  <w:tcW w:w="1280" w:type="dxa"/>
                  <w:vMerge w:val="continue"/>
                  <w:tcBorders>
                    <w:tl2br w:val="nil"/>
                    <w:tr2bl w:val="nil"/>
                  </w:tcBorders>
                  <w:vAlign w:val="center"/>
                </w:tcPr>
                <w:p w14:paraId="1D84AEB0">
                  <w:pPr>
                    <w:keepNext w:val="0"/>
                    <w:keepLines w:val="0"/>
                    <w:suppressLineNumbers w:val="0"/>
                    <w:spacing w:before="0" w:beforeAutospacing="0" w:after="0" w:afterAutospacing="0"/>
                    <w:ind w:left="0" w:leftChars="0" w:right="0" w:rightChars="0" w:firstLine="0" w:firstLineChars="0"/>
                    <w:jc w:val="center"/>
                    <w:rPr>
                      <w:rFonts w:hint="default"/>
                      <w:b w:val="0"/>
                      <w:bCs w:val="0"/>
                    </w:rPr>
                  </w:pPr>
                </w:p>
              </w:tc>
              <w:tc>
                <w:tcPr>
                  <w:tcW w:w="1026" w:type="dxa"/>
                  <w:vMerge w:val="continue"/>
                  <w:tcBorders>
                    <w:tl2br w:val="nil"/>
                    <w:tr2bl w:val="nil"/>
                  </w:tcBorders>
                  <w:vAlign w:val="center"/>
                </w:tcPr>
                <w:p w14:paraId="46555AAC">
                  <w:pPr>
                    <w:keepNext w:val="0"/>
                    <w:keepLines w:val="0"/>
                    <w:suppressLineNumbers w:val="0"/>
                    <w:spacing w:before="0" w:beforeAutospacing="0" w:after="0" w:afterAutospacing="0"/>
                    <w:ind w:left="0" w:leftChars="0" w:right="0" w:rightChars="0" w:firstLine="0" w:firstLineChars="0"/>
                    <w:jc w:val="center"/>
                    <w:rPr>
                      <w:rFonts w:hint="eastAsia" w:eastAsia="宋体"/>
                      <w:b w:val="0"/>
                      <w:bCs w:val="0"/>
                      <w:lang w:val="en-US" w:eastAsia="zh-CN"/>
                    </w:rPr>
                  </w:pPr>
                </w:p>
              </w:tc>
              <w:tc>
                <w:tcPr>
                  <w:tcW w:w="1027" w:type="dxa"/>
                  <w:tcBorders>
                    <w:tl2br w:val="nil"/>
                    <w:tr2bl w:val="nil"/>
                  </w:tcBorders>
                  <w:vAlign w:val="center"/>
                </w:tcPr>
                <w:p w14:paraId="44BB4BD7">
                  <w:pPr>
                    <w:keepNext w:val="0"/>
                    <w:keepLines w:val="0"/>
                    <w:suppressLineNumbers w:val="0"/>
                    <w:spacing w:before="0" w:beforeAutospacing="0" w:after="0" w:afterAutospacing="0"/>
                    <w:ind w:left="0" w:leftChars="0" w:right="0" w:rightChars="0" w:firstLine="0" w:firstLineChars="0"/>
                    <w:jc w:val="center"/>
                    <w:rPr>
                      <w:rFonts w:hint="eastAsia" w:eastAsia="宋体"/>
                      <w:b w:val="0"/>
                      <w:bCs w:val="0"/>
                      <w:lang w:val="en-US" w:eastAsia="zh-CN"/>
                    </w:rPr>
                  </w:pPr>
                  <w:r>
                    <w:rPr>
                      <w:rFonts w:hint="eastAsia"/>
                      <w:b w:val="0"/>
                      <w:bCs w:val="0"/>
                      <w:lang w:val="en-US" w:eastAsia="zh-CN"/>
                    </w:rPr>
                    <w:t>硫化氢</w:t>
                  </w:r>
                </w:p>
              </w:tc>
              <w:tc>
                <w:tcPr>
                  <w:tcW w:w="864" w:type="dxa"/>
                  <w:tcBorders>
                    <w:tl2br w:val="nil"/>
                    <w:tr2bl w:val="nil"/>
                  </w:tcBorders>
                  <w:vAlign w:val="center"/>
                </w:tcPr>
                <w:p w14:paraId="0EB22892">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0.001</w:t>
                  </w:r>
                </w:p>
              </w:tc>
              <w:tc>
                <w:tcPr>
                  <w:tcW w:w="1069" w:type="dxa"/>
                  <w:tcBorders>
                    <w:tl2br w:val="nil"/>
                    <w:tr2bl w:val="nil"/>
                  </w:tcBorders>
                  <w:vAlign w:val="center"/>
                </w:tcPr>
                <w:p w14:paraId="7D0E11D3">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0.002</w:t>
                  </w:r>
                </w:p>
              </w:tc>
              <w:tc>
                <w:tcPr>
                  <w:tcW w:w="1013" w:type="dxa"/>
                  <w:tcBorders>
                    <w:tl2br w:val="nil"/>
                    <w:tr2bl w:val="nil"/>
                  </w:tcBorders>
                  <w:vAlign w:val="center"/>
                </w:tcPr>
                <w:p w14:paraId="695B66AE">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0.002</w:t>
                  </w:r>
                </w:p>
              </w:tc>
              <w:tc>
                <w:tcPr>
                  <w:tcW w:w="1219" w:type="dxa"/>
                  <w:tcBorders>
                    <w:tl2br w:val="nil"/>
                    <w:tr2bl w:val="nil"/>
                  </w:tcBorders>
                  <w:vAlign w:val="center"/>
                </w:tcPr>
                <w:p w14:paraId="53BE0998">
                  <w:pPr>
                    <w:keepNext w:val="0"/>
                    <w:keepLines w:val="0"/>
                    <w:suppressLineNumbers w:val="0"/>
                    <w:spacing w:before="0" w:beforeAutospacing="0" w:after="0" w:afterAutospacing="0"/>
                    <w:ind w:left="0" w:leftChars="0" w:right="0" w:rightChars="0" w:firstLine="0" w:firstLineChars="0"/>
                    <w:jc w:val="center"/>
                    <w:rPr>
                      <w:rFonts w:hint="default"/>
                      <w:b w:val="0"/>
                      <w:bCs w:val="0"/>
                      <w:lang w:val="en-US" w:eastAsia="zh-CN"/>
                    </w:rPr>
                  </w:pPr>
                  <w:r>
                    <w:rPr>
                      <w:rFonts w:hint="eastAsia"/>
                      <w:b w:val="0"/>
                      <w:bCs w:val="0"/>
                      <w:lang w:val="en-US" w:eastAsia="zh-CN"/>
                    </w:rPr>
                    <w:t>0.06</w:t>
                  </w:r>
                </w:p>
              </w:tc>
            </w:tr>
          </w:tbl>
          <w:p w14:paraId="382C7993">
            <w:pPr>
              <w:pStyle w:val="11"/>
              <w:keepNext w:val="0"/>
              <w:keepLines w:val="0"/>
              <w:suppressLineNumbers w:val="0"/>
              <w:bidi w:val="0"/>
              <w:spacing w:before="157" w:beforeLines="50" w:beforeAutospacing="0" w:after="0" w:afterAutospacing="0"/>
              <w:ind w:left="0"/>
              <w:rPr>
                <w:rFonts w:hint="default"/>
                <w:lang w:val="en-US" w:eastAsia="zh-CN"/>
              </w:rPr>
            </w:pPr>
            <w:r>
              <w:rPr>
                <w:rFonts w:hint="eastAsia"/>
                <w:lang w:val="en-US" w:eastAsia="zh-CN"/>
              </w:rPr>
              <w:t>根据上述表格可知，湖南童记三利和食品有限公司厂区内现有项目锅炉废气排放能达到《锅炉大气污染物排放标准》（GB13271-2014）表3大气污染物特别排放限值中燃煤锅炉排放限值；油烟废气排放能达到《饮食业油烟排放标准》（GB8483-2001）中表2的限值要求；恶臭排放标准能达到《恶臭污染物排放标准》（GB14554-93）表1中二级新改扩建标准。</w:t>
            </w:r>
          </w:p>
          <w:p w14:paraId="0BB0D357">
            <w:pPr>
              <w:pStyle w:val="41"/>
              <w:keepNext w:val="0"/>
              <w:keepLines w:val="0"/>
              <w:numPr>
                <w:ilvl w:val="1"/>
                <w:numId w:val="16"/>
              </w:numPr>
              <w:suppressLineNumbers w:val="0"/>
              <w:spacing w:before="0" w:beforeLines="-2147483648" w:beforeAutospacing="0" w:after="0" w:afterAutospacing="0" w:line="360" w:lineRule="auto"/>
              <w:ind w:left="840" w:right="0" w:hanging="420" w:firstLineChars="0"/>
              <w:outlineLvl w:val="3"/>
              <w:rPr>
                <w:rFonts w:hint="default"/>
                <w:b w:val="0"/>
                <w:bCs w:val="0"/>
                <w:color w:val="auto"/>
              </w:rPr>
            </w:pPr>
            <w:r>
              <w:rPr>
                <w:rFonts w:hint="default"/>
                <w:b w:val="0"/>
                <w:bCs w:val="0"/>
                <w:color w:val="auto"/>
              </w:rPr>
              <w:t>废水污染源排放情况</w:t>
            </w:r>
          </w:p>
          <w:p w14:paraId="352095CF">
            <w:pPr>
              <w:pStyle w:val="11"/>
              <w:keepNext w:val="0"/>
              <w:keepLines w:val="0"/>
              <w:suppressLineNumbers w:val="0"/>
              <w:bidi w:val="0"/>
              <w:spacing w:before="0" w:beforeAutospacing="0" w:after="0" w:afterAutospacing="0"/>
              <w:ind w:left="0"/>
              <w:rPr>
                <w:rFonts w:hint="default"/>
              </w:rPr>
            </w:pPr>
            <w:r>
              <w:rPr>
                <w:rFonts w:hint="default"/>
                <w:lang w:val="en-US" w:eastAsia="zh-CN"/>
              </w:rPr>
              <w:t>本项目废水排放执行君山区第二污水处理厂前端预处理工程进水水质标准</w:t>
            </w:r>
            <w:r>
              <w:rPr>
                <w:rFonts w:hint="eastAsia"/>
                <w:lang w:val="en-US" w:eastAsia="zh-CN"/>
              </w:rPr>
              <w:t>。</w:t>
            </w:r>
          </w:p>
          <w:p w14:paraId="1C4BD188">
            <w:pPr>
              <w:pStyle w:val="33"/>
              <w:keepNext w:val="0"/>
              <w:keepLines w:val="0"/>
              <w:numPr>
                <w:ilvl w:val="0"/>
                <w:numId w:val="7"/>
              </w:numPr>
              <w:suppressLineNumbers w:val="0"/>
              <w:spacing w:before="0" w:beforeAutospacing="0" w:after="0" w:afterAutospacing="0"/>
              <w:ind w:right="0" w:firstLineChars="0"/>
              <w:jc w:val="center"/>
              <w:rPr>
                <w:rFonts w:hint="default"/>
                <w:b/>
                <w:sz w:val="24"/>
                <w:szCs w:val="24"/>
              </w:rPr>
            </w:pPr>
            <w:r>
              <w:rPr>
                <w:rFonts w:hint="default"/>
                <w:b/>
                <w:sz w:val="24"/>
                <w:szCs w:val="24"/>
              </w:rPr>
              <w:t>现有项目废水污染物排放情况表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26"/>
              <w:gridCol w:w="1463"/>
              <w:gridCol w:w="1463"/>
              <w:gridCol w:w="1523"/>
              <w:gridCol w:w="1524"/>
            </w:tblGrid>
            <w:tr w14:paraId="1494B4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1" w:type="pct"/>
                  <w:vAlign w:val="center"/>
                </w:tcPr>
                <w:p w14:paraId="4F9D63A2">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污染源/产</w:t>
                  </w:r>
                  <w:r>
                    <w:rPr>
                      <w:rFonts w:hint="eastAsia"/>
                      <w:b/>
                      <w:bCs/>
                      <w:szCs w:val="21"/>
                      <w:lang w:val="en-US" w:eastAsia="zh-CN"/>
                    </w:rPr>
                    <w:t>污</w:t>
                  </w:r>
                  <w:r>
                    <w:rPr>
                      <w:rFonts w:hint="default"/>
                      <w:b/>
                      <w:bCs/>
                      <w:szCs w:val="21"/>
                    </w:rPr>
                    <w:t>工序</w:t>
                  </w:r>
                </w:p>
              </w:tc>
              <w:tc>
                <w:tcPr>
                  <w:tcW w:w="881" w:type="pct"/>
                  <w:vAlign w:val="center"/>
                </w:tcPr>
                <w:p w14:paraId="5F8604B1">
                  <w:pPr>
                    <w:keepNext w:val="0"/>
                    <w:keepLines w:val="0"/>
                    <w:suppressLineNumbers w:val="0"/>
                    <w:spacing w:before="0" w:beforeAutospacing="0" w:after="0" w:afterAutospacing="0"/>
                    <w:ind w:left="0" w:right="0"/>
                    <w:jc w:val="center"/>
                    <w:rPr>
                      <w:rFonts w:hint="default" w:eastAsia="宋体"/>
                      <w:b/>
                      <w:bCs/>
                      <w:szCs w:val="21"/>
                      <w:lang w:val="en-US" w:eastAsia="zh-CN"/>
                    </w:rPr>
                  </w:pPr>
                  <w:r>
                    <w:rPr>
                      <w:rFonts w:hint="eastAsia"/>
                      <w:b/>
                      <w:bCs/>
                      <w:szCs w:val="21"/>
                      <w:lang w:val="en-US" w:eastAsia="zh-CN"/>
                    </w:rPr>
                    <w:t>采样时间</w:t>
                  </w:r>
                </w:p>
              </w:tc>
              <w:tc>
                <w:tcPr>
                  <w:tcW w:w="881" w:type="pct"/>
                  <w:vAlign w:val="center"/>
                </w:tcPr>
                <w:p w14:paraId="632A80E4">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污染物</w:t>
                  </w:r>
                </w:p>
              </w:tc>
              <w:tc>
                <w:tcPr>
                  <w:tcW w:w="917" w:type="pct"/>
                  <w:vAlign w:val="center"/>
                </w:tcPr>
                <w:p w14:paraId="6F4FE459">
                  <w:pPr>
                    <w:keepNext w:val="0"/>
                    <w:keepLines w:val="0"/>
                    <w:suppressLineNumbers w:val="0"/>
                    <w:spacing w:before="0" w:beforeAutospacing="0" w:after="0" w:afterAutospacing="0"/>
                    <w:ind w:left="0" w:right="0"/>
                    <w:jc w:val="center"/>
                    <w:rPr>
                      <w:rFonts w:hint="default" w:eastAsia="宋体"/>
                      <w:b/>
                      <w:bCs/>
                      <w:szCs w:val="21"/>
                      <w:lang w:val="en-US" w:eastAsia="zh-CN"/>
                    </w:rPr>
                  </w:pPr>
                  <w:r>
                    <w:rPr>
                      <w:rFonts w:hint="eastAsia"/>
                      <w:b/>
                      <w:bCs/>
                      <w:szCs w:val="21"/>
                      <w:lang w:val="en-US" w:eastAsia="zh-CN"/>
                    </w:rPr>
                    <w:t>监测结果（mg/L）</w:t>
                  </w:r>
                </w:p>
              </w:tc>
              <w:tc>
                <w:tcPr>
                  <w:tcW w:w="918" w:type="pct"/>
                  <w:vAlign w:val="center"/>
                </w:tcPr>
                <w:p w14:paraId="5285850E">
                  <w:pPr>
                    <w:keepNext w:val="0"/>
                    <w:keepLines w:val="0"/>
                    <w:suppressLineNumbers w:val="0"/>
                    <w:spacing w:before="0" w:beforeAutospacing="0" w:after="0" w:afterAutospacing="0"/>
                    <w:ind w:left="0" w:right="0"/>
                    <w:jc w:val="center"/>
                    <w:rPr>
                      <w:rFonts w:hint="eastAsia" w:eastAsia="宋体"/>
                      <w:b/>
                      <w:bCs/>
                      <w:szCs w:val="21"/>
                      <w:lang w:val="en-US" w:eastAsia="zh-CN"/>
                    </w:rPr>
                  </w:pPr>
                  <w:r>
                    <w:rPr>
                      <w:rFonts w:hint="default"/>
                      <w:b/>
                      <w:bCs/>
                      <w:szCs w:val="21"/>
                    </w:rPr>
                    <w:t>执行</w:t>
                  </w:r>
                  <w:r>
                    <w:rPr>
                      <w:rFonts w:hint="eastAsia"/>
                      <w:b/>
                      <w:bCs/>
                      <w:szCs w:val="21"/>
                      <w:lang w:val="en-US" w:eastAsia="zh-CN"/>
                    </w:rPr>
                    <w:t>限值</w:t>
                  </w:r>
                </w:p>
              </w:tc>
            </w:tr>
            <w:tr w14:paraId="50A3D4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1" w:type="pct"/>
                  <w:vMerge w:val="restart"/>
                  <w:shd w:val="clear" w:color="auto" w:fill="auto"/>
                  <w:vAlign w:val="center"/>
                </w:tcPr>
                <w:p w14:paraId="534D0700">
                  <w:pPr>
                    <w:keepNext w:val="0"/>
                    <w:keepLines w:val="0"/>
                    <w:suppressLineNumbers w:val="0"/>
                    <w:spacing w:before="0" w:beforeAutospacing="0" w:after="0" w:afterAutospacing="0"/>
                    <w:ind w:left="0" w:right="0"/>
                    <w:jc w:val="center"/>
                    <w:rPr>
                      <w:rFonts w:hint="eastAsia"/>
                      <w:szCs w:val="21"/>
                      <w:lang w:val="en-US" w:eastAsia="zh-CN"/>
                    </w:rPr>
                  </w:pPr>
                  <w:r>
                    <w:rPr>
                      <w:rFonts w:hint="default"/>
                      <w:szCs w:val="21"/>
                    </w:rPr>
                    <w:t>DW00</w:t>
                  </w:r>
                  <w:r>
                    <w:rPr>
                      <w:rFonts w:hint="eastAsia"/>
                      <w:szCs w:val="21"/>
                      <w:lang w:val="en-US" w:eastAsia="zh-CN"/>
                    </w:rPr>
                    <w:t>1</w:t>
                  </w:r>
                </w:p>
                <w:p w14:paraId="0265B977">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Cs w:val="21"/>
                    </w:rPr>
                    <w:t>（</w:t>
                  </w:r>
                  <w:r>
                    <w:rPr>
                      <w:rFonts w:hint="eastAsia"/>
                      <w:szCs w:val="21"/>
                      <w:lang w:val="en-US" w:eastAsia="zh-CN"/>
                    </w:rPr>
                    <w:t>鱼制品生产废水、生活污水</w:t>
                  </w:r>
                  <w:r>
                    <w:rPr>
                      <w:rFonts w:hint="default"/>
                      <w:szCs w:val="21"/>
                    </w:rPr>
                    <w:t>）</w:t>
                  </w:r>
                </w:p>
              </w:tc>
              <w:tc>
                <w:tcPr>
                  <w:tcW w:w="881" w:type="pct"/>
                  <w:vMerge w:val="restart"/>
                  <w:shd w:val="clear" w:color="auto" w:fill="auto"/>
                  <w:vAlign w:val="center"/>
                </w:tcPr>
                <w:p w14:paraId="0A5D6A3E">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2024.8.10</w:t>
                  </w:r>
                </w:p>
              </w:tc>
              <w:tc>
                <w:tcPr>
                  <w:tcW w:w="881" w:type="pct"/>
                  <w:vAlign w:val="center"/>
                </w:tcPr>
                <w:p w14:paraId="610797DA">
                  <w:pPr>
                    <w:keepNext w:val="0"/>
                    <w:keepLines w:val="0"/>
                    <w:widowControl/>
                    <w:suppressLineNumbers w:val="0"/>
                    <w:snapToGrid w:val="0"/>
                    <w:spacing w:before="0" w:beforeAutospacing="0" w:after="0" w:afterAutospacing="0"/>
                    <w:ind w:left="0" w:right="0"/>
                    <w:jc w:val="center"/>
                    <w:textAlignment w:val="center"/>
                    <w:rPr>
                      <w:rFonts w:hint="eastAsia" w:eastAsia="宋体"/>
                      <w:szCs w:val="21"/>
                      <w:lang w:eastAsia="zh-CN"/>
                    </w:rPr>
                  </w:pPr>
                  <w:r>
                    <w:rPr>
                      <w:rFonts w:hint="default"/>
                      <w:szCs w:val="21"/>
                    </w:rPr>
                    <w:t>pH</w:t>
                  </w:r>
                  <w:r>
                    <w:rPr>
                      <w:rFonts w:hint="eastAsia"/>
                      <w:szCs w:val="21"/>
                      <w:lang w:eastAsia="zh-CN"/>
                    </w:rPr>
                    <w:t>（</w:t>
                  </w:r>
                  <w:r>
                    <w:rPr>
                      <w:rFonts w:hint="eastAsia"/>
                      <w:szCs w:val="21"/>
                      <w:lang w:val="en-US" w:eastAsia="zh-CN"/>
                    </w:rPr>
                    <w:t>无量纲</w:t>
                  </w:r>
                  <w:r>
                    <w:rPr>
                      <w:rFonts w:hint="eastAsia"/>
                      <w:szCs w:val="21"/>
                      <w:lang w:eastAsia="zh-CN"/>
                    </w:rPr>
                    <w:t>）</w:t>
                  </w:r>
                </w:p>
              </w:tc>
              <w:tc>
                <w:tcPr>
                  <w:tcW w:w="917" w:type="pct"/>
                  <w:vAlign w:val="center"/>
                </w:tcPr>
                <w:p w14:paraId="7001DD0D">
                  <w:pPr>
                    <w:keepNext w:val="0"/>
                    <w:keepLines w:val="0"/>
                    <w:widowControl/>
                    <w:suppressLineNumbers w:val="0"/>
                    <w:snapToGrid w:val="0"/>
                    <w:spacing w:before="0" w:beforeAutospacing="0" w:after="0" w:afterAutospacing="0"/>
                    <w:ind w:left="0" w:right="0"/>
                    <w:jc w:val="center"/>
                    <w:textAlignment w:val="center"/>
                    <w:rPr>
                      <w:rFonts w:hint="eastAsia"/>
                      <w:szCs w:val="21"/>
                      <w:lang w:val="en-US" w:eastAsia="zh-CN" w:bidi="ar"/>
                    </w:rPr>
                  </w:pPr>
                  <w:r>
                    <w:rPr>
                      <w:rFonts w:hint="eastAsia"/>
                      <w:szCs w:val="21"/>
                      <w:lang w:val="en-US" w:eastAsia="zh-CN" w:bidi="ar"/>
                    </w:rPr>
                    <w:t>7.1</w:t>
                  </w:r>
                </w:p>
                <w:p w14:paraId="6C2782C2">
                  <w:pPr>
                    <w:keepNext w:val="0"/>
                    <w:keepLines w:val="0"/>
                    <w:widowControl/>
                    <w:suppressLineNumbers w:val="0"/>
                    <w:snapToGrid w:val="0"/>
                    <w:spacing w:before="0" w:beforeAutospacing="0" w:after="0" w:afterAutospacing="0"/>
                    <w:ind w:left="0" w:right="0"/>
                    <w:jc w:val="center"/>
                    <w:textAlignment w:val="center"/>
                    <w:rPr>
                      <w:rFonts w:hint="default" w:eastAsia="宋体"/>
                      <w:szCs w:val="21"/>
                      <w:lang w:val="en-US" w:eastAsia="zh-CN" w:bidi="ar"/>
                    </w:rPr>
                  </w:pPr>
                  <w:r>
                    <w:rPr>
                      <w:rFonts w:hint="eastAsia"/>
                      <w:szCs w:val="21"/>
                      <w:lang w:val="en-US" w:eastAsia="zh-CN" w:bidi="ar"/>
                    </w:rPr>
                    <w:t>（水温24℃）</w:t>
                  </w:r>
                </w:p>
              </w:tc>
              <w:tc>
                <w:tcPr>
                  <w:tcW w:w="918" w:type="pct"/>
                  <w:vAlign w:val="center"/>
                </w:tcPr>
                <w:p w14:paraId="4B925C4A">
                  <w:pPr>
                    <w:keepNext w:val="0"/>
                    <w:keepLines w:val="0"/>
                    <w:widowControl/>
                    <w:suppressLineNumbers w:val="0"/>
                    <w:snapToGrid w:val="0"/>
                    <w:spacing w:before="0" w:beforeAutospacing="0" w:after="0" w:afterAutospacing="0"/>
                    <w:ind w:left="0" w:right="0"/>
                    <w:jc w:val="center"/>
                    <w:textAlignment w:val="center"/>
                    <w:rPr>
                      <w:rFonts w:hint="default" w:eastAsia="宋体"/>
                      <w:szCs w:val="21"/>
                      <w:lang w:val="en-US" w:eastAsia="zh-CN" w:bidi="ar"/>
                    </w:rPr>
                  </w:pPr>
                  <w:r>
                    <w:rPr>
                      <w:rFonts w:hint="eastAsia" w:ascii="Times New Roman" w:hAnsi="Times New Roman" w:cs="Times New Roman"/>
                      <w:szCs w:val="21"/>
                      <w:lang w:val="en-US" w:eastAsia="zh-CN" w:bidi="ar"/>
                    </w:rPr>
                    <w:t>6~9</w:t>
                  </w:r>
                </w:p>
              </w:tc>
            </w:tr>
            <w:tr w14:paraId="7A90E5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1" w:type="pct"/>
                  <w:vMerge w:val="continue"/>
                  <w:vAlign w:val="center"/>
                </w:tcPr>
                <w:p w14:paraId="5CB41D91">
                  <w:pPr>
                    <w:keepNext w:val="0"/>
                    <w:keepLines w:val="0"/>
                    <w:suppressLineNumbers w:val="0"/>
                    <w:spacing w:before="0" w:beforeAutospacing="0" w:after="0" w:afterAutospacing="0"/>
                    <w:ind w:left="0" w:right="0"/>
                    <w:jc w:val="center"/>
                    <w:rPr>
                      <w:rFonts w:hint="default"/>
                      <w:szCs w:val="21"/>
                    </w:rPr>
                  </w:pPr>
                </w:p>
              </w:tc>
              <w:tc>
                <w:tcPr>
                  <w:tcW w:w="881" w:type="pct"/>
                  <w:vMerge w:val="continue"/>
                  <w:vAlign w:val="center"/>
                </w:tcPr>
                <w:p w14:paraId="0218D0C6">
                  <w:pPr>
                    <w:keepNext w:val="0"/>
                    <w:keepLines w:val="0"/>
                    <w:suppressLineNumbers w:val="0"/>
                    <w:spacing w:before="0" w:beforeAutospacing="0" w:after="0" w:afterAutospacing="0"/>
                    <w:ind w:left="0" w:right="0"/>
                    <w:jc w:val="center"/>
                    <w:rPr>
                      <w:rFonts w:hint="default"/>
                      <w:szCs w:val="21"/>
                    </w:rPr>
                  </w:pPr>
                </w:p>
              </w:tc>
              <w:tc>
                <w:tcPr>
                  <w:tcW w:w="881" w:type="pct"/>
                  <w:vAlign w:val="center"/>
                </w:tcPr>
                <w:p w14:paraId="0B960705">
                  <w:pPr>
                    <w:keepNext w:val="0"/>
                    <w:keepLines w:val="0"/>
                    <w:widowControl/>
                    <w:suppressLineNumbers w:val="0"/>
                    <w:snapToGrid w:val="0"/>
                    <w:spacing w:before="0" w:beforeAutospacing="0" w:after="0" w:afterAutospacing="0"/>
                    <w:ind w:left="0" w:right="0"/>
                    <w:jc w:val="center"/>
                    <w:textAlignment w:val="center"/>
                    <w:rPr>
                      <w:rFonts w:hint="default"/>
                      <w:szCs w:val="21"/>
                    </w:rPr>
                  </w:pPr>
                  <w:r>
                    <w:rPr>
                      <w:rFonts w:hint="default"/>
                      <w:szCs w:val="21"/>
                    </w:rPr>
                    <w:t>COD</w:t>
                  </w:r>
                </w:p>
              </w:tc>
              <w:tc>
                <w:tcPr>
                  <w:tcW w:w="917" w:type="pct"/>
                  <w:vAlign w:val="center"/>
                </w:tcPr>
                <w:p w14:paraId="5F308EF7">
                  <w:pPr>
                    <w:keepNext w:val="0"/>
                    <w:keepLines w:val="0"/>
                    <w:widowControl/>
                    <w:suppressLineNumbers w:val="0"/>
                    <w:snapToGrid w:val="0"/>
                    <w:spacing w:before="0" w:beforeAutospacing="0" w:after="0" w:afterAutospacing="0"/>
                    <w:ind w:left="0" w:right="0"/>
                    <w:jc w:val="center"/>
                    <w:textAlignment w:val="center"/>
                    <w:rPr>
                      <w:rFonts w:hint="default" w:eastAsia="宋体"/>
                      <w:szCs w:val="21"/>
                      <w:lang w:val="en-US" w:eastAsia="zh-CN" w:bidi="ar"/>
                    </w:rPr>
                  </w:pPr>
                  <w:r>
                    <w:rPr>
                      <w:rFonts w:hint="eastAsia"/>
                      <w:szCs w:val="21"/>
                      <w:lang w:val="en-US" w:eastAsia="zh-CN" w:bidi="ar"/>
                    </w:rPr>
                    <w:t>457</w:t>
                  </w:r>
                </w:p>
              </w:tc>
              <w:tc>
                <w:tcPr>
                  <w:tcW w:w="918" w:type="pct"/>
                  <w:vAlign w:val="center"/>
                </w:tcPr>
                <w:p w14:paraId="59739880">
                  <w:pPr>
                    <w:keepNext w:val="0"/>
                    <w:keepLines w:val="0"/>
                    <w:widowControl/>
                    <w:suppressLineNumbers w:val="0"/>
                    <w:snapToGrid w:val="0"/>
                    <w:spacing w:before="0" w:beforeAutospacing="0" w:after="0" w:afterAutospacing="0"/>
                    <w:ind w:left="0" w:right="0"/>
                    <w:jc w:val="center"/>
                    <w:textAlignment w:val="center"/>
                    <w:rPr>
                      <w:rFonts w:hint="eastAsia" w:eastAsia="宋体"/>
                      <w:szCs w:val="21"/>
                      <w:lang w:val="en-US" w:eastAsia="zh-CN" w:bidi="ar"/>
                    </w:rPr>
                  </w:pPr>
                  <w:r>
                    <w:rPr>
                      <w:rFonts w:hint="default"/>
                      <w:szCs w:val="21"/>
                      <w:lang w:bidi="ar"/>
                    </w:rPr>
                    <w:t>≤3500</w:t>
                  </w:r>
                </w:p>
              </w:tc>
            </w:tr>
            <w:tr w14:paraId="32F136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1" w:type="pct"/>
                  <w:vMerge w:val="continue"/>
                  <w:vAlign w:val="center"/>
                </w:tcPr>
                <w:p w14:paraId="25484C4E">
                  <w:pPr>
                    <w:keepNext w:val="0"/>
                    <w:keepLines w:val="0"/>
                    <w:suppressLineNumbers w:val="0"/>
                    <w:spacing w:before="0" w:beforeAutospacing="0" w:after="0" w:afterAutospacing="0"/>
                    <w:ind w:left="0" w:right="0"/>
                    <w:jc w:val="center"/>
                    <w:rPr>
                      <w:rFonts w:hint="default"/>
                      <w:szCs w:val="21"/>
                    </w:rPr>
                  </w:pPr>
                </w:p>
              </w:tc>
              <w:tc>
                <w:tcPr>
                  <w:tcW w:w="881" w:type="pct"/>
                  <w:vMerge w:val="continue"/>
                  <w:vAlign w:val="center"/>
                </w:tcPr>
                <w:p w14:paraId="42D5F031">
                  <w:pPr>
                    <w:keepNext w:val="0"/>
                    <w:keepLines w:val="0"/>
                    <w:suppressLineNumbers w:val="0"/>
                    <w:spacing w:before="0" w:beforeAutospacing="0" w:after="0" w:afterAutospacing="0"/>
                    <w:ind w:left="0" w:right="0"/>
                    <w:jc w:val="center"/>
                    <w:rPr>
                      <w:rFonts w:hint="default"/>
                      <w:szCs w:val="21"/>
                    </w:rPr>
                  </w:pPr>
                </w:p>
              </w:tc>
              <w:tc>
                <w:tcPr>
                  <w:tcW w:w="881" w:type="pct"/>
                  <w:vAlign w:val="center"/>
                </w:tcPr>
                <w:p w14:paraId="1C2737DB">
                  <w:pPr>
                    <w:keepNext w:val="0"/>
                    <w:keepLines w:val="0"/>
                    <w:widowControl/>
                    <w:suppressLineNumbers w:val="0"/>
                    <w:snapToGrid w:val="0"/>
                    <w:spacing w:before="0" w:beforeAutospacing="0" w:after="0" w:afterAutospacing="0"/>
                    <w:ind w:left="0" w:right="0"/>
                    <w:jc w:val="center"/>
                    <w:textAlignment w:val="center"/>
                    <w:rPr>
                      <w:rFonts w:hint="default"/>
                      <w:szCs w:val="21"/>
                    </w:rPr>
                  </w:pPr>
                  <w:r>
                    <w:rPr>
                      <w:rFonts w:hint="default"/>
                      <w:szCs w:val="21"/>
                      <w:lang w:bidi="ar"/>
                    </w:rPr>
                    <w:t>SS</w:t>
                  </w:r>
                </w:p>
              </w:tc>
              <w:tc>
                <w:tcPr>
                  <w:tcW w:w="917" w:type="pct"/>
                  <w:vAlign w:val="center"/>
                </w:tcPr>
                <w:p w14:paraId="23AE6B31">
                  <w:pPr>
                    <w:keepNext w:val="0"/>
                    <w:keepLines w:val="0"/>
                    <w:widowControl/>
                    <w:suppressLineNumbers w:val="0"/>
                    <w:snapToGrid w:val="0"/>
                    <w:spacing w:before="0" w:beforeAutospacing="0" w:after="0" w:afterAutospacing="0"/>
                    <w:ind w:left="0" w:right="0"/>
                    <w:jc w:val="center"/>
                    <w:textAlignment w:val="center"/>
                    <w:rPr>
                      <w:rFonts w:hint="eastAsia" w:eastAsia="宋体"/>
                      <w:szCs w:val="21"/>
                      <w:lang w:val="en-US" w:eastAsia="zh-CN" w:bidi="ar"/>
                    </w:rPr>
                  </w:pPr>
                  <w:r>
                    <w:rPr>
                      <w:rFonts w:hint="default"/>
                      <w:szCs w:val="21"/>
                      <w:lang w:bidi="ar"/>
                    </w:rPr>
                    <w:t>1</w:t>
                  </w:r>
                  <w:r>
                    <w:rPr>
                      <w:rFonts w:hint="eastAsia"/>
                      <w:szCs w:val="21"/>
                      <w:lang w:val="en-US" w:eastAsia="zh-CN" w:bidi="ar"/>
                    </w:rPr>
                    <w:t>2</w:t>
                  </w:r>
                </w:p>
              </w:tc>
              <w:tc>
                <w:tcPr>
                  <w:tcW w:w="918" w:type="pct"/>
                  <w:shd w:val="clear" w:color="auto" w:fill="auto"/>
                  <w:vAlign w:val="center"/>
                </w:tcPr>
                <w:p w14:paraId="423B85BC">
                  <w:pPr>
                    <w:keepNext w:val="0"/>
                    <w:keepLines w:val="0"/>
                    <w:suppressLineNumbers w:val="0"/>
                    <w:spacing w:before="0" w:beforeAutospacing="0" w:after="0" w:afterAutospacing="0"/>
                    <w:ind w:left="0" w:right="0"/>
                    <w:jc w:val="center"/>
                    <w:rPr>
                      <w:rFonts w:hint="default" w:ascii="Times New Roman" w:hAnsi="Times New Roman" w:eastAsia="宋体" w:cs="Times New Roman"/>
                      <w:cap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≤400</w:t>
                  </w:r>
                </w:p>
              </w:tc>
            </w:tr>
            <w:tr w14:paraId="1744E8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1" w:type="pct"/>
                  <w:vMerge w:val="continue"/>
                  <w:vAlign w:val="center"/>
                </w:tcPr>
                <w:p w14:paraId="32042508">
                  <w:pPr>
                    <w:keepNext w:val="0"/>
                    <w:keepLines w:val="0"/>
                    <w:suppressLineNumbers w:val="0"/>
                    <w:spacing w:before="0" w:beforeAutospacing="0" w:after="0" w:afterAutospacing="0"/>
                    <w:ind w:left="0" w:right="0"/>
                    <w:jc w:val="center"/>
                    <w:rPr>
                      <w:rFonts w:hint="default"/>
                      <w:szCs w:val="21"/>
                    </w:rPr>
                  </w:pPr>
                </w:p>
              </w:tc>
              <w:tc>
                <w:tcPr>
                  <w:tcW w:w="881" w:type="pct"/>
                  <w:vMerge w:val="continue"/>
                  <w:vAlign w:val="center"/>
                </w:tcPr>
                <w:p w14:paraId="53A6979E">
                  <w:pPr>
                    <w:keepNext w:val="0"/>
                    <w:keepLines w:val="0"/>
                    <w:suppressLineNumbers w:val="0"/>
                    <w:spacing w:before="0" w:beforeAutospacing="0" w:after="0" w:afterAutospacing="0"/>
                    <w:ind w:left="0" w:right="0"/>
                    <w:jc w:val="center"/>
                    <w:rPr>
                      <w:rFonts w:hint="default"/>
                      <w:szCs w:val="21"/>
                    </w:rPr>
                  </w:pPr>
                </w:p>
              </w:tc>
              <w:tc>
                <w:tcPr>
                  <w:tcW w:w="881" w:type="pct"/>
                  <w:vAlign w:val="center"/>
                </w:tcPr>
                <w:p w14:paraId="40696724">
                  <w:pPr>
                    <w:keepNext w:val="0"/>
                    <w:keepLines w:val="0"/>
                    <w:widowControl/>
                    <w:suppressLineNumbers w:val="0"/>
                    <w:snapToGrid w:val="0"/>
                    <w:spacing w:before="0" w:beforeAutospacing="0" w:after="0" w:afterAutospacing="0"/>
                    <w:ind w:left="0" w:right="0"/>
                    <w:jc w:val="center"/>
                    <w:textAlignment w:val="center"/>
                    <w:rPr>
                      <w:rFonts w:hint="eastAsia" w:eastAsia="宋体"/>
                      <w:szCs w:val="21"/>
                      <w:lang w:val="en-US" w:eastAsia="zh-CN" w:bidi="ar"/>
                    </w:rPr>
                  </w:pPr>
                  <w:r>
                    <w:rPr>
                      <w:rFonts w:hint="default"/>
                      <w:szCs w:val="21"/>
                      <w:lang w:bidi="ar"/>
                    </w:rPr>
                    <w:t>总</w:t>
                  </w:r>
                  <w:r>
                    <w:rPr>
                      <w:rFonts w:hint="eastAsia"/>
                      <w:szCs w:val="21"/>
                      <w:lang w:val="en-US" w:eastAsia="zh-CN" w:bidi="ar"/>
                    </w:rPr>
                    <w:t>磷</w:t>
                  </w:r>
                </w:p>
              </w:tc>
              <w:tc>
                <w:tcPr>
                  <w:tcW w:w="917" w:type="pct"/>
                  <w:vAlign w:val="center"/>
                </w:tcPr>
                <w:p w14:paraId="403B3C5A">
                  <w:pPr>
                    <w:keepNext w:val="0"/>
                    <w:keepLines w:val="0"/>
                    <w:widowControl/>
                    <w:suppressLineNumbers w:val="0"/>
                    <w:snapToGrid w:val="0"/>
                    <w:spacing w:before="0" w:beforeAutospacing="0" w:after="0" w:afterAutospacing="0"/>
                    <w:ind w:left="0" w:right="0"/>
                    <w:jc w:val="center"/>
                    <w:textAlignment w:val="center"/>
                    <w:rPr>
                      <w:rFonts w:hint="default" w:eastAsia="宋体"/>
                      <w:szCs w:val="21"/>
                      <w:lang w:val="en-US" w:eastAsia="zh-CN" w:bidi="ar"/>
                    </w:rPr>
                  </w:pPr>
                  <w:r>
                    <w:rPr>
                      <w:rFonts w:hint="eastAsia"/>
                      <w:szCs w:val="21"/>
                      <w:lang w:val="en-US" w:eastAsia="zh-CN" w:bidi="ar"/>
                    </w:rPr>
                    <w:t>1.1</w:t>
                  </w:r>
                </w:p>
              </w:tc>
              <w:tc>
                <w:tcPr>
                  <w:tcW w:w="918" w:type="pct"/>
                  <w:vAlign w:val="center"/>
                </w:tcPr>
                <w:p w14:paraId="16764C95">
                  <w:pPr>
                    <w:keepNext w:val="0"/>
                    <w:keepLines w:val="0"/>
                    <w:widowControl/>
                    <w:suppressLineNumbers w:val="0"/>
                    <w:snapToGrid w:val="0"/>
                    <w:spacing w:before="0" w:beforeAutospacing="0" w:after="0" w:afterAutospacing="0"/>
                    <w:ind w:left="0" w:right="0"/>
                    <w:jc w:val="center"/>
                    <w:textAlignment w:val="center"/>
                    <w:rPr>
                      <w:rFonts w:hint="eastAsia" w:eastAsia="宋体"/>
                      <w:szCs w:val="21"/>
                      <w:lang w:val="en-US" w:eastAsia="zh-CN" w:bidi="ar"/>
                    </w:rPr>
                  </w:pPr>
                  <w:r>
                    <w:rPr>
                      <w:rFonts w:hint="eastAsia"/>
                      <w:szCs w:val="21"/>
                      <w:lang w:val="en-US" w:eastAsia="zh-CN" w:bidi="ar"/>
                    </w:rPr>
                    <w:t>/</w:t>
                  </w:r>
                </w:p>
              </w:tc>
            </w:tr>
            <w:tr w14:paraId="6FF25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1" w:type="pct"/>
                  <w:vMerge w:val="continue"/>
                  <w:vAlign w:val="center"/>
                </w:tcPr>
                <w:p w14:paraId="13A80FD0">
                  <w:pPr>
                    <w:keepNext w:val="0"/>
                    <w:keepLines w:val="0"/>
                    <w:suppressLineNumbers w:val="0"/>
                    <w:spacing w:before="0" w:beforeAutospacing="0" w:after="0" w:afterAutospacing="0"/>
                    <w:ind w:left="0" w:right="0"/>
                    <w:jc w:val="center"/>
                    <w:rPr>
                      <w:rFonts w:hint="default"/>
                      <w:szCs w:val="21"/>
                    </w:rPr>
                  </w:pPr>
                </w:p>
              </w:tc>
              <w:tc>
                <w:tcPr>
                  <w:tcW w:w="881" w:type="pct"/>
                  <w:vMerge w:val="continue"/>
                  <w:vAlign w:val="center"/>
                </w:tcPr>
                <w:p w14:paraId="3BF15C7A">
                  <w:pPr>
                    <w:keepNext w:val="0"/>
                    <w:keepLines w:val="0"/>
                    <w:suppressLineNumbers w:val="0"/>
                    <w:spacing w:before="0" w:beforeAutospacing="0" w:after="0" w:afterAutospacing="0"/>
                    <w:ind w:left="0" w:right="0"/>
                    <w:jc w:val="center"/>
                    <w:rPr>
                      <w:rFonts w:hint="default"/>
                      <w:szCs w:val="21"/>
                    </w:rPr>
                  </w:pPr>
                </w:p>
              </w:tc>
              <w:tc>
                <w:tcPr>
                  <w:tcW w:w="881" w:type="pct"/>
                  <w:vAlign w:val="center"/>
                </w:tcPr>
                <w:p w14:paraId="658664CB">
                  <w:pPr>
                    <w:keepNext w:val="0"/>
                    <w:keepLines w:val="0"/>
                    <w:widowControl/>
                    <w:suppressLineNumbers w:val="0"/>
                    <w:snapToGrid w:val="0"/>
                    <w:spacing w:before="0" w:beforeAutospacing="0" w:after="0" w:afterAutospacing="0"/>
                    <w:ind w:left="0" w:right="0"/>
                    <w:jc w:val="center"/>
                    <w:textAlignment w:val="center"/>
                    <w:rPr>
                      <w:rFonts w:hint="eastAsia" w:eastAsia="宋体"/>
                      <w:szCs w:val="21"/>
                      <w:lang w:val="en-US" w:eastAsia="zh-CN" w:bidi="ar"/>
                    </w:rPr>
                  </w:pPr>
                  <w:r>
                    <w:rPr>
                      <w:rFonts w:hint="eastAsia"/>
                      <w:szCs w:val="21"/>
                      <w:lang w:val="en-US" w:eastAsia="zh-CN" w:bidi="ar"/>
                    </w:rPr>
                    <w:t>石油类</w:t>
                  </w:r>
                </w:p>
              </w:tc>
              <w:tc>
                <w:tcPr>
                  <w:tcW w:w="917" w:type="pct"/>
                  <w:vAlign w:val="center"/>
                </w:tcPr>
                <w:p w14:paraId="07384BE4">
                  <w:pPr>
                    <w:keepNext w:val="0"/>
                    <w:keepLines w:val="0"/>
                    <w:widowControl/>
                    <w:suppressLineNumbers w:val="0"/>
                    <w:snapToGrid w:val="0"/>
                    <w:spacing w:before="0" w:beforeAutospacing="0" w:after="0" w:afterAutospacing="0"/>
                    <w:ind w:left="0" w:right="0"/>
                    <w:jc w:val="center"/>
                    <w:textAlignment w:val="center"/>
                    <w:rPr>
                      <w:rFonts w:hint="default" w:eastAsia="宋体"/>
                      <w:szCs w:val="21"/>
                      <w:lang w:val="en-US" w:eastAsia="zh-CN" w:bidi="ar"/>
                    </w:rPr>
                  </w:pPr>
                  <w:r>
                    <w:rPr>
                      <w:rFonts w:hint="eastAsia"/>
                      <w:szCs w:val="21"/>
                      <w:lang w:val="en-US" w:eastAsia="zh-CN" w:bidi="ar"/>
                    </w:rPr>
                    <w:t>0.24</w:t>
                  </w:r>
                </w:p>
              </w:tc>
              <w:tc>
                <w:tcPr>
                  <w:tcW w:w="918" w:type="pct"/>
                  <w:vAlign w:val="center"/>
                </w:tcPr>
                <w:p w14:paraId="27CD29CE">
                  <w:pPr>
                    <w:keepNext w:val="0"/>
                    <w:keepLines w:val="0"/>
                    <w:widowControl/>
                    <w:suppressLineNumbers w:val="0"/>
                    <w:snapToGrid w:val="0"/>
                    <w:spacing w:before="0" w:beforeAutospacing="0" w:after="0" w:afterAutospacing="0"/>
                    <w:ind w:left="0" w:right="0"/>
                    <w:jc w:val="center"/>
                    <w:textAlignment w:val="center"/>
                    <w:rPr>
                      <w:rFonts w:hint="default" w:eastAsia="宋体"/>
                      <w:szCs w:val="21"/>
                      <w:lang w:val="en-US" w:eastAsia="zh-CN" w:bidi="ar"/>
                    </w:rPr>
                  </w:pPr>
                  <w:r>
                    <w:rPr>
                      <w:rFonts w:hint="eastAsia"/>
                      <w:szCs w:val="21"/>
                      <w:lang w:val="en-US" w:eastAsia="zh-CN" w:bidi="ar"/>
                    </w:rPr>
                    <w:t>≤100</w:t>
                  </w:r>
                </w:p>
              </w:tc>
            </w:tr>
          </w:tbl>
          <w:p w14:paraId="5AEAA57F">
            <w:pPr>
              <w:pStyle w:val="11"/>
              <w:keepNext w:val="0"/>
              <w:keepLines w:val="0"/>
              <w:suppressLineNumbers w:val="0"/>
              <w:bidi w:val="0"/>
              <w:spacing w:before="157" w:beforeLines="50" w:beforeAutospacing="0" w:after="0" w:afterAutospacing="0"/>
              <w:ind w:left="0"/>
              <w:rPr>
                <w:rFonts w:hint="default"/>
                <w:lang w:val="en-US" w:eastAsia="zh-CN"/>
              </w:rPr>
            </w:pPr>
            <w:r>
              <w:rPr>
                <w:rFonts w:hint="eastAsia"/>
                <w:lang w:val="en-US" w:eastAsia="zh-CN"/>
              </w:rPr>
              <w:t>从上表可知，湖南童记三利和食品有限公司厂区内现有项目废水排放能达到君山区第二污水处理厂前端预处理工程进水水质要求。</w:t>
            </w:r>
          </w:p>
          <w:p w14:paraId="536F275F">
            <w:pPr>
              <w:pStyle w:val="41"/>
              <w:keepNext w:val="0"/>
              <w:keepLines w:val="0"/>
              <w:numPr>
                <w:ilvl w:val="1"/>
                <w:numId w:val="16"/>
              </w:numPr>
              <w:suppressLineNumbers w:val="0"/>
              <w:spacing w:before="0" w:beforeLines="-2147483648" w:beforeAutospacing="0" w:after="0" w:afterAutospacing="0" w:line="360" w:lineRule="auto"/>
              <w:ind w:left="840" w:right="0" w:hanging="420" w:firstLineChars="0"/>
              <w:outlineLvl w:val="3"/>
              <w:rPr>
                <w:rFonts w:hint="default" w:ascii="Times New Roman" w:hAnsi="Times New Roman"/>
              </w:rPr>
            </w:pPr>
            <w:r>
              <w:rPr>
                <w:rFonts w:hint="default"/>
                <w:b w:val="0"/>
                <w:bCs w:val="0"/>
                <w:color w:val="auto"/>
              </w:rPr>
              <w:t>噪声污染源排放情况</w:t>
            </w:r>
          </w:p>
          <w:p w14:paraId="73682C3E">
            <w:pPr>
              <w:pStyle w:val="33"/>
              <w:keepNext w:val="0"/>
              <w:keepLines w:val="0"/>
              <w:numPr>
                <w:ilvl w:val="0"/>
                <w:numId w:val="7"/>
              </w:numPr>
              <w:suppressLineNumbers w:val="0"/>
              <w:spacing w:before="0" w:beforeAutospacing="0" w:after="0" w:afterAutospacing="0"/>
              <w:ind w:right="0" w:firstLineChars="0"/>
              <w:jc w:val="center"/>
              <w:rPr>
                <w:rFonts w:hint="default"/>
                <w:b/>
                <w:sz w:val="24"/>
                <w:szCs w:val="24"/>
              </w:rPr>
            </w:pPr>
            <w:r>
              <w:rPr>
                <w:rFonts w:hint="default"/>
                <w:b/>
                <w:sz w:val="24"/>
                <w:szCs w:val="24"/>
              </w:rPr>
              <w:t>现有项目主要噪声源强表</w:t>
            </w:r>
          </w:p>
          <w:tbl>
            <w:tblPr>
              <w:tblStyle w:val="25"/>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5"/>
              <w:gridCol w:w="2547"/>
              <w:gridCol w:w="1654"/>
              <w:gridCol w:w="903"/>
              <w:gridCol w:w="873"/>
              <w:gridCol w:w="1757"/>
            </w:tblGrid>
            <w:tr w14:paraId="0B3C8D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0" w:type="pct"/>
                  <w:vMerge w:val="restart"/>
                  <w:vAlign w:val="center"/>
                </w:tcPr>
                <w:p w14:paraId="3D40375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pacing w:val="20"/>
                      <w:sz w:val="21"/>
                      <w:szCs w:val="21"/>
                      <w:highlight w:val="none"/>
                    </w:rPr>
                  </w:pPr>
                  <w:r>
                    <w:rPr>
                      <w:rFonts w:hint="default" w:ascii="Times New Roman" w:hAnsi="Times New Roman" w:eastAsia="宋体" w:cs="Times New Roman"/>
                      <w:b/>
                      <w:bCs/>
                      <w:color w:val="000000"/>
                      <w:spacing w:val="20"/>
                      <w:sz w:val="21"/>
                      <w:szCs w:val="21"/>
                      <w:highlight w:val="none"/>
                    </w:rPr>
                    <w:t>序号</w:t>
                  </w:r>
                </w:p>
              </w:tc>
              <w:tc>
                <w:tcPr>
                  <w:tcW w:w="1534" w:type="pct"/>
                  <w:vMerge w:val="restart"/>
                  <w:vAlign w:val="center"/>
                </w:tcPr>
                <w:p w14:paraId="1765C42D">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pacing w:val="20"/>
                      <w:sz w:val="21"/>
                      <w:szCs w:val="21"/>
                      <w:highlight w:val="none"/>
                    </w:rPr>
                  </w:pPr>
                  <w:r>
                    <w:rPr>
                      <w:rFonts w:hint="default" w:ascii="Times New Roman" w:hAnsi="Times New Roman" w:eastAsia="宋体" w:cs="Times New Roman"/>
                      <w:b/>
                      <w:bCs/>
                      <w:color w:val="000000"/>
                      <w:spacing w:val="20"/>
                      <w:sz w:val="21"/>
                      <w:szCs w:val="21"/>
                      <w:highlight w:val="none"/>
                    </w:rPr>
                    <w:t>监测点位名称</w:t>
                  </w:r>
                </w:p>
              </w:tc>
              <w:tc>
                <w:tcPr>
                  <w:tcW w:w="996" w:type="pct"/>
                  <w:vMerge w:val="restart"/>
                  <w:vAlign w:val="center"/>
                </w:tcPr>
                <w:p w14:paraId="614B6CC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pacing w:val="20"/>
                      <w:sz w:val="21"/>
                      <w:szCs w:val="21"/>
                      <w:highlight w:val="none"/>
                    </w:rPr>
                  </w:pPr>
                  <w:r>
                    <w:rPr>
                      <w:rFonts w:hint="default" w:ascii="Times New Roman" w:hAnsi="Times New Roman" w:eastAsia="宋体" w:cs="Times New Roman"/>
                      <w:b/>
                      <w:bCs/>
                      <w:color w:val="000000"/>
                      <w:spacing w:val="20"/>
                      <w:sz w:val="21"/>
                      <w:szCs w:val="21"/>
                      <w:highlight w:val="none"/>
                    </w:rPr>
                    <w:t>监测日期</w:t>
                  </w:r>
                </w:p>
              </w:tc>
              <w:tc>
                <w:tcPr>
                  <w:tcW w:w="1070" w:type="pct"/>
                  <w:gridSpan w:val="2"/>
                  <w:vAlign w:val="center"/>
                </w:tcPr>
                <w:p w14:paraId="74A09740">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bCs/>
                      <w:color w:val="000000"/>
                      <w:spacing w:val="20"/>
                      <w:sz w:val="21"/>
                      <w:szCs w:val="21"/>
                      <w:highlight w:val="none"/>
                      <w:lang w:val="en-US" w:eastAsia="zh-CN"/>
                    </w:rPr>
                  </w:pPr>
                  <w:r>
                    <w:rPr>
                      <w:rFonts w:hint="default" w:ascii="Times New Roman" w:hAnsi="Times New Roman" w:eastAsia="宋体" w:cs="Times New Roman"/>
                      <w:b/>
                      <w:bCs/>
                      <w:color w:val="000000"/>
                      <w:spacing w:val="20"/>
                      <w:sz w:val="21"/>
                      <w:szCs w:val="21"/>
                      <w:highlight w:val="none"/>
                    </w:rPr>
                    <w:t>监测结果</w:t>
                  </w:r>
                  <w:r>
                    <w:rPr>
                      <w:rFonts w:hint="eastAsia" w:cs="Times New Roman"/>
                      <w:b/>
                      <w:bCs/>
                      <w:color w:val="000000"/>
                      <w:spacing w:val="20"/>
                      <w:sz w:val="21"/>
                      <w:szCs w:val="21"/>
                      <w:highlight w:val="none"/>
                      <w:lang w:val="en-US" w:eastAsia="zh-CN"/>
                    </w:rPr>
                    <w:t>dB</w:t>
                  </w:r>
                  <w:r>
                    <w:rPr>
                      <w:rFonts w:hint="eastAsia" w:ascii="宋体" w:hAnsi="宋体" w:eastAsia="宋体" w:cs="宋体"/>
                      <w:b/>
                      <w:bCs/>
                      <w:color w:val="000000"/>
                      <w:spacing w:val="20"/>
                      <w:sz w:val="21"/>
                      <w:szCs w:val="21"/>
                      <w:highlight w:val="none"/>
                      <w:lang w:val="en-US" w:eastAsia="zh-CN"/>
                    </w:rPr>
                    <w:t>（A）</w:t>
                  </w:r>
                </w:p>
              </w:tc>
              <w:tc>
                <w:tcPr>
                  <w:tcW w:w="1058" w:type="pct"/>
                  <w:vMerge w:val="restart"/>
                  <w:vAlign w:val="center"/>
                </w:tcPr>
                <w:p w14:paraId="40BB3CB7">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eastAsia" w:cs="Times New Roman"/>
                      <w:b/>
                      <w:bCs/>
                      <w:color w:val="000000"/>
                      <w:spacing w:val="20"/>
                      <w:sz w:val="21"/>
                      <w:szCs w:val="21"/>
                      <w:highlight w:val="none"/>
                      <w:lang w:val="en-US" w:eastAsia="zh-CN"/>
                    </w:rPr>
                  </w:pPr>
                  <w:r>
                    <w:rPr>
                      <w:rFonts w:hint="eastAsia" w:cs="Times New Roman"/>
                      <w:b/>
                      <w:bCs/>
                      <w:color w:val="000000"/>
                      <w:spacing w:val="20"/>
                      <w:sz w:val="21"/>
                      <w:szCs w:val="21"/>
                      <w:highlight w:val="none"/>
                      <w:lang w:val="en-US" w:eastAsia="zh-CN"/>
                    </w:rPr>
                    <w:t>执行限值</w:t>
                  </w:r>
                </w:p>
                <w:p w14:paraId="6123B0DC">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default" w:cs="Times New Roman"/>
                      <w:b/>
                      <w:bCs/>
                      <w:color w:val="000000"/>
                      <w:spacing w:val="20"/>
                      <w:sz w:val="21"/>
                      <w:szCs w:val="21"/>
                      <w:highlight w:val="none"/>
                      <w:lang w:val="en-US" w:eastAsia="zh-CN"/>
                    </w:rPr>
                  </w:pPr>
                  <w:r>
                    <w:rPr>
                      <w:rFonts w:hint="eastAsia" w:cs="Times New Roman"/>
                      <w:b/>
                      <w:bCs/>
                      <w:color w:val="000000"/>
                      <w:spacing w:val="20"/>
                      <w:sz w:val="21"/>
                      <w:szCs w:val="21"/>
                      <w:highlight w:val="none"/>
                      <w:lang w:val="en-US" w:eastAsia="zh-CN"/>
                    </w:rPr>
                    <w:t xml:space="preserve"> dB（A）</w:t>
                  </w:r>
                </w:p>
              </w:tc>
            </w:tr>
            <w:tr w14:paraId="562405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0" w:type="pct"/>
                  <w:vMerge w:val="continue"/>
                  <w:vAlign w:val="center"/>
                </w:tcPr>
                <w:p w14:paraId="357534BC">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pacing w:val="20"/>
                      <w:sz w:val="21"/>
                      <w:szCs w:val="21"/>
                      <w:highlight w:val="none"/>
                    </w:rPr>
                  </w:pPr>
                </w:p>
              </w:tc>
              <w:tc>
                <w:tcPr>
                  <w:tcW w:w="1534" w:type="pct"/>
                  <w:vMerge w:val="continue"/>
                  <w:vAlign w:val="center"/>
                </w:tcPr>
                <w:p w14:paraId="368078A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pacing w:val="20"/>
                      <w:sz w:val="21"/>
                      <w:szCs w:val="21"/>
                      <w:highlight w:val="none"/>
                    </w:rPr>
                  </w:pPr>
                </w:p>
              </w:tc>
              <w:tc>
                <w:tcPr>
                  <w:tcW w:w="996" w:type="pct"/>
                  <w:vMerge w:val="continue"/>
                  <w:vAlign w:val="center"/>
                </w:tcPr>
                <w:p w14:paraId="67C62A52">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pacing w:val="20"/>
                      <w:sz w:val="21"/>
                      <w:szCs w:val="21"/>
                      <w:highlight w:val="none"/>
                    </w:rPr>
                  </w:pPr>
                </w:p>
              </w:tc>
              <w:tc>
                <w:tcPr>
                  <w:tcW w:w="544" w:type="pct"/>
                  <w:vAlign w:val="center"/>
                </w:tcPr>
                <w:p w14:paraId="65E2899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color w:val="000000"/>
                      <w:spacing w:val="20"/>
                      <w:sz w:val="21"/>
                      <w:szCs w:val="21"/>
                      <w:highlight w:val="none"/>
                      <w:lang w:val="en-US" w:eastAsia="zh-CN"/>
                    </w:rPr>
                  </w:pPr>
                  <w:r>
                    <w:rPr>
                      <w:rFonts w:hint="eastAsia" w:cs="Times New Roman"/>
                      <w:b/>
                      <w:bCs/>
                      <w:color w:val="000000"/>
                      <w:spacing w:val="20"/>
                      <w:sz w:val="21"/>
                      <w:szCs w:val="21"/>
                      <w:highlight w:val="none"/>
                      <w:lang w:val="en-US" w:eastAsia="zh-CN"/>
                    </w:rPr>
                    <w:t>昼间</w:t>
                  </w:r>
                </w:p>
              </w:tc>
              <w:tc>
                <w:tcPr>
                  <w:tcW w:w="526" w:type="pct"/>
                  <w:vAlign w:val="center"/>
                </w:tcPr>
                <w:p w14:paraId="08EDF0E3">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b/>
                      <w:bCs/>
                      <w:color w:val="000000"/>
                      <w:spacing w:val="20"/>
                      <w:sz w:val="21"/>
                      <w:szCs w:val="21"/>
                      <w:highlight w:val="none"/>
                      <w:lang w:val="en-US" w:eastAsia="zh-CN"/>
                    </w:rPr>
                  </w:pPr>
                  <w:r>
                    <w:rPr>
                      <w:rFonts w:hint="eastAsia" w:cs="Times New Roman"/>
                      <w:b/>
                      <w:bCs/>
                      <w:color w:val="000000"/>
                      <w:spacing w:val="20"/>
                      <w:sz w:val="21"/>
                      <w:szCs w:val="21"/>
                      <w:highlight w:val="none"/>
                      <w:lang w:val="en-US" w:eastAsia="zh-CN"/>
                    </w:rPr>
                    <w:t>夜间</w:t>
                  </w:r>
                </w:p>
              </w:tc>
              <w:tc>
                <w:tcPr>
                  <w:tcW w:w="1058" w:type="pct"/>
                  <w:vMerge w:val="continue"/>
                  <w:vAlign w:val="center"/>
                </w:tcPr>
                <w:p w14:paraId="6D8D1EC2">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pacing w:val="20"/>
                      <w:sz w:val="21"/>
                      <w:szCs w:val="21"/>
                      <w:highlight w:val="none"/>
                    </w:rPr>
                  </w:pPr>
                </w:p>
              </w:tc>
            </w:tr>
            <w:tr w14:paraId="0C110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0" w:type="pct"/>
                  <w:vAlign w:val="center"/>
                </w:tcPr>
                <w:p w14:paraId="58B71884">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1</w:t>
                  </w:r>
                </w:p>
              </w:tc>
              <w:tc>
                <w:tcPr>
                  <w:tcW w:w="1534" w:type="pct"/>
                  <w:vAlign w:val="center"/>
                </w:tcPr>
                <w:p w14:paraId="51363C99">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default" w:ascii="Times New Roman" w:hAnsi="Times New Roman" w:eastAsia="宋体" w:cs="Times New Roman"/>
                      <w:color w:val="000000"/>
                      <w:spacing w:val="20"/>
                      <w:sz w:val="21"/>
                      <w:szCs w:val="21"/>
                      <w:highlight w:val="none"/>
                    </w:rPr>
                    <w:t>厂界</w:t>
                  </w:r>
                  <w:r>
                    <w:rPr>
                      <w:rFonts w:hint="eastAsia" w:cs="Times New Roman"/>
                      <w:color w:val="000000"/>
                      <w:spacing w:val="20"/>
                      <w:sz w:val="21"/>
                      <w:szCs w:val="21"/>
                      <w:highlight w:val="none"/>
                      <w:lang w:val="en-US" w:eastAsia="zh-CN"/>
                    </w:rPr>
                    <w:t>东侧外1m处</w:t>
                  </w:r>
                </w:p>
              </w:tc>
              <w:tc>
                <w:tcPr>
                  <w:tcW w:w="996" w:type="pct"/>
                  <w:vMerge w:val="restart"/>
                  <w:vAlign w:val="center"/>
                </w:tcPr>
                <w:p w14:paraId="2A50550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2024.8.10</w:t>
                  </w:r>
                </w:p>
              </w:tc>
              <w:tc>
                <w:tcPr>
                  <w:tcW w:w="544" w:type="pct"/>
                  <w:vAlign w:val="center"/>
                </w:tcPr>
                <w:p w14:paraId="70E8F625">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56</w:t>
                  </w:r>
                </w:p>
              </w:tc>
              <w:tc>
                <w:tcPr>
                  <w:tcW w:w="526" w:type="pct"/>
                  <w:vAlign w:val="center"/>
                </w:tcPr>
                <w:p w14:paraId="16F5A53C">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46</w:t>
                  </w:r>
                </w:p>
              </w:tc>
              <w:tc>
                <w:tcPr>
                  <w:tcW w:w="1058" w:type="pct"/>
                  <w:vMerge w:val="restart"/>
                  <w:vAlign w:val="center"/>
                </w:tcPr>
                <w:p w14:paraId="4F97E38C">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昼间：65</w:t>
                  </w:r>
                </w:p>
                <w:p w14:paraId="31C0CF86">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夜间：55</w:t>
                  </w:r>
                </w:p>
              </w:tc>
            </w:tr>
            <w:tr w14:paraId="685D44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0" w:type="pct"/>
                  <w:vAlign w:val="center"/>
                </w:tcPr>
                <w:p w14:paraId="2892D1BF">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2</w:t>
                  </w:r>
                </w:p>
              </w:tc>
              <w:tc>
                <w:tcPr>
                  <w:tcW w:w="1534" w:type="pct"/>
                  <w:vAlign w:val="center"/>
                </w:tcPr>
                <w:p w14:paraId="105EF0CE">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default" w:ascii="Times New Roman" w:hAnsi="Times New Roman" w:eastAsia="宋体" w:cs="Times New Roman"/>
                      <w:color w:val="000000"/>
                      <w:spacing w:val="20"/>
                      <w:sz w:val="21"/>
                      <w:szCs w:val="21"/>
                      <w:highlight w:val="none"/>
                    </w:rPr>
                    <w:t>厂界</w:t>
                  </w:r>
                  <w:r>
                    <w:rPr>
                      <w:rFonts w:hint="eastAsia" w:cs="Times New Roman"/>
                      <w:color w:val="000000"/>
                      <w:spacing w:val="20"/>
                      <w:sz w:val="21"/>
                      <w:szCs w:val="21"/>
                      <w:highlight w:val="none"/>
                      <w:lang w:val="en-US" w:eastAsia="zh-CN"/>
                    </w:rPr>
                    <w:t>南侧外1m处</w:t>
                  </w:r>
                </w:p>
              </w:tc>
              <w:tc>
                <w:tcPr>
                  <w:tcW w:w="996" w:type="pct"/>
                  <w:vMerge w:val="continue"/>
                  <w:vAlign w:val="center"/>
                </w:tcPr>
                <w:p w14:paraId="1A5DDF1D">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rPr>
                  </w:pPr>
                </w:p>
              </w:tc>
              <w:tc>
                <w:tcPr>
                  <w:tcW w:w="544" w:type="pct"/>
                  <w:vAlign w:val="center"/>
                </w:tcPr>
                <w:p w14:paraId="64F9F525">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56</w:t>
                  </w:r>
                </w:p>
              </w:tc>
              <w:tc>
                <w:tcPr>
                  <w:tcW w:w="526" w:type="pct"/>
                  <w:vAlign w:val="center"/>
                </w:tcPr>
                <w:p w14:paraId="124F9F6D">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44</w:t>
                  </w:r>
                </w:p>
              </w:tc>
              <w:tc>
                <w:tcPr>
                  <w:tcW w:w="1058" w:type="pct"/>
                  <w:vMerge w:val="continue"/>
                  <w:vAlign w:val="center"/>
                </w:tcPr>
                <w:p w14:paraId="6A45DEC7">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p>
              </w:tc>
            </w:tr>
            <w:tr w14:paraId="639A7B6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0" w:type="pct"/>
                  <w:vAlign w:val="center"/>
                </w:tcPr>
                <w:p w14:paraId="47002FC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3</w:t>
                  </w:r>
                </w:p>
              </w:tc>
              <w:tc>
                <w:tcPr>
                  <w:tcW w:w="1534" w:type="pct"/>
                  <w:vAlign w:val="center"/>
                </w:tcPr>
                <w:p w14:paraId="4946A42A">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default" w:ascii="Times New Roman" w:hAnsi="Times New Roman" w:eastAsia="宋体" w:cs="Times New Roman"/>
                      <w:color w:val="000000"/>
                      <w:spacing w:val="20"/>
                      <w:sz w:val="21"/>
                      <w:szCs w:val="21"/>
                      <w:highlight w:val="none"/>
                    </w:rPr>
                    <w:t>厂界</w:t>
                  </w:r>
                  <w:r>
                    <w:rPr>
                      <w:rFonts w:hint="eastAsia" w:cs="Times New Roman"/>
                      <w:color w:val="000000"/>
                      <w:spacing w:val="20"/>
                      <w:sz w:val="21"/>
                      <w:szCs w:val="21"/>
                      <w:highlight w:val="none"/>
                      <w:lang w:val="en-US" w:eastAsia="zh-CN"/>
                    </w:rPr>
                    <w:t>西侧外1m处</w:t>
                  </w:r>
                </w:p>
              </w:tc>
              <w:tc>
                <w:tcPr>
                  <w:tcW w:w="996" w:type="pct"/>
                  <w:vMerge w:val="continue"/>
                  <w:vAlign w:val="center"/>
                </w:tcPr>
                <w:p w14:paraId="7F2FCEC4">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rPr>
                  </w:pPr>
                </w:p>
              </w:tc>
              <w:tc>
                <w:tcPr>
                  <w:tcW w:w="544" w:type="pct"/>
                  <w:vAlign w:val="center"/>
                </w:tcPr>
                <w:p w14:paraId="5E0CFA64">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54</w:t>
                  </w:r>
                </w:p>
              </w:tc>
              <w:tc>
                <w:tcPr>
                  <w:tcW w:w="526" w:type="pct"/>
                  <w:vAlign w:val="center"/>
                </w:tcPr>
                <w:p w14:paraId="3668BB16">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45</w:t>
                  </w:r>
                </w:p>
              </w:tc>
              <w:tc>
                <w:tcPr>
                  <w:tcW w:w="1058" w:type="pct"/>
                  <w:vMerge w:val="continue"/>
                  <w:vAlign w:val="center"/>
                </w:tcPr>
                <w:p w14:paraId="433223A1">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p>
              </w:tc>
            </w:tr>
            <w:tr w14:paraId="223A90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40" w:type="pct"/>
                  <w:vAlign w:val="center"/>
                </w:tcPr>
                <w:p w14:paraId="36E03851">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4</w:t>
                  </w:r>
                </w:p>
              </w:tc>
              <w:tc>
                <w:tcPr>
                  <w:tcW w:w="1534" w:type="pct"/>
                  <w:vAlign w:val="center"/>
                </w:tcPr>
                <w:p w14:paraId="34D7D35E">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default" w:ascii="Times New Roman" w:hAnsi="Times New Roman" w:eastAsia="宋体" w:cs="Times New Roman"/>
                      <w:color w:val="000000"/>
                      <w:spacing w:val="20"/>
                      <w:sz w:val="21"/>
                      <w:szCs w:val="21"/>
                      <w:highlight w:val="none"/>
                    </w:rPr>
                    <w:t>厂界北</w:t>
                  </w:r>
                  <w:r>
                    <w:rPr>
                      <w:rFonts w:hint="eastAsia" w:cs="Times New Roman"/>
                      <w:color w:val="000000"/>
                      <w:spacing w:val="20"/>
                      <w:sz w:val="21"/>
                      <w:szCs w:val="21"/>
                      <w:highlight w:val="none"/>
                      <w:lang w:val="en-US" w:eastAsia="zh-CN"/>
                    </w:rPr>
                    <w:t>侧外1m处</w:t>
                  </w:r>
                </w:p>
              </w:tc>
              <w:tc>
                <w:tcPr>
                  <w:tcW w:w="996" w:type="pct"/>
                  <w:vMerge w:val="continue"/>
                  <w:vAlign w:val="center"/>
                </w:tcPr>
                <w:p w14:paraId="3F7F787A">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rPr>
                  </w:pPr>
                </w:p>
              </w:tc>
              <w:tc>
                <w:tcPr>
                  <w:tcW w:w="544" w:type="pct"/>
                  <w:vAlign w:val="center"/>
                </w:tcPr>
                <w:p w14:paraId="168F01D0">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56</w:t>
                  </w:r>
                </w:p>
              </w:tc>
              <w:tc>
                <w:tcPr>
                  <w:tcW w:w="526" w:type="pct"/>
                  <w:vAlign w:val="center"/>
                </w:tcPr>
                <w:p w14:paraId="7183C24B">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r>
                    <w:rPr>
                      <w:rFonts w:hint="eastAsia" w:cs="Times New Roman"/>
                      <w:color w:val="000000"/>
                      <w:spacing w:val="20"/>
                      <w:sz w:val="21"/>
                      <w:szCs w:val="21"/>
                      <w:highlight w:val="none"/>
                      <w:lang w:val="en-US" w:eastAsia="zh-CN"/>
                    </w:rPr>
                    <w:t>46</w:t>
                  </w:r>
                </w:p>
              </w:tc>
              <w:tc>
                <w:tcPr>
                  <w:tcW w:w="1058" w:type="pct"/>
                  <w:vMerge w:val="continue"/>
                  <w:vAlign w:val="center"/>
                </w:tcPr>
                <w:p w14:paraId="26FEE81F">
                  <w:pPr>
                    <w:keepNext w:val="0"/>
                    <w:keepLines w:val="0"/>
                    <w:widowControl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pacing w:val="20"/>
                      <w:sz w:val="21"/>
                      <w:szCs w:val="21"/>
                      <w:highlight w:val="none"/>
                      <w:lang w:val="en-US" w:eastAsia="zh-CN"/>
                    </w:rPr>
                  </w:pPr>
                </w:p>
              </w:tc>
            </w:tr>
          </w:tbl>
          <w:p w14:paraId="56CC0892">
            <w:pPr>
              <w:pStyle w:val="11"/>
              <w:keepNext w:val="0"/>
              <w:keepLines w:val="0"/>
              <w:suppressLineNumbers w:val="0"/>
              <w:bidi w:val="0"/>
              <w:spacing w:before="157" w:beforeLines="50" w:beforeAutospacing="0" w:after="0" w:afterAutospacing="0"/>
              <w:ind w:left="0"/>
              <w:rPr>
                <w:rFonts w:hint="default"/>
                <w:b/>
              </w:rPr>
            </w:pPr>
            <w:r>
              <w:rPr>
                <w:rFonts w:hint="default"/>
                <w:lang w:val="en-US" w:eastAsia="zh-CN"/>
              </w:rPr>
              <w:t>根据上表可知，企业各厂界昼夜噪声值均满足《工业企业厂界环境噪声排放标准》(GB 12348-2008)中的3类标准要求。</w:t>
            </w:r>
          </w:p>
          <w:p w14:paraId="050C870C">
            <w:pPr>
              <w:pStyle w:val="41"/>
              <w:keepNext w:val="0"/>
              <w:keepLines w:val="0"/>
              <w:numPr>
                <w:ilvl w:val="1"/>
                <w:numId w:val="16"/>
              </w:numPr>
              <w:suppressLineNumbers w:val="0"/>
              <w:spacing w:before="0" w:beforeLines="-2147483648" w:beforeAutospacing="0" w:after="0" w:afterAutospacing="0" w:line="360" w:lineRule="auto"/>
              <w:ind w:left="840" w:right="0" w:hanging="420" w:firstLineChars="0"/>
              <w:outlineLvl w:val="3"/>
              <w:rPr>
                <w:rFonts w:hint="default"/>
                <w:b w:val="0"/>
                <w:bCs w:val="0"/>
                <w:color w:val="auto"/>
              </w:rPr>
            </w:pPr>
            <w:r>
              <w:rPr>
                <w:rFonts w:hint="default"/>
                <w:b w:val="0"/>
                <w:bCs w:val="0"/>
                <w:color w:val="auto"/>
              </w:rPr>
              <w:t>固废产生处置情况</w:t>
            </w:r>
          </w:p>
          <w:p w14:paraId="32A711A1">
            <w:pPr>
              <w:pStyle w:val="22"/>
              <w:keepNext w:val="0"/>
              <w:keepLines w:val="0"/>
              <w:suppressLineNumbers w:val="0"/>
              <w:adjustRightInd w:val="0"/>
              <w:spacing w:before="0" w:beforeAutospacing="0" w:after="0" w:afterAutospacing="0" w:line="360" w:lineRule="auto"/>
              <w:ind w:left="0" w:firstLine="480" w:firstLineChars="200"/>
              <w:rPr>
                <w:rFonts w:hint="eastAsia" w:ascii="Times New Roman" w:hAnsi="Times New Roman"/>
                <w:lang w:val="en-US" w:eastAsia="zh-CN"/>
              </w:rPr>
            </w:pPr>
            <w:r>
              <w:rPr>
                <w:rFonts w:hint="default" w:ascii="Times New Roman" w:hAnsi="Times New Roman"/>
                <w:lang w:val="en-US" w:eastAsia="zh-CN"/>
              </w:rPr>
              <w:t>湖南童记三利和食品有限公司</w:t>
            </w:r>
            <w:r>
              <w:rPr>
                <w:rFonts w:hint="default" w:ascii="Times New Roman" w:hAnsi="Times New Roman"/>
              </w:rPr>
              <w:t>现有项目生产过程中产生的固体废物主要包括废包装材料、</w:t>
            </w:r>
            <w:r>
              <w:rPr>
                <w:rFonts w:hint="eastAsia" w:ascii="Times New Roman" w:hAnsi="Times New Roman"/>
                <w:lang w:val="en-US" w:eastAsia="zh-CN"/>
              </w:rPr>
              <w:t>车间下脚料</w:t>
            </w:r>
            <w:r>
              <w:rPr>
                <w:rFonts w:hint="default" w:ascii="Times New Roman" w:hAnsi="Times New Roman"/>
              </w:rPr>
              <w:t>、</w:t>
            </w:r>
            <w:r>
              <w:rPr>
                <w:rFonts w:hint="eastAsia" w:ascii="Times New Roman" w:hAnsi="Times New Roman"/>
                <w:lang w:val="en-US" w:eastAsia="zh-CN"/>
              </w:rPr>
              <w:t>油炸废物以及废食用油</w:t>
            </w:r>
            <w:r>
              <w:rPr>
                <w:rFonts w:hint="default" w:ascii="Times New Roman" w:hAnsi="Times New Roman"/>
              </w:rPr>
              <w:t>等</w:t>
            </w:r>
            <w:r>
              <w:rPr>
                <w:rFonts w:hint="eastAsia" w:ascii="Times New Roman" w:hAnsi="Times New Roman"/>
                <w:lang w:eastAsia="zh-CN"/>
              </w:rPr>
              <w:t>，</w:t>
            </w:r>
            <w:r>
              <w:rPr>
                <w:rFonts w:hint="eastAsia" w:ascii="Times New Roman" w:hAnsi="Times New Roman"/>
                <w:lang w:val="en-US" w:eastAsia="zh-CN"/>
              </w:rPr>
              <w:t>其中废包装材料、下脚料、油炸废物等均收集暂存于一般固废暂存间，定期外售；废食用油暂存于废食用油储罐，由岳阳耀臣废油回收有限公司定期收购，生活垃圾由环卫部门统一清运；废含油抹布手套、废润滑油及废油桶等危险废物暂存于危废暂存间，由第三方有资质公司定期清运。</w:t>
            </w:r>
          </w:p>
          <w:p w14:paraId="716DB4EE">
            <w:pPr>
              <w:pStyle w:val="11"/>
              <w:keepNext w:val="0"/>
              <w:keepLines w:val="0"/>
              <w:suppressLineNumbers w:val="0"/>
              <w:spacing w:before="0" w:beforeLines="0" w:beforeAutospacing="0" w:after="0" w:afterAutospacing="0"/>
              <w:ind w:left="0" w:firstLine="0" w:firstLineChars="0"/>
              <w:rPr>
                <w:rFonts w:hint="eastAsia"/>
                <w:b/>
                <w:bCs/>
                <w:sz w:val="28"/>
                <w:szCs w:val="28"/>
                <w:u w:val="single"/>
                <w:lang w:val="en-US" w:eastAsia="zh-CN"/>
              </w:rPr>
            </w:pPr>
            <w:r>
              <w:rPr>
                <w:rFonts w:hint="eastAsia"/>
                <w:b/>
                <w:bCs/>
                <w:sz w:val="28"/>
                <w:szCs w:val="28"/>
                <w:lang w:val="en-US" w:eastAsia="zh-CN"/>
              </w:rPr>
              <w:t xml:space="preserve">1.3 </w:t>
            </w:r>
            <w:r>
              <w:rPr>
                <w:rFonts w:hint="eastAsia"/>
                <w:b/>
                <w:bCs/>
                <w:sz w:val="28"/>
                <w:szCs w:val="28"/>
                <w:u w:val="single"/>
                <w:lang w:val="en-US" w:eastAsia="zh-CN"/>
              </w:rPr>
              <w:t>三本帐分析</w:t>
            </w:r>
          </w:p>
          <w:p w14:paraId="324C1E53">
            <w:pPr>
              <w:keepNext w:val="0"/>
              <w:keepLines w:val="0"/>
              <w:widowControl/>
              <w:suppressLineNumbers w:val="0"/>
              <w:bidi w:val="0"/>
              <w:snapToGrid/>
              <w:spacing w:before="0" w:beforeAutospacing="0" w:after="0" w:afterAutospacing="0" w:line="360" w:lineRule="auto"/>
              <w:ind w:left="0" w:right="0" w:firstLine="480" w:firstLineChars="200"/>
              <w:jc w:val="both"/>
              <w:rPr>
                <w:rFonts w:hint="eastAsia" w:ascii="Times New Roman" w:hAnsi="Times New Roman" w:eastAsia="宋体" w:cs="Times New Roman"/>
                <w:kern w:val="0"/>
                <w:sz w:val="24"/>
                <w:szCs w:val="20"/>
                <w:lang w:val="en-US" w:eastAsia="zh-CN" w:bidi="ar-SA"/>
              </w:rPr>
            </w:pPr>
            <w:r>
              <w:rPr>
                <w:rFonts w:hint="eastAsia" w:ascii="Times New Roman" w:hAnsi="Times New Roman" w:eastAsia="宋体" w:cs="Times New Roman"/>
                <w:kern w:val="0"/>
                <w:sz w:val="24"/>
                <w:szCs w:val="20"/>
                <w:u w:val="single"/>
                <w:lang w:val="en-US" w:eastAsia="zh-CN" w:bidi="ar-SA"/>
              </w:rPr>
              <w:t>本项目建成后湖南童记三利和食品有限公司厂区污染物变化情况见下表：</w:t>
            </w:r>
          </w:p>
          <w:p w14:paraId="43314426">
            <w:pPr>
              <w:keepNext w:val="0"/>
              <w:keepLines w:val="0"/>
              <w:widowControl w:val="0"/>
              <w:numPr>
                <w:ilvl w:val="0"/>
                <w:numId w:val="7"/>
              </w:numPr>
              <w:suppressLineNumbers w:val="0"/>
              <w:spacing w:before="0" w:beforeAutospacing="0" w:after="0" w:afterAutospacing="0"/>
              <w:ind w:left="0" w:right="0" w:firstLine="0" w:firstLineChars="0"/>
              <w:jc w:val="center"/>
              <w:rPr>
                <w:rFonts w:hint="default" w:ascii="Times New Roman" w:hAnsi="Times New Roman" w:eastAsia="宋体" w:cs="Times New Roman"/>
                <w:b/>
                <w:bCs/>
                <w:kern w:val="2"/>
                <w:sz w:val="24"/>
                <w:szCs w:val="24"/>
                <w:lang w:val="en-US" w:eastAsia="zh-CN" w:bidi="ar-SA"/>
              </w:rPr>
            </w:pPr>
            <w:r>
              <w:rPr>
                <w:rFonts w:hint="eastAsia" w:ascii="Times New Roman" w:hAnsi="Times New Roman" w:eastAsia="宋体" w:cs="Times New Roman"/>
                <w:b/>
                <w:kern w:val="2"/>
                <w:sz w:val="24"/>
                <w:szCs w:val="24"/>
                <w:u w:val="single"/>
                <w:lang w:val="en-US" w:eastAsia="zh-CN" w:bidi="ar-SA"/>
              </w:rPr>
              <w:t>改扩建</w:t>
            </w:r>
            <w:r>
              <w:rPr>
                <w:rFonts w:hint="eastAsia" w:cs="Times New Roman"/>
                <w:b/>
                <w:kern w:val="2"/>
                <w:sz w:val="24"/>
                <w:szCs w:val="24"/>
                <w:u w:val="single"/>
                <w:lang w:val="en-US" w:eastAsia="zh-CN" w:bidi="ar-SA"/>
              </w:rPr>
              <w:t>前</w:t>
            </w:r>
            <w:r>
              <w:rPr>
                <w:rFonts w:hint="eastAsia" w:ascii="Times New Roman" w:hAnsi="Times New Roman" w:eastAsia="宋体" w:cs="Times New Roman"/>
                <w:b/>
                <w:kern w:val="2"/>
                <w:sz w:val="24"/>
                <w:szCs w:val="24"/>
                <w:u w:val="single"/>
                <w:lang w:val="en-US" w:eastAsia="zh-CN" w:bidi="ar-SA"/>
              </w:rPr>
              <w:t>后全厂产排污情况</w:t>
            </w:r>
            <w:r>
              <w:rPr>
                <w:rFonts w:hint="eastAsia" w:ascii="Times New Roman" w:hAnsi="Times New Roman" w:eastAsia="宋体" w:cs="Times New Roman"/>
                <w:b/>
                <w:bCs/>
                <w:kern w:val="2"/>
                <w:sz w:val="24"/>
                <w:szCs w:val="24"/>
                <w:u w:val="single"/>
                <w:lang w:val="en-US" w:eastAsia="zh-CN" w:bidi="ar-SA"/>
              </w:rPr>
              <w:t>一览表</w:t>
            </w:r>
          </w:p>
          <w:tbl>
            <w:tblPr>
              <w:tblStyle w:val="24"/>
              <w:tblW w:w="500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1069"/>
              <w:gridCol w:w="991"/>
              <w:gridCol w:w="975"/>
              <w:gridCol w:w="969"/>
              <w:gridCol w:w="978"/>
              <w:gridCol w:w="967"/>
              <w:gridCol w:w="983"/>
            </w:tblGrid>
            <w:tr w14:paraId="1493C6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restart"/>
                  <w:tcBorders>
                    <w:tl2br w:val="nil"/>
                    <w:tr2bl w:val="nil"/>
                  </w:tcBorders>
                  <w:noWrap w:val="0"/>
                  <w:vAlign w:val="center"/>
                </w:tcPr>
                <w:p w14:paraId="6BC43636">
                  <w:pPr>
                    <w:keepNext w:val="0"/>
                    <w:keepLines w:val="0"/>
                    <w:suppressLineNumbers w:val="0"/>
                    <w:spacing w:before="0" w:beforeAutospacing="0" w:after="0" w:afterAutospacing="0"/>
                    <w:ind w:left="-63" w:leftChars="-30" w:right="-63" w:rightChars="-30"/>
                    <w:jc w:val="center"/>
                    <w:rPr>
                      <w:rFonts w:hint="default"/>
                      <w:b/>
                      <w:bCs/>
                      <w:u w:val="single"/>
                    </w:rPr>
                  </w:pPr>
                  <w:r>
                    <w:rPr>
                      <w:rFonts w:hint="default"/>
                      <w:b/>
                      <w:bCs/>
                      <w:u w:val="single"/>
                    </w:rPr>
                    <w:t>污染源/产污工序</w:t>
                  </w:r>
                </w:p>
              </w:tc>
              <w:tc>
                <w:tcPr>
                  <w:tcW w:w="643" w:type="pct"/>
                  <w:vMerge w:val="restart"/>
                  <w:tcBorders>
                    <w:tl2br w:val="nil"/>
                    <w:tr2bl w:val="nil"/>
                  </w:tcBorders>
                  <w:noWrap w:val="0"/>
                  <w:vAlign w:val="center"/>
                </w:tcPr>
                <w:p w14:paraId="7A65B95B">
                  <w:pPr>
                    <w:keepNext w:val="0"/>
                    <w:keepLines w:val="0"/>
                    <w:suppressLineNumbers w:val="0"/>
                    <w:spacing w:before="0" w:beforeAutospacing="0" w:after="0" w:afterAutospacing="0"/>
                    <w:ind w:left="-63" w:leftChars="-30" w:right="-63" w:rightChars="-30"/>
                    <w:jc w:val="center"/>
                    <w:rPr>
                      <w:rFonts w:hint="default"/>
                      <w:b/>
                      <w:bCs/>
                      <w:u w:val="single"/>
                    </w:rPr>
                  </w:pPr>
                  <w:r>
                    <w:rPr>
                      <w:rFonts w:hint="default"/>
                      <w:b/>
                      <w:bCs/>
                      <w:u w:val="single"/>
                    </w:rPr>
                    <w:t>污染物</w:t>
                  </w:r>
                </w:p>
              </w:tc>
              <w:tc>
                <w:tcPr>
                  <w:tcW w:w="1179" w:type="pct"/>
                  <w:gridSpan w:val="2"/>
                  <w:tcBorders>
                    <w:tl2br w:val="nil"/>
                    <w:tr2bl w:val="nil"/>
                  </w:tcBorders>
                  <w:noWrap w:val="0"/>
                  <w:vAlign w:val="center"/>
                </w:tcPr>
                <w:p w14:paraId="19C908C4">
                  <w:pPr>
                    <w:keepNext w:val="0"/>
                    <w:keepLines w:val="0"/>
                    <w:suppressLineNumbers w:val="0"/>
                    <w:spacing w:before="0" w:beforeAutospacing="0" w:after="0" w:afterAutospacing="0"/>
                    <w:ind w:left="-63" w:leftChars="-30" w:right="-63" w:rightChars="-30"/>
                    <w:jc w:val="center"/>
                    <w:rPr>
                      <w:rFonts w:hint="default"/>
                      <w:b/>
                      <w:bCs/>
                      <w:u w:val="single"/>
                    </w:rPr>
                  </w:pPr>
                  <w:r>
                    <w:rPr>
                      <w:rFonts w:hint="default"/>
                      <w:b/>
                      <w:bCs/>
                      <w:u w:val="single"/>
                    </w:rPr>
                    <w:t>产生情况</w:t>
                  </w:r>
                </w:p>
              </w:tc>
              <w:tc>
                <w:tcPr>
                  <w:tcW w:w="1171" w:type="pct"/>
                  <w:gridSpan w:val="2"/>
                  <w:tcBorders>
                    <w:tl2br w:val="nil"/>
                    <w:tr2bl w:val="nil"/>
                  </w:tcBorders>
                  <w:noWrap w:val="0"/>
                  <w:vAlign w:val="center"/>
                </w:tcPr>
                <w:p w14:paraId="2308A2C1">
                  <w:pPr>
                    <w:keepNext w:val="0"/>
                    <w:keepLines w:val="0"/>
                    <w:suppressLineNumbers w:val="0"/>
                    <w:spacing w:before="0" w:beforeAutospacing="0" w:after="0" w:afterAutospacing="0"/>
                    <w:ind w:left="-63" w:leftChars="-30" w:right="-63" w:rightChars="-30"/>
                    <w:jc w:val="center"/>
                    <w:rPr>
                      <w:rFonts w:hint="default"/>
                      <w:b/>
                      <w:bCs/>
                      <w:u w:val="single"/>
                    </w:rPr>
                  </w:pPr>
                  <w:r>
                    <w:rPr>
                      <w:rFonts w:hint="default"/>
                      <w:b/>
                      <w:bCs/>
                      <w:u w:val="single"/>
                    </w:rPr>
                    <w:t>治理措施</w:t>
                  </w:r>
                </w:p>
              </w:tc>
              <w:tc>
                <w:tcPr>
                  <w:tcW w:w="1172" w:type="pct"/>
                  <w:gridSpan w:val="2"/>
                  <w:tcBorders>
                    <w:tl2br w:val="nil"/>
                    <w:tr2bl w:val="nil"/>
                  </w:tcBorders>
                  <w:noWrap w:val="0"/>
                  <w:vAlign w:val="center"/>
                </w:tcPr>
                <w:p w14:paraId="64F88817">
                  <w:pPr>
                    <w:keepNext w:val="0"/>
                    <w:keepLines w:val="0"/>
                    <w:suppressLineNumbers w:val="0"/>
                    <w:spacing w:before="0" w:beforeAutospacing="0" w:after="0" w:afterAutospacing="0"/>
                    <w:ind w:left="-63" w:leftChars="-30" w:right="-63" w:rightChars="-30"/>
                    <w:jc w:val="center"/>
                    <w:rPr>
                      <w:rFonts w:hint="default"/>
                      <w:b/>
                      <w:bCs/>
                      <w:u w:val="single"/>
                    </w:rPr>
                  </w:pPr>
                  <w:r>
                    <w:rPr>
                      <w:rFonts w:hint="default"/>
                      <w:b/>
                      <w:bCs/>
                      <w:u w:val="single"/>
                    </w:rPr>
                    <w:t>排放情况</w:t>
                  </w:r>
                </w:p>
              </w:tc>
            </w:tr>
            <w:tr w14:paraId="54FA81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continue"/>
                  <w:tcBorders>
                    <w:tl2br w:val="nil"/>
                    <w:tr2bl w:val="nil"/>
                  </w:tcBorders>
                  <w:noWrap w:val="0"/>
                  <w:vAlign w:val="center"/>
                </w:tcPr>
                <w:p w14:paraId="49D30D3C">
                  <w:pPr>
                    <w:keepNext w:val="0"/>
                    <w:keepLines w:val="0"/>
                    <w:suppressLineNumbers w:val="0"/>
                    <w:spacing w:before="0" w:beforeAutospacing="0" w:after="0" w:afterAutospacing="0"/>
                    <w:ind w:left="-63" w:leftChars="-30" w:right="-63" w:rightChars="-30"/>
                    <w:jc w:val="center"/>
                    <w:rPr>
                      <w:rFonts w:hint="default"/>
                      <w:b/>
                      <w:bCs/>
                      <w:u w:val="single"/>
                    </w:rPr>
                  </w:pPr>
                </w:p>
              </w:tc>
              <w:tc>
                <w:tcPr>
                  <w:tcW w:w="643" w:type="pct"/>
                  <w:vMerge w:val="continue"/>
                  <w:tcBorders>
                    <w:tl2br w:val="nil"/>
                    <w:tr2bl w:val="nil"/>
                  </w:tcBorders>
                  <w:noWrap w:val="0"/>
                  <w:vAlign w:val="center"/>
                </w:tcPr>
                <w:p w14:paraId="51F9F96F">
                  <w:pPr>
                    <w:keepNext w:val="0"/>
                    <w:keepLines w:val="0"/>
                    <w:suppressLineNumbers w:val="0"/>
                    <w:spacing w:before="0" w:beforeAutospacing="0" w:after="0" w:afterAutospacing="0"/>
                    <w:ind w:left="-63" w:leftChars="-30" w:right="-63" w:rightChars="-30"/>
                    <w:jc w:val="center"/>
                    <w:rPr>
                      <w:rFonts w:hint="default"/>
                      <w:b/>
                      <w:bCs/>
                      <w:u w:val="single"/>
                    </w:rPr>
                  </w:pPr>
                </w:p>
              </w:tc>
              <w:tc>
                <w:tcPr>
                  <w:tcW w:w="596" w:type="pct"/>
                  <w:tcBorders>
                    <w:tl2br w:val="nil"/>
                    <w:tr2bl w:val="nil"/>
                  </w:tcBorders>
                  <w:noWrap w:val="0"/>
                  <w:vAlign w:val="center"/>
                </w:tcPr>
                <w:p w14:paraId="436BBBBA">
                  <w:pPr>
                    <w:pStyle w:val="71"/>
                    <w:keepNext w:val="0"/>
                    <w:keepLines w:val="0"/>
                    <w:suppressLineNumbers w:val="0"/>
                    <w:spacing w:before="0" w:beforeAutospacing="0" w:after="0" w:afterAutospacing="0"/>
                    <w:ind w:left="0" w:right="0"/>
                    <w:rPr>
                      <w:rFonts w:hint="default"/>
                      <w:b/>
                      <w:bCs/>
                      <w:u w:val="single"/>
                    </w:rPr>
                  </w:pPr>
                  <w:r>
                    <w:rPr>
                      <w:rFonts w:hint="eastAsia"/>
                      <w:b/>
                      <w:bCs/>
                      <w:u w:val="single"/>
                      <w:lang w:val="en-US" w:eastAsia="zh-CN"/>
                    </w:rPr>
                    <w:t>改扩建前全厂</w:t>
                  </w:r>
                  <w:r>
                    <w:rPr>
                      <w:rFonts w:hint="default"/>
                      <w:b/>
                      <w:bCs/>
                      <w:u w:val="single"/>
                    </w:rPr>
                    <w:t>产生量t/a</w:t>
                  </w:r>
                </w:p>
              </w:tc>
              <w:tc>
                <w:tcPr>
                  <w:tcW w:w="583" w:type="pct"/>
                  <w:tcBorders>
                    <w:tl2br w:val="nil"/>
                    <w:tr2bl w:val="nil"/>
                  </w:tcBorders>
                  <w:noWrap w:val="0"/>
                  <w:vAlign w:val="center"/>
                </w:tcPr>
                <w:p w14:paraId="717E028D">
                  <w:pPr>
                    <w:keepNext w:val="0"/>
                    <w:keepLines w:val="0"/>
                    <w:suppressLineNumbers w:val="0"/>
                    <w:spacing w:before="0" w:beforeAutospacing="0" w:after="0" w:afterAutospacing="0"/>
                    <w:ind w:left="-63" w:leftChars="-30" w:right="-63" w:rightChars="-30"/>
                    <w:jc w:val="center"/>
                    <w:rPr>
                      <w:rFonts w:hint="default"/>
                      <w:b/>
                      <w:bCs/>
                      <w:u w:val="single"/>
                    </w:rPr>
                  </w:pPr>
                  <w:r>
                    <w:rPr>
                      <w:rFonts w:hint="eastAsia"/>
                      <w:b/>
                      <w:bCs/>
                      <w:u w:val="single"/>
                      <w:lang w:val="en-US" w:eastAsia="zh-CN"/>
                    </w:rPr>
                    <w:t>改扩建后全厂产生量t/a</w:t>
                  </w:r>
                </w:p>
              </w:tc>
              <w:tc>
                <w:tcPr>
                  <w:tcW w:w="583" w:type="pct"/>
                  <w:tcBorders>
                    <w:tl2br w:val="nil"/>
                    <w:tr2bl w:val="nil"/>
                  </w:tcBorders>
                  <w:noWrap w:val="0"/>
                  <w:vAlign w:val="center"/>
                </w:tcPr>
                <w:p w14:paraId="302D45FE">
                  <w:pPr>
                    <w:pStyle w:val="71"/>
                    <w:keepNext w:val="0"/>
                    <w:keepLines w:val="0"/>
                    <w:suppressLineNumbers w:val="0"/>
                    <w:spacing w:before="0" w:beforeAutospacing="0" w:after="0" w:afterAutospacing="0"/>
                    <w:ind w:left="-63" w:leftChars="-30" w:right="-63" w:rightChars="-30"/>
                    <w:rPr>
                      <w:rFonts w:hint="default"/>
                      <w:b/>
                      <w:bCs/>
                      <w:u w:val="single"/>
                    </w:rPr>
                  </w:pPr>
                  <w:r>
                    <w:rPr>
                      <w:rFonts w:hint="eastAsia"/>
                      <w:b/>
                      <w:bCs/>
                      <w:u w:val="single"/>
                      <w:lang w:val="en-US" w:eastAsia="zh-CN"/>
                    </w:rPr>
                    <w:t>改扩建前</w:t>
                  </w:r>
                  <w:r>
                    <w:rPr>
                      <w:rFonts w:hint="default"/>
                      <w:b/>
                      <w:bCs/>
                      <w:u w:val="single"/>
                    </w:rPr>
                    <w:t>治理措施</w:t>
                  </w:r>
                </w:p>
              </w:tc>
              <w:tc>
                <w:tcPr>
                  <w:tcW w:w="587" w:type="pct"/>
                  <w:tcBorders>
                    <w:tl2br w:val="nil"/>
                    <w:tr2bl w:val="nil"/>
                  </w:tcBorders>
                  <w:noWrap w:val="0"/>
                  <w:vAlign w:val="center"/>
                </w:tcPr>
                <w:p w14:paraId="742907CD">
                  <w:pPr>
                    <w:pStyle w:val="71"/>
                    <w:keepNext w:val="0"/>
                    <w:keepLines w:val="0"/>
                    <w:suppressLineNumbers w:val="0"/>
                    <w:spacing w:before="0" w:beforeAutospacing="0" w:after="0" w:afterAutospacing="0"/>
                    <w:ind w:left="-63" w:leftChars="-30" w:right="-63" w:rightChars="-30"/>
                    <w:rPr>
                      <w:rFonts w:hint="default" w:eastAsia="宋体"/>
                      <w:b/>
                      <w:bCs/>
                      <w:u w:val="single"/>
                      <w:lang w:val="en-US" w:eastAsia="zh-CN"/>
                    </w:rPr>
                  </w:pPr>
                  <w:r>
                    <w:rPr>
                      <w:rFonts w:hint="eastAsia"/>
                      <w:b/>
                      <w:bCs/>
                      <w:u w:val="single"/>
                      <w:lang w:val="en-US" w:eastAsia="zh-CN"/>
                    </w:rPr>
                    <w:t>改扩建后治理措施</w:t>
                  </w:r>
                </w:p>
              </w:tc>
              <w:tc>
                <w:tcPr>
                  <w:tcW w:w="581" w:type="pct"/>
                  <w:tcBorders>
                    <w:tl2br w:val="nil"/>
                    <w:tr2bl w:val="nil"/>
                  </w:tcBorders>
                  <w:noWrap w:val="0"/>
                  <w:vAlign w:val="center"/>
                </w:tcPr>
                <w:p w14:paraId="3DBFB0B8">
                  <w:pPr>
                    <w:pStyle w:val="71"/>
                    <w:keepNext w:val="0"/>
                    <w:keepLines w:val="0"/>
                    <w:suppressLineNumbers w:val="0"/>
                    <w:spacing w:before="0" w:beforeAutospacing="0" w:after="0" w:afterAutospacing="0"/>
                    <w:ind w:left="-63" w:leftChars="-30" w:right="-63" w:rightChars="-30"/>
                    <w:rPr>
                      <w:rFonts w:hint="default"/>
                      <w:b/>
                      <w:bCs/>
                      <w:u w:val="single"/>
                    </w:rPr>
                  </w:pPr>
                  <w:r>
                    <w:rPr>
                      <w:rFonts w:hint="eastAsia"/>
                      <w:b/>
                      <w:bCs/>
                      <w:u w:val="single"/>
                      <w:lang w:val="en-US" w:eastAsia="zh-CN"/>
                    </w:rPr>
                    <w:t>改扩建前全厂</w:t>
                  </w:r>
                  <w:r>
                    <w:rPr>
                      <w:rFonts w:hint="default"/>
                      <w:b/>
                      <w:bCs/>
                      <w:u w:val="single"/>
                    </w:rPr>
                    <w:t>排放量t/a</w:t>
                  </w:r>
                </w:p>
              </w:tc>
              <w:tc>
                <w:tcPr>
                  <w:tcW w:w="591" w:type="pct"/>
                  <w:tcBorders>
                    <w:tl2br w:val="nil"/>
                    <w:tr2bl w:val="nil"/>
                  </w:tcBorders>
                  <w:noWrap w:val="0"/>
                  <w:vAlign w:val="center"/>
                </w:tcPr>
                <w:p w14:paraId="0ADAA4C8">
                  <w:pPr>
                    <w:pStyle w:val="71"/>
                    <w:keepNext w:val="0"/>
                    <w:keepLines w:val="0"/>
                    <w:suppressLineNumbers w:val="0"/>
                    <w:spacing w:before="0" w:beforeAutospacing="0" w:after="0" w:afterAutospacing="0"/>
                    <w:ind w:left="-63" w:leftChars="-30" w:right="-63" w:rightChars="-30"/>
                    <w:rPr>
                      <w:rFonts w:hint="default"/>
                      <w:b/>
                      <w:bCs/>
                      <w:u w:val="single"/>
                    </w:rPr>
                  </w:pPr>
                  <w:r>
                    <w:rPr>
                      <w:rFonts w:hint="eastAsia"/>
                      <w:b/>
                      <w:bCs/>
                      <w:u w:val="single"/>
                      <w:lang w:val="en-US" w:eastAsia="zh-CN"/>
                    </w:rPr>
                    <w:t>改扩建后全厂排放量t/a</w:t>
                  </w:r>
                </w:p>
              </w:tc>
            </w:tr>
            <w:tr w14:paraId="3E7954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restart"/>
                  <w:tcBorders>
                    <w:tl2br w:val="nil"/>
                    <w:tr2bl w:val="nil"/>
                  </w:tcBorders>
                  <w:noWrap w:val="0"/>
                  <w:vAlign w:val="center"/>
                </w:tcPr>
                <w:p w14:paraId="68C42D1F">
                  <w:pPr>
                    <w:keepNext w:val="0"/>
                    <w:keepLines w:val="0"/>
                    <w:suppressLineNumbers w:val="0"/>
                    <w:spacing w:before="0" w:beforeAutospacing="0" w:after="0" w:afterAutospacing="0"/>
                    <w:ind w:left="-63" w:leftChars="-30" w:right="-63" w:rightChars="-30"/>
                    <w:jc w:val="center"/>
                    <w:rPr>
                      <w:rFonts w:hint="eastAsia" w:eastAsia="宋体"/>
                      <w:u w:val="single"/>
                      <w:lang w:val="en-US" w:eastAsia="zh-CN"/>
                    </w:rPr>
                  </w:pPr>
                  <w:r>
                    <w:rPr>
                      <w:rFonts w:hint="eastAsia" w:eastAsia="宋体"/>
                      <w:u w:val="single"/>
                      <w:lang w:val="en-US" w:eastAsia="zh-CN"/>
                    </w:rPr>
                    <w:t>锅炉废气</w:t>
                  </w:r>
                </w:p>
              </w:tc>
              <w:tc>
                <w:tcPr>
                  <w:tcW w:w="643" w:type="pct"/>
                  <w:tcBorders>
                    <w:tl2br w:val="nil"/>
                    <w:tr2bl w:val="nil"/>
                  </w:tcBorders>
                  <w:noWrap w:val="0"/>
                  <w:vAlign w:val="center"/>
                </w:tcPr>
                <w:p w14:paraId="612F2DB2">
                  <w:pPr>
                    <w:keepNext w:val="0"/>
                    <w:keepLines w:val="0"/>
                    <w:suppressLineNumbers w:val="0"/>
                    <w:spacing w:before="0" w:beforeAutospacing="0" w:after="0" w:afterAutospacing="0"/>
                    <w:ind w:left="-63" w:leftChars="-30" w:right="-63" w:rightChars="-30"/>
                    <w:jc w:val="center"/>
                    <w:rPr>
                      <w:rFonts w:hint="default"/>
                      <w:u w:val="single"/>
                    </w:rPr>
                  </w:pPr>
                  <w:r>
                    <w:rPr>
                      <w:rFonts w:hint="default"/>
                      <w:u w:val="single"/>
                    </w:rPr>
                    <w:t>颗粒物</w:t>
                  </w:r>
                </w:p>
              </w:tc>
              <w:tc>
                <w:tcPr>
                  <w:tcW w:w="596" w:type="pct"/>
                  <w:tcBorders>
                    <w:tl2br w:val="nil"/>
                    <w:tr2bl w:val="nil"/>
                  </w:tcBorders>
                  <w:noWrap w:val="0"/>
                  <w:vAlign w:val="center"/>
                </w:tcPr>
                <w:p w14:paraId="79550789">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1.17</w:t>
                  </w:r>
                </w:p>
              </w:tc>
              <w:tc>
                <w:tcPr>
                  <w:tcW w:w="583" w:type="pct"/>
                  <w:tcBorders>
                    <w:tl2br w:val="nil"/>
                    <w:tr2bl w:val="nil"/>
                  </w:tcBorders>
                  <w:noWrap w:val="0"/>
                  <w:vAlign w:val="center"/>
                </w:tcPr>
                <w:p w14:paraId="4CC59A54">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1.698</w:t>
                  </w:r>
                </w:p>
              </w:tc>
              <w:tc>
                <w:tcPr>
                  <w:tcW w:w="583" w:type="pct"/>
                  <w:vMerge w:val="restart"/>
                  <w:tcBorders>
                    <w:tl2br w:val="nil"/>
                    <w:tr2bl w:val="nil"/>
                  </w:tcBorders>
                  <w:shd w:val="clear" w:color="auto" w:fill="auto"/>
                  <w:noWrap w:val="0"/>
                  <w:vAlign w:val="center"/>
                </w:tcPr>
                <w:p w14:paraId="3498CB2B">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水膜除尘</w:t>
                  </w:r>
                </w:p>
              </w:tc>
              <w:tc>
                <w:tcPr>
                  <w:tcW w:w="587" w:type="pct"/>
                  <w:vMerge w:val="restart"/>
                  <w:tcBorders>
                    <w:tl2br w:val="nil"/>
                    <w:tr2bl w:val="nil"/>
                  </w:tcBorders>
                  <w:shd w:val="clear" w:color="auto" w:fill="auto"/>
                  <w:noWrap w:val="0"/>
                  <w:vAlign w:val="center"/>
                </w:tcPr>
                <w:p w14:paraId="698773E4">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单管旋风除尘+布袋除尘</w:t>
                  </w:r>
                </w:p>
              </w:tc>
              <w:tc>
                <w:tcPr>
                  <w:tcW w:w="581" w:type="pct"/>
                  <w:tcBorders>
                    <w:tl2br w:val="nil"/>
                    <w:tr2bl w:val="nil"/>
                  </w:tcBorders>
                  <w:shd w:val="clear" w:color="auto" w:fill="auto"/>
                  <w:noWrap w:val="0"/>
                  <w:vAlign w:val="center"/>
                </w:tcPr>
                <w:p w14:paraId="66307208">
                  <w:pPr>
                    <w:pStyle w:val="19"/>
                    <w:keepNext w:val="0"/>
                    <w:keepLines w:val="0"/>
                    <w:suppressLineNumbers w:val="0"/>
                    <w:spacing w:before="0" w:beforeAutospacing="0" w:after="0" w:afterAutospacing="0"/>
                    <w:ind w:left="0" w:leftChars="0" w:right="0" w:rightChars="0"/>
                    <w:rPr>
                      <w:rFonts w:hint="default" w:ascii="Times New Roman" w:eastAsia="宋体"/>
                      <w:szCs w:val="21"/>
                      <w:highlight w:val="none"/>
                      <w:u w:val="single"/>
                    </w:rPr>
                  </w:pPr>
                  <w:r>
                    <w:rPr>
                      <w:rFonts w:hint="eastAsia" w:ascii="Times New Roman" w:eastAsia="宋体" w:cs="Times New Roman"/>
                      <w:sz w:val="21"/>
                      <w:szCs w:val="21"/>
                      <w:highlight w:val="none"/>
                      <w:u w:val="single"/>
                      <w:vertAlign w:val="baseline"/>
                      <w:lang w:val="en-US" w:eastAsia="zh-CN"/>
                    </w:rPr>
                    <w:t>0.352</w:t>
                  </w:r>
                </w:p>
              </w:tc>
              <w:tc>
                <w:tcPr>
                  <w:tcW w:w="591" w:type="pct"/>
                  <w:tcBorders>
                    <w:tl2br w:val="nil"/>
                    <w:tr2bl w:val="nil"/>
                  </w:tcBorders>
                  <w:shd w:val="clear" w:color="auto" w:fill="auto"/>
                  <w:noWrap w:val="0"/>
                  <w:vAlign w:val="center"/>
                </w:tcPr>
                <w:p w14:paraId="4745CDB4">
                  <w:pPr>
                    <w:keepNext w:val="0"/>
                    <w:keepLines w:val="0"/>
                    <w:widowControl/>
                    <w:suppressLineNumbers w:val="0"/>
                    <w:adjustRightInd w:val="0"/>
                    <w:spacing w:before="63" w:beforeLines="20" w:beforeAutospacing="0" w:after="63" w:afterLines="20" w:afterAutospacing="0"/>
                    <w:ind w:left="0" w:leftChars="0" w:right="0" w:rightChars="0"/>
                    <w:jc w:val="center"/>
                    <w:rPr>
                      <w:rFonts w:hint="default" w:eastAsia="宋体"/>
                      <w:szCs w:val="21"/>
                      <w:highlight w:val="none"/>
                      <w:u w:val="single"/>
                      <w:lang w:val="en-US" w:eastAsia="zh-CN"/>
                    </w:rPr>
                  </w:pPr>
                  <w:r>
                    <w:rPr>
                      <w:rFonts w:hint="eastAsia"/>
                      <w:szCs w:val="21"/>
                      <w:highlight w:val="none"/>
                      <w:u w:val="single"/>
                      <w:lang w:val="en-US" w:eastAsia="zh-CN"/>
                    </w:rPr>
                    <w:t>0.076</w:t>
                  </w:r>
                </w:p>
              </w:tc>
            </w:tr>
            <w:tr w14:paraId="46C3B8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continue"/>
                  <w:tcBorders>
                    <w:tl2br w:val="nil"/>
                    <w:tr2bl w:val="nil"/>
                  </w:tcBorders>
                  <w:noWrap w:val="0"/>
                  <w:vAlign w:val="center"/>
                </w:tcPr>
                <w:p w14:paraId="5F613480">
                  <w:pPr>
                    <w:keepNext w:val="0"/>
                    <w:keepLines w:val="0"/>
                    <w:suppressLineNumbers w:val="0"/>
                    <w:spacing w:before="0" w:beforeAutospacing="0" w:after="0" w:afterAutospacing="0"/>
                    <w:ind w:left="-63" w:leftChars="-30" w:right="-63" w:rightChars="-30"/>
                    <w:jc w:val="center"/>
                    <w:rPr>
                      <w:rFonts w:hint="eastAsia"/>
                      <w:u w:val="single"/>
                      <w:lang w:val="en-US" w:eastAsia="zh-CN"/>
                    </w:rPr>
                  </w:pPr>
                </w:p>
              </w:tc>
              <w:tc>
                <w:tcPr>
                  <w:tcW w:w="643" w:type="pct"/>
                  <w:tcBorders>
                    <w:tl2br w:val="nil"/>
                    <w:tr2bl w:val="nil"/>
                  </w:tcBorders>
                  <w:noWrap w:val="0"/>
                  <w:vAlign w:val="center"/>
                </w:tcPr>
                <w:p w14:paraId="430088F3">
                  <w:pPr>
                    <w:keepNext w:val="0"/>
                    <w:keepLines w:val="0"/>
                    <w:suppressLineNumbers w:val="0"/>
                    <w:spacing w:before="0" w:beforeAutospacing="0" w:after="0" w:afterAutospacing="0"/>
                    <w:ind w:left="-63" w:leftChars="-30" w:right="-63" w:rightChars="-30"/>
                    <w:jc w:val="center"/>
                    <w:rPr>
                      <w:rFonts w:hint="eastAsia" w:eastAsia="宋体"/>
                      <w:u w:val="single"/>
                      <w:lang w:val="en-US" w:eastAsia="zh-CN"/>
                    </w:rPr>
                  </w:pPr>
                  <w:r>
                    <w:rPr>
                      <w:rFonts w:hint="eastAsia"/>
                      <w:u w:val="single"/>
                      <w:lang w:val="en-US" w:eastAsia="zh-CN"/>
                    </w:rPr>
                    <w:t>二氧化硫</w:t>
                  </w:r>
                </w:p>
              </w:tc>
              <w:tc>
                <w:tcPr>
                  <w:tcW w:w="596" w:type="pct"/>
                  <w:tcBorders>
                    <w:tl2br w:val="nil"/>
                    <w:tr2bl w:val="nil"/>
                  </w:tcBorders>
                  <w:noWrap w:val="0"/>
                  <w:vAlign w:val="center"/>
                </w:tcPr>
                <w:p w14:paraId="5D733D29">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0.614</w:t>
                  </w:r>
                </w:p>
              </w:tc>
              <w:tc>
                <w:tcPr>
                  <w:tcW w:w="583" w:type="pct"/>
                  <w:tcBorders>
                    <w:tl2br w:val="nil"/>
                    <w:tr2bl w:val="nil"/>
                  </w:tcBorders>
                  <w:noWrap w:val="0"/>
                  <w:vAlign w:val="center"/>
                </w:tcPr>
                <w:p w14:paraId="299FF041">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2.309</w:t>
                  </w:r>
                </w:p>
              </w:tc>
              <w:tc>
                <w:tcPr>
                  <w:tcW w:w="583" w:type="pct"/>
                  <w:vMerge w:val="continue"/>
                  <w:tcBorders>
                    <w:tl2br w:val="nil"/>
                    <w:tr2bl w:val="nil"/>
                  </w:tcBorders>
                  <w:noWrap w:val="0"/>
                  <w:vAlign w:val="center"/>
                </w:tcPr>
                <w:p w14:paraId="1B3983B6">
                  <w:pPr>
                    <w:keepNext w:val="0"/>
                    <w:keepLines w:val="0"/>
                    <w:suppressLineNumbers w:val="0"/>
                    <w:spacing w:before="0" w:beforeAutospacing="0" w:after="0" w:afterAutospacing="0"/>
                    <w:ind w:left="-63" w:leftChars="-30" w:right="-63" w:rightChars="-30"/>
                    <w:jc w:val="center"/>
                    <w:rPr>
                      <w:rFonts w:hint="default"/>
                      <w:u w:val="single"/>
                    </w:rPr>
                  </w:pPr>
                </w:p>
              </w:tc>
              <w:tc>
                <w:tcPr>
                  <w:tcW w:w="587" w:type="pct"/>
                  <w:vMerge w:val="continue"/>
                  <w:tcBorders>
                    <w:tl2br w:val="nil"/>
                    <w:tr2bl w:val="nil"/>
                  </w:tcBorders>
                  <w:noWrap w:val="0"/>
                  <w:vAlign w:val="center"/>
                </w:tcPr>
                <w:p w14:paraId="5FB1AEED">
                  <w:pPr>
                    <w:keepNext w:val="0"/>
                    <w:keepLines w:val="0"/>
                    <w:suppressLineNumbers w:val="0"/>
                    <w:spacing w:before="0" w:beforeAutospacing="0" w:after="0" w:afterAutospacing="0"/>
                    <w:ind w:left="-63" w:leftChars="-30" w:right="-63" w:rightChars="-30"/>
                    <w:jc w:val="center"/>
                    <w:rPr>
                      <w:rFonts w:hint="eastAsia"/>
                      <w:u w:val="single"/>
                    </w:rPr>
                  </w:pPr>
                </w:p>
              </w:tc>
              <w:tc>
                <w:tcPr>
                  <w:tcW w:w="581" w:type="pct"/>
                  <w:tcBorders>
                    <w:tl2br w:val="nil"/>
                    <w:tr2bl w:val="nil"/>
                  </w:tcBorders>
                  <w:shd w:val="clear" w:color="auto" w:fill="auto"/>
                  <w:noWrap w:val="0"/>
                  <w:vAlign w:val="center"/>
                </w:tcPr>
                <w:p w14:paraId="4C3B40EE">
                  <w:pPr>
                    <w:pStyle w:val="19"/>
                    <w:keepNext w:val="0"/>
                    <w:keepLines w:val="0"/>
                    <w:suppressLineNumbers w:val="0"/>
                    <w:spacing w:before="0" w:beforeAutospacing="0" w:after="0" w:afterAutospacing="0"/>
                    <w:ind w:left="0" w:leftChars="0" w:right="0" w:rightChars="0"/>
                    <w:rPr>
                      <w:rFonts w:hint="default" w:ascii="Times New Roman"/>
                      <w:szCs w:val="21"/>
                      <w:highlight w:val="none"/>
                      <w:u w:val="single"/>
                      <w:lang w:val="en-US"/>
                    </w:rPr>
                  </w:pPr>
                  <w:r>
                    <w:rPr>
                      <w:rFonts w:hint="eastAsia" w:ascii="Times New Roman" w:eastAsia="宋体" w:cs="Times New Roman"/>
                      <w:sz w:val="21"/>
                      <w:szCs w:val="21"/>
                      <w:highlight w:val="none"/>
                      <w:u w:val="single"/>
                      <w:vertAlign w:val="baseline"/>
                      <w:lang w:val="en-US" w:eastAsia="zh-CN"/>
                    </w:rPr>
                    <w:t>0.614</w:t>
                  </w:r>
                </w:p>
              </w:tc>
              <w:tc>
                <w:tcPr>
                  <w:tcW w:w="591" w:type="pct"/>
                  <w:tcBorders>
                    <w:tl2br w:val="nil"/>
                    <w:tr2bl w:val="nil"/>
                  </w:tcBorders>
                  <w:shd w:val="clear" w:color="auto" w:fill="auto"/>
                  <w:noWrap w:val="0"/>
                  <w:vAlign w:val="center"/>
                </w:tcPr>
                <w:p w14:paraId="276DDC1E">
                  <w:pPr>
                    <w:keepNext w:val="0"/>
                    <w:keepLines w:val="0"/>
                    <w:widowControl/>
                    <w:suppressLineNumbers w:val="0"/>
                    <w:spacing w:before="0" w:beforeAutospacing="0" w:after="0" w:afterAutospacing="0"/>
                    <w:ind w:left="0" w:leftChars="0" w:right="0" w:rightChars="0"/>
                    <w:jc w:val="center"/>
                    <w:rPr>
                      <w:rFonts w:hint="default" w:eastAsia="宋体"/>
                      <w:szCs w:val="21"/>
                      <w:highlight w:val="none"/>
                      <w:u w:val="single"/>
                      <w:lang w:val="en-US" w:eastAsia="zh-CN"/>
                    </w:rPr>
                  </w:pPr>
                  <w:r>
                    <w:rPr>
                      <w:rFonts w:hint="eastAsia"/>
                      <w:szCs w:val="21"/>
                      <w:highlight w:val="none"/>
                      <w:u w:val="single"/>
                      <w:lang w:val="en-US" w:eastAsia="zh-CN"/>
                    </w:rPr>
                    <w:t>2.309</w:t>
                  </w:r>
                </w:p>
              </w:tc>
            </w:tr>
            <w:tr w14:paraId="75FFC6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continue"/>
                  <w:tcBorders>
                    <w:tl2br w:val="nil"/>
                    <w:tr2bl w:val="nil"/>
                  </w:tcBorders>
                  <w:noWrap w:val="0"/>
                  <w:vAlign w:val="center"/>
                </w:tcPr>
                <w:p w14:paraId="271FB2EC">
                  <w:pPr>
                    <w:keepNext w:val="0"/>
                    <w:keepLines w:val="0"/>
                    <w:suppressLineNumbers w:val="0"/>
                    <w:spacing w:before="0" w:beforeAutospacing="0" w:after="0" w:afterAutospacing="0"/>
                    <w:ind w:left="-63" w:leftChars="-30" w:right="-63" w:rightChars="-30"/>
                    <w:jc w:val="center"/>
                    <w:rPr>
                      <w:rFonts w:hint="eastAsia"/>
                      <w:u w:val="single"/>
                      <w:lang w:val="en-US" w:eastAsia="zh-CN"/>
                    </w:rPr>
                  </w:pPr>
                </w:p>
              </w:tc>
              <w:tc>
                <w:tcPr>
                  <w:tcW w:w="643" w:type="pct"/>
                  <w:tcBorders>
                    <w:tl2br w:val="nil"/>
                    <w:tr2bl w:val="nil"/>
                  </w:tcBorders>
                  <w:noWrap w:val="0"/>
                  <w:vAlign w:val="center"/>
                </w:tcPr>
                <w:p w14:paraId="768ED8BD">
                  <w:pPr>
                    <w:keepNext w:val="0"/>
                    <w:keepLines w:val="0"/>
                    <w:suppressLineNumbers w:val="0"/>
                    <w:spacing w:before="0" w:beforeAutospacing="0" w:after="0" w:afterAutospacing="0"/>
                    <w:ind w:left="-63" w:leftChars="-30" w:right="-63" w:rightChars="-30"/>
                    <w:jc w:val="center"/>
                    <w:rPr>
                      <w:rFonts w:hint="eastAsia" w:eastAsia="宋体"/>
                      <w:u w:val="single"/>
                      <w:lang w:val="en-US" w:eastAsia="zh-CN"/>
                    </w:rPr>
                  </w:pPr>
                  <w:r>
                    <w:rPr>
                      <w:rFonts w:hint="eastAsia"/>
                      <w:u w:val="single"/>
                      <w:lang w:val="en-US" w:eastAsia="zh-CN"/>
                    </w:rPr>
                    <w:t>氮氧化物</w:t>
                  </w:r>
                </w:p>
              </w:tc>
              <w:tc>
                <w:tcPr>
                  <w:tcW w:w="596" w:type="pct"/>
                  <w:tcBorders>
                    <w:tl2br w:val="nil"/>
                    <w:tr2bl w:val="nil"/>
                  </w:tcBorders>
                  <w:noWrap w:val="0"/>
                  <w:vAlign w:val="center"/>
                </w:tcPr>
                <w:p w14:paraId="0ABFE382">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3.205</w:t>
                  </w:r>
                </w:p>
              </w:tc>
              <w:tc>
                <w:tcPr>
                  <w:tcW w:w="583" w:type="pct"/>
                  <w:tcBorders>
                    <w:tl2br w:val="nil"/>
                    <w:tr2bl w:val="nil"/>
                  </w:tcBorders>
                  <w:noWrap w:val="0"/>
                  <w:vAlign w:val="center"/>
                </w:tcPr>
                <w:p w14:paraId="44B74E31">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3.464</w:t>
                  </w:r>
                </w:p>
              </w:tc>
              <w:tc>
                <w:tcPr>
                  <w:tcW w:w="583" w:type="pct"/>
                  <w:vMerge w:val="continue"/>
                  <w:tcBorders>
                    <w:tl2br w:val="nil"/>
                    <w:tr2bl w:val="nil"/>
                  </w:tcBorders>
                  <w:noWrap w:val="0"/>
                  <w:vAlign w:val="center"/>
                </w:tcPr>
                <w:p w14:paraId="5F7EA527">
                  <w:pPr>
                    <w:keepNext w:val="0"/>
                    <w:keepLines w:val="0"/>
                    <w:suppressLineNumbers w:val="0"/>
                    <w:spacing w:before="0" w:beforeAutospacing="0" w:after="0" w:afterAutospacing="0"/>
                    <w:ind w:left="-63" w:leftChars="-30" w:right="-63" w:rightChars="-30"/>
                    <w:jc w:val="center"/>
                    <w:rPr>
                      <w:rFonts w:hint="default"/>
                      <w:u w:val="single"/>
                    </w:rPr>
                  </w:pPr>
                </w:p>
              </w:tc>
              <w:tc>
                <w:tcPr>
                  <w:tcW w:w="587" w:type="pct"/>
                  <w:vMerge w:val="continue"/>
                  <w:tcBorders>
                    <w:tl2br w:val="nil"/>
                    <w:tr2bl w:val="nil"/>
                  </w:tcBorders>
                  <w:noWrap w:val="0"/>
                  <w:vAlign w:val="center"/>
                </w:tcPr>
                <w:p w14:paraId="520CB9D9">
                  <w:pPr>
                    <w:keepNext w:val="0"/>
                    <w:keepLines w:val="0"/>
                    <w:suppressLineNumbers w:val="0"/>
                    <w:spacing w:before="0" w:beforeAutospacing="0" w:after="0" w:afterAutospacing="0"/>
                    <w:ind w:left="-63" w:leftChars="-30" w:right="-63" w:rightChars="-30"/>
                    <w:jc w:val="center"/>
                    <w:rPr>
                      <w:rFonts w:hint="eastAsia"/>
                      <w:u w:val="single"/>
                    </w:rPr>
                  </w:pPr>
                </w:p>
              </w:tc>
              <w:tc>
                <w:tcPr>
                  <w:tcW w:w="581" w:type="pct"/>
                  <w:tcBorders>
                    <w:tl2br w:val="nil"/>
                    <w:tr2bl w:val="nil"/>
                  </w:tcBorders>
                  <w:shd w:val="clear" w:color="auto" w:fill="auto"/>
                  <w:noWrap w:val="0"/>
                  <w:vAlign w:val="center"/>
                </w:tcPr>
                <w:p w14:paraId="3ED1271C">
                  <w:pPr>
                    <w:pStyle w:val="19"/>
                    <w:keepNext w:val="0"/>
                    <w:keepLines w:val="0"/>
                    <w:suppressLineNumbers w:val="0"/>
                    <w:spacing w:before="0" w:beforeAutospacing="0" w:after="0" w:afterAutospacing="0"/>
                    <w:ind w:left="0" w:leftChars="0" w:right="0" w:rightChars="0"/>
                    <w:rPr>
                      <w:rFonts w:hint="default" w:ascii="Times New Roman"/>
                      <w:szCs w:val="21"/>
                      <w:highlight w:val="none"/>
                      <w:u w:val="single"/>
                      <w:lang w:val="en-US"/>
                    </w:rPr>
                  </w:pPr>
                  <w:r>
                    <w:rPr>
                      <w:rFonts w:hint="eastAsia" w:ascii="Times New Roman" w:eastAsia="宋体" w:cs="Times New Roman"/>
                      <w:sz w:val="21"/>
                      <w:szCs w:val="21"/>
                      <w:highlight w:val="none"/>
                      <w:u w:val="single"/>
                      <w:vertAlign w:val="baseline"/>
                      <w:lang w:val="en-US" w:eastAsia="zh-CN"/>
                    </w:rPr>
                    <w:t>3.205</w:t>
                  </w:r>
                </w:p>
              </w:tc>
              <w:tc>
                <w:tcPr>
                  <w:tcW w:w="591" w:type="pct"/>
                  <w:tcBorders>
                    <w:tl2br w:val="nil"/>
                    <w:tr2bl w:val="nil"/>
                  </w:tcBorders>
                  <w:shd w:val="clear" w:color="auto" w:fill="auto"/>
                  <w:noWrap w:val="0"/>
                  <w:vAlign w:val="center"/>
                </w:tcPr>
                <w:p w14:paraId="7FE3CCDC">
                  <w:pPr>
                    <w:keepNext w:val="0"/>
                    <w:keepLines w:val="0"/>
                    <w:widowControl/>
                    <w:suppressLineNumbers w:val="0"/>
                    <w:spacing w:before="0" w:beforeAutospacing="0" w:after="0" w:afterAutospacing="0"/>
                    <w:ind w:left="0" w:leftChars="0" w:right="0" w:rightChars="0"/>
                    <w:jc w:val="center"/>
                    <w:rPr>
                      <w:rFonts w:hint="default" w:eastAsia="宋体"/>
                      <w:szCs w:val="21"/>
                      <w:highlight w:val="none"/>
                      <w:u w:val="single"/>
                      <w:lang w:val="en-US" w:eastAsia="zh-CN"/>
                    </w:rPr>
                  </w:pPr>
                  <w:r>
                    <w:rPr>
                      <w:rFonts w:hint="eastAsia"/>
                      <w:szCs w:val="21"/>
                      <w:highlight w:val="none"/>
                      <w:u w:val="single"/>
                      <w:lang w:val="en-US" w:eastAsia="zh-CN"/>
                    </w:rPr>
                    <w:t>3.464</w:t>
                  </w:r>
                </w:p>
              </w:tc>
            </w:tr>
            <w:tr w14:paraId="707798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Borders>
                    <w:tl2br w:val="nil"/>
                    <w:tr2bl w:val="nil"/>
                  </w:tcBorders>
                  <w:noWrap w:val="0"/>
                  <w:vAlign w:val="center"/>
                </w:tcPr>
                <w:p w14:paraId="63406272">
                  <w:pPr>
                    <w:keepNext w:val="0"/>
                    <w:keepLines w:val="0"/>
                    <w:suppressLineNumbers w:val="0"/>
                    <w:spacing w:before="0" w:beforeAutospacing="0" w:after="0" w:afterAutospacing="0"/>
                    <w:ind w:left="-63" w:leftChars="-30" w:right="-63" w:rightChars="-30"/>
                    <w:jc w:val="center"/>
                    <w:rPr>
                      <w:rFonts w:hint="eastAsia" w:eastAsia="宋体"/>
                      <w:u w:val="single"/>
                      <w:lang w:val="en-US" w:eastAsia="zh-CN"/>
                    </w:rPr>
                  </w:pPr>
                  <w:r>
                    <w:rPr>
                      <w:rFonts w:hint="eastAsia"/>
                      <w:u w:val="single"/>
                      <w:lang w:val="en-US" w:eastAsia="zh-CN"/>
                    </w:rPr>
                    <w:t>油炸废气</w:t>
                  </w:r>
                </w:p>
              </w:tc>
              <w:tc>
                <w:tcPr>
                  <w:tcW w:w="643" w:type="pct"/>
                  <w:tcBorders>
                    <w:tl2br w:val="nil"/>
                    <w:tr2bl w:val="nil"/>
                  </w:tcBorders>
                  <w:noWrap w:val="0"/>
                  <w:vAlign w:val="center"/>
                </w:tcPr>
                <w:p w14:paraId="170FC894">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油烟</w:t>
                  </w:r>
                </w:p>
              </w:tc>
              <w:tc>
                <w:tcPr>
                  <w:tcW w:w="596" w:type="pct"/>
                  <w:tcBorders>
                    <w:tl2br w:val="nil"/>
                    <w:tr2bl w:val="nil"/>
                  </w:tcBorders>
                  <w:noWrap w:val="0"/>
                  <w:vAlign w:val="center"/>
                </w:tcPr>
                <w:p w14:paraId="3AE24D1B">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1.56</w:t>
                  </w:r>
                </w:p>
              </w:tc>
              <w:tc>
                <w:tcPr>
                  <w:tcW w:w="583" w:type="pct"/>
                  <w:tcBorders>
                    <w:tl2br w:val="nil"/>
                    <w:tr2bl w:val="nil"/>
                  </w:tcBorders>
                  <w:noWrap w:val="0"/>
                  <w:vAlign w:val="center"/>
                </w:tcPr>
                <w:p w14:paraId="38C59BEC">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3.568</w:t>
                  </w:r>
                </w:p>
              </w:tc>
              <w:tc>
                <w:tcPr>
                  <w:tcW w:w="583" w:type="pct"/>
                  <w:tcBorders>
                    <w:tl2br w:val="nil"/>
                    <w:tr2bl w:val="nil"/>
                  </w:tcBorders>
                  <w:noWrap w:val="0"/>
                  <w:vAlign w:val="center"/>
                </w:tcPr>
                <w:p w14:paraId="4E825CA4">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工业静电油烟处理设备</w:t>
                  </w:r>
                </w:p>
              </w:tc>
              <w:tc>
                <w:tcPr>
                  <w:tcW w:w="587" w:type="pct"/>
                  <w:tcBorders>
                    <w:tl2br w:val="nil"/>
                    <w:tr2bl w:val="nil"/>
                  </w:tcBorders>
                  <w:noWrap w:val="0"/>
                  <w:vAlign w:val="center"/>
                </w:tcPr>
                <w:p w14:paraId="0329FD7F">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工业静电油烟处理设备</w:t>
                  </w:r>
                </w:p>
              </w:tc>
              <w:tc>
                <w:tcPr>
                  <w:tcW w:w="581" w:type="pct"/>
                  <w:tcBorders>
                    <w:tl2br w:val="nil"/>
                    <w:tr2bl w:val="nil"/>
                  </w:tcBorders>
                  <w:shd w:val="clear" w:color="auto" w:fill="auto"/>
                  <w:noWrap w:val="0"/>
                  <w:vAlign w:val="center"/>
                </w:tcPr>
                <w:p w14:paraId="7743E0F6">
                  <w:pPr>
                    <w:pStyle w:val="19"/>
                    <w:keepNext w:val="0"/>
                    <w:keepLines w:val="0"/>
                    <w:suppressLineNumbers w:val="0"/>
                    <w:spacing w:before="0" w:beforeAutospacing="0" w:after="0" w:afterAutospacing="0"/>
                    <w:ind w:left="0" w:leftChars="0" w:right="0" w:rightChars="0"/>
                    <w:rPr>
                      <w:rFonts w:hint="default" w:ascii="Times New Roman"/>
                      <w:szCs w:val="21"/>
                      <w:highlight w:val="none"/>
                      <w:u w:val="single"/>
                    </w:rPr>
                  </w:pPr>
                  <w:r>
                    <w:rPr>
                      <w:rFonts w:hint="eastAsia" w:ascii="Times New Roman" w:eastAsia="宋体" w:cs="Times New Roman"/>
                      <w:sz w:val="21"/>
                      <w:szCs w:val="21"/>
                      <w:highlight w:val="none"/>
                      <w:u w:val="single"/>
                      <w:vertAlign w:val="baseline"/>
                      <w:lang w:val="en-US" w:eastAsia="zh-CN"/>
                    </w:rPr>
                    <w:t>0.078</w:t>
                  </w:r>
                </w:p>
              </w:tc>
              <w:tc>
                <w:tcPr>
                  <w:tcW w:w="591" w:type="pct"/>
                  <w:tcBorders>
                    <w:tl2br w:val="nil"/>
                    <w:tr2bl w:val="nil"/>
                  </w:tcBorders>
                  <w:shd w:val="clear" w:color="auto" w:fill="auto"/>
                  <w:noWrap w:val="0"/>
                  <w:vAlign w:val="center"/>
                </w:tcPr>
                <w:p w14:paraId="413EBA9C">
                  <w:pPr>
                    <w:keepNext w:val="0"/>
                    <w:keepLines w:val="0"/>
                    <w:widowControl/>
                    <w:suppressLineNumbers w:val="0"/>
                    <w:adjustRightInd w:val="0"/>
                    <w:spacing w:before="63" w:beforeLines="20" w:beforeAutospacing="0" w:after="63" w:afterLines="20" w:afterAutospacing="0"/>
                    <w:ind w:left="0" w:leftChars="0" w:right="0" w:rightChars="0"/>
                    <w:jc w:val="center"/>
                    <w:rPr>
                      <w:rFonts w:hint="default"/>
                      <w:szCs w:val="21"/>
                      <w:highlight w:val="none"/>
                      <w:u w:val="single"/>
                    </w:rPr>
                  </w:pPr>
                  <w:r>
                    <w:rPr>
                      <w:rFonts w:hint="eastAsia"/>
                      <w:sz w:val="21"/>
                      <w:szCs w:val="21"/>
                      <w:highlight w:val="none"/>
                      <w:u w:val="single"/>
                      <w:lang w:val="en-US" w:eastAsia="zh-CN"/>
                    </w:rPr>
                    <w:t>0.1784</w:t>
                  </w:r>
                </w:p>
              </w:tc>
            </w:tr>
            <w:tr w14:paraId="5B52DA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833" w:type="pct"/>
                  <w:vMerge w:val="restart"/>
                  <w:tcBorders>
                    <w:tl2br w:val="nil"/>
                    <w:tr2bl w:val="nil"/>
                  </w:tcBorders>
                  <w:noWrap w:val="0"/>
                  <w:vAlign w:val="center"/>
                </w:tcPr>
                <w:p w14:paraId="0F94231B">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废水</w:t>
                  </w:r>
                </w:p>
              </w:tc>
              <w:tc>
                <w:tcPr>
                  <w:tcW w:w="643" w:type="pct"/>
                  <w:tcBorders>
                    <w:tl2br w:val="nil"/>
                    <w:tr2bl w:val="nil"/>
                  </w:tcBorders>
                  <w:noWrap w:val="0"/>
                  <w:vAlign w:val="center"/>
                </w:tcPr>
                <w:p w14:paraId="091484DD">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废水量</w:t>
                  </w:r>
                </w:p>
              </w:tc>
              <w:tc>
                <w:tcPr>
                  <w:tcW w:w="596" w:type="pct"/>
                  <w:tcBorders>
                    <w:tl2br w:val="nil"/>
                    <w:tr2bl w:val="nil"/>
                  </w:tcBorders>
                  <w:noWrap w:val="0"/>
                  <w:vAlign w:val="center"/>
                </w:tcPr>
                <w:p w14:paraId="029C3B26">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47141.25</w:t>
                  </w:r>
                </w:p>
              </w:tc>
              <w:tc>
                <w:tcPr>
                  <w:tcW w:w="583" w:type="pct"/>
                  <w:tcBorders>
                    <w:tl2br w:val="nil"/>
                    <w:tr2bl w:val="nil"/>
                  </w:tcBorders>
                  <w:noWrap w:val="0"/>
                  <w:vAlign w:val="center"/>
                </w:tcPr>
                <w:p w14:paraId="5BFC7DE3">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default" w:eastAsia="宋体"/>
                      <w:u w:val="single"/>
                      <w:lang w:val="en-US" w:eastAsia="zh-CN"/>
                    </w:rPr>
                    <w:t>116</w:t>
                  </w:r>
                  <w:r>
                    <w:rPr>
                      <w:rFonts w:hint="eastAsia"/>
                      <w:u w:val="single"/>
                      <w:lang w:val="en-US" w:eastAsia="zh-CN"/>
                    </w:rPr>
                    <w:t>25</w:t>
                  </w:r>
                  <w:r>
                    <w:rPr>
                      <w:rFonts w:hint="default" w:eastAsia="宋体"/>
                      <w:u w:val="single"/>
                      <w:lang w:val="en-US" w:eastAsia="zh-CN"/>
                    </w:rPr>
                    <w:t>1.64</w:t>
                  </w:r>
                </w:p>
              </w:tc>
              <w:tc>
                <w:tcPr>
                  <w:tcW w:w="583" w:type="pct"/>
                  <w:vMerge w:val="restart"/>
                  <w:tcBorders>
                    <w:tl2br w:val="nil"/>
                    <w:tr2bl w:val="nil"/>
                  </w:tcBorders>
                  <w:noWrap w:val="0"/>
                  <w:vAlign w:val="center"/>
                </w:tcPr>
                <w:p w14:paraId="61B12AB1">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生产废水经隔油沉淀池处理，生活污水经化粪池处理</w:t>
                  </w:r>
                </w:p>
              </w:tc>
              <w:tc>
                <w:tcPr>
                  <w:tcW w:w="587" w:type="pct"/>
                  <w:vMerge w:val="restart"/>
                  <w:tcBorders>
                    <w:tl2br w:val="nil"/>
                    <w:tr2bl w:val="nil"/>
                  </w:tcBorders>
                  <w:noWrap w:val="0"/>
                  <w:vAlign w:val="center"/>
                </w:tcPr>
                <w:p w14:paraId="499BA12D">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生产废水经隔油沉淀池处理，生活污水经化粪池处理</w:t>
                  </w:r>
                </w:p>
              </w:tc>
              <w:tc>
                <w:tcPr>
                  <w:tcW w:w="581" w:type="pct"/>
                  <w:tcBorders>
                    <w:tl2br w:val="nil"/>
                    <w:tr2bl w:val="nil"/>
                  </w:tcBorders>
                  <w:noWrap w:val="0"/>
                  <w:vAlign w:val="center"/>
                </w:tcPr>
                <w:p w14:paraId="2534235D">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47141.25</w:t>
                  </w:r>
                </w:p>
              </w:tc>
              <w:tc>
                <w:tcPr>
                  <w:tcW w:w="591" w:type="pct"/>
                  <w:tcBorders>
                    <w:tl2br w:val="nil"/>
                    <w:tr2bl w:val="nil"/>
                  </w:tcBorders>
                  <w:noWrap w:val="0"/>
                  <w:vAlign w:val="center"/>
                </w:tcPr>
                <w:p w14:paraId="20B13AD2">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default" w:eastAsia="宋体"/>
                      <w:u w:val="single"/>
                      <w:lang w:val="en-US" w:eastAsia="zh-CN"/>
                    </w:rPr>
                    <w:t>116</w:t>
                  </w:r>
                  <w:r>
                    <w:rPr>
                      <w:rFonts w:hint="eastAsia"/>
                      <w:u w:val="single"/>
                      <w:lang w:val="en-US" w:eastAsia="zh-CN"/>
                    </w:rPr>
                    <w:t>25</w:t>
                  </w:r>
                  <w:r>
                    <w:rPr>
                      <w:rFonts w:hint="default" w:eastAsia="宋体"/>
                      <w:u w:val="single"/>
                      <w:lang w:val="en-US" w:eastAsia="zh-CN"/>
                    </w:rPr>
                    <w:t>1.64</w:t>
                  </w:r>
                </w:p>
              </w:tc>
            </w:tr>
            <w:tr w14:paraId="6D0DD0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33" w:type="pct"/>
                  <w:vMerge w:val="continue"/>
                  <w:tcBorders>
                    <w:tl2br w:val="nil"/>
                    <w:tr2bl w:val="nil"/>
                  </w:tcBorders>
                  <w:noWrap w:val="0"/>
                  <w:vAlign w:val="center"/>
                </w:tcPr>
                <w:p w14:paraId="7AE6B631">
                  <w:pPr>
                    <w:keepNext w:val="0"/>
                    <w:keepLines w:val="0"/>
                    <w:suppressLineNumbers w:val="0"/>
                    <w:spacing w:before="0" w:beforeAutospacing="0" w:after="0" w:afterAutospacing="0"/>
                    <w:ind w:left="-63" w:leftChars="-30" w:right="-63" w:rightChars="-30"/>
                    <w:jc w:val="center"/>
                    <w:rPr>
                      <w:rFonts w:hint="default"/>
                      <w:u w:val="single"/>
                    </w:rPr>
                  </w:pPr>
                </w:p>
              </w:tc>
              <w:tc>
                <w:tcPr>
                  <w:tcW w:w="643" w:type="pct"/>
                  <w:tcBorders>
                    <w:tl2br w:val="nil"/>
                    <w:tr2bl w:val="nil"/>
                  </w:tcBorders>
                  <w:noWrap w:val="0"/>
                  <w:vAlign w:val="center"/>
                </w:tcPr>
                <w:p w14:paraId="67A920B6">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COD</w:t>
                  </w:r>
                </w:p>
              </w:tc>
              <w:tc>
                <w:tcPr>
                  <w:tcW w:w="596" w:type="pct"/>
                  <w:tcBorders>
                    <w:tl2br w:val="nil"/>
                    <w:tr2bl w:val="nil"/>
                  </w:tcBorders>
                  <w:noWrap w:val="0"/>
                  <w:vAlign w:val="center"/>
                </w:tcPr>
                <w:p w14:paraId="504343C4">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22.63</w:t>
                  </w:r>
                </w:p>
              </w:tc>
              <w:tc>
                <w:tcPr>
                  <w:tcW w:w="583" w:type="pct"/>
                  <w:tcBorders>
                    <w:tl2br w:val="nil"/>
                    <w:tr2bl w:val="nil"/>
                  </w:tcBorders>
                  <w:noWrap w:val="0"/>
                  <w:vAlign w:val="center"/>
                </w:tcPr>
                <w:p w14:paraId="002219C1">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84.069</w:t>
                  </w:r>
                </w:p>
              </w:tc>
              <w:tc>
                <w:tcPr>
                  <w:tcW w:w="583" w:type="pct"/>
                  <w:vMerge w:val="continue"/>
                  <w:tcBorders>
                    <w:tl2br w:val="nil"/>
                    <w:tr2bl w:val="nil"/>
                  </w:tcBorders>
                  <w:noWrap w:val="0"/>
                  <w:vAlign w:val="center"/>
                </w:tcPr>
                <w:p w14:paraId="1B11355D">
                  <w:pPr>
                    <w:keepNext w:val="0"/>
                    <w:keepLines w:val="0"/>
                    <w:suppressLineNumbers w:val="0"/>
                    <w:spacing w:before="0" w:beforeAutospacing="0" w:after="0" w:afterAutospacing="0"/>
                    <w:ind w:left="-63" w:leftChars="-30" w:right="-63" w:rightChars="-30"/>
                    <w:jc w:val="center"/>
                    <w:rPr>
                      <w:rFonts w:hint="default"/>
                      <w:u w:val="single"/>
                    </w:rPr>
                  </w:pPr>
                </w:p>
              </w:tc>
              <w:tc>
                <w:tcPr>
                  <w:tcW w:w="587" w:type="pct"/>
                  <w:vMerge w:val="continue"/>
                  <w:tcBorders>
                    <w:tl2br w:val="nil"/>
                    <w:tr2bl w:val="nil"/>
                  </w:tcBorders>
                  <w:noWrap w:val="0"/>
                  <w:vAlign w:val="center"/>
                </w:tcPr>
                <w:p w14:paraId="3C35848C">
                  <w:pPr>
                    <w:keepNext w:val="0"/>
                    <w:keepLines w:val="0"/>
                    <w:suppressLineNumbers w:val="0"/>
                    <w:spacing w:before="0" w:beforeAutospacing="0" w:after="0" w:afterAutospacing="0"/>
                    <w:ind w:left="-63" w:leftChars="-30" w:right="-63" w:rightChars="-30"/>
                    <w:jc w:val="center"/>
                    <w:rPr>
                      <w:rFonts w:hint="default"/>
                      <w:u w:val="single"/>
                    </w:rPr>
                  </w:pPr>
                </w:p>
              </w:tc>
              <w:tc>
                <w:tcPr>
                  <w:tcW w:w="581" w:type="pct"/>
                  <w:tcBorders>
                    <w:tl2br w:val="nil"/>
                    <w:tr2bl w:val="nil"/>
                  </w:tcBorders>
                  <w:noWrap w:val="0"/>
                  <w:vAlign w:val="center"/>
                </w:tcPr>
                <w:p w14:paraId="5FAF19EC">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2.357</w:t>
                  </w:r>
                </w:p>
              </w:tc>
              <w:tc>
                <w:tcPr>
                  <w:tcW w:w="591" w:type="pct"/>
                  <w:tcBorders>
                    <w:tl2br w:val="nil"/>
                    <w:tr2bl w:val="nil"/>
                  </w:tcBorders>
                  <w:noWrap w:val="0"/>
                  <w:vAlign w:val="center"/>
                </w:tcPr>
                <w:p w14:paraId="6B5AF6BF">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5.813</w:t>
                  </w:r>
                </w:p>
              </w:tc>
            </w:tr>
            <w:tr w14:paraId="748F3B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continue"/>
                  <w:tcBorders>
                    <w:tl2br w:val="nil"/>
                    <w:tr2bl w:val="nil"/>
                  </w:tcBorders>
                  <w:noWrap w:val="0"/>
                  <w:vAlign w:val="center"/>
                </w:tcPr>
                <w:p w14:paraId="164116D8">
                  <w:pPr>
                    <w:keepNext w:val="0"/>
                    <w:keepLines w:val="0"/>
                    <w:suppressLineNumbers w:val="0"/>
                    <w:spacing w:before="0" w:beforeAutospacing="0" w:after="0" w:afterAutospacing="0"/>
                    <w:ind w:left="-63" w:leftChars="-30" w:right="-63" w:rightChars="-30"/>
                    <w:jc w:val="center"/>
                    <w:rPr>
                      <w:rFonts w:hint="default"/>
                      <w:u w:val="single"/>
                    </w:rPr>
                  </w:pPr>
                </w:p>
              </w:tc>
              <w:tc>
                <w:tcPr>
                  <w:tcW w:w="643" w:type="pct"/>
                  <w:tcBorders>
                    <w:tl2br w:val="nil"/>
                    <w:tr2bl w:val="nil"/>
                  </w:tcBorders>
                  <w:noWrap w:val="0"/>
                  <w:vAlign w:val="center"/>
                </w:tcPr>
                <w:p w14:paraId="1EF7E45D">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氨氮</w:t>
                  </w:r>
                </w:p>
              </w:tc>
              <w:tc>
                <w:tcPr>
                  <w:tcW w:w="596" w:type="pct"/>
                  <w:tcBorders>
                    <w:tl2br w:val="nil"/>
                    <w:tr2bl w:val="nil"/>
                  </w:tcBorders>
                  <w:noWrap w:val="0"/>
                  <w:vAlign w:val="center"/>
                </w:tcPr>
                <w:p w14:paraId="69340213">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0.707</w:t>
                  </w:r>
                </w:p>
              </w:tc>
              <w:tc>
                <w:tcPr>
                  <w:tcW w:w="583" w:type="pct"/>
                  <w:tcBorders>
                    <w:tl2br w:val="nil"/>
                    <w:tr2bl w:val="nil"/>
                  </w:tcBorders>
                  <w:noWrap w:val="0"/>
                  <w:vAlign w:val="center"/>
                </w:tcPr>
                <w:p w14:paraId="627AB3DF">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2.127</w:t>
                  </w:r>
                </w:p>
              </w:tc>
              <w:tc>
                <w:tcPr>
                  <w:tcW w:w="583" w:type="pct"/>
                  <w:vMerge w:val="continue"/>
                  <w:tcBorders>
                    <w:tl2br w:val="nil"/>
                    <w:tr2bl w:val="nil"/>
                  </w:tcBorders>
                  <w:noWrap w:val="0"/>
                  <w:vAlign w:val="center"/>
                </w:tcPr>
                <w:p w14:paraId="44B83F6B">
                  <w:pPr>
                    <w:keepNext w:val="0"/>
                    <w:keepLines w:val="0"/>
                    <w:suppressLineNumbers w:val="0"/>
                    <w:spacing w:before="0" w:beforeAutospacing="0" w:after="0" w:afterAutospacing="0"/>
                    <w:ind w:left="-63" w:leftChars="-30" w:right="-63" w:rightChars="-30"/>
                    <w:jc w:val="center"/>
                    <w:rPr>
                      <w:rFonts w:hint="default"/>
                      <w:u w:val="single"/>
                    </w:rPr>
                  </w:pPr>
                </w:p>
              </w:tc>
              <w:tc>
                <w:tcPr>
                  <w:tcW w:w="587" w:type="pct"/>
                  <w:vMerge w:val="continue"/>
                  <w:tcBorders>
                    <w:tl2br w:val="nil"/>
                    <w:tr2bl w:val="nil"/>
                  </w:tcBorders>
                  <w:noWrap w:val="0"/>
                  <w:vAlign w:val="center"/>
                </w:tcPr>
                <w:p w14:paraId="7FB14C71">
                  <w:pPr>
                    <w:keepNext w:val="0"/>
                    <w:keepLines w:val="0"/>
                    <w:suppressLineNumbers w:val="0"/>
                    <w:spacing w:before="0" w:beforeAutospacing="0" w:after="0" w:afterAutospacing="0"/>
                    <w:ind w:left="-63" w:leftChars="-30" w:right="-63" w:rightChars="-30"/>
                    <w:jc w:val="center"/>
                    <w:rPr>
                      <w:rFonts w:hint="default"/>
                      <w:u w:val="single"/>
                    </w:rPr>
                  </w:pPr>
                </w:p>
              </w:tc>
              <w:tc>
                <w:tcPr>
                  <w:tcW w:w="581" w:type="pct"/>
                  <w:tcBorders>
                    <w:tl2br w:val="nil"/>
                    <w:tr2bl w:val="nil"/>
                  </w:tcBorders>
                  <w:noWrap w:val="0"/>
                  <w:vAlign w:val="center"/>
                </w:tcPr>
                <w:p w14:paraId="58C67CDA">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0.236</w:t>
                  </w:r>
                </w:p>
              </w:tc>
              <w:tc>
                <w:tcPr>
                  <w:tcW w:w="591" w:type="pct"/>
                  <w:tcBorders>
                    <w:tl2br w:val="nil"/>
                    <w:tr2bl w:val="nil"/>
                  </w:tcBorders>
                  <w:noWrap w:val="0"/>
                  <w:vAlign w:val="center"/>
                </w:tcPr>
                <w:p w14:paraId="39A2A78C">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0.582</w:t>
                  </w:r>
                </w:p>
              </w:tc>
            </w:tr>
            <w:tr w14:paraId="4C4451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restart"/>
                  <w:tcBorders>
                    <w:tl2br w:val="nil"/>
                    <w:tr2bl w:val="nil"/>
                  </w:tcBorders>
                  <w:noWrap w:val="0"/>
                  <w:vAlign w:val="center"/>
                </w:tcPr>
                <w:p w14:paraId="5BAB316C">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固废</w:t>
                  </w:r>
                </w:p>
              </w:tc>
              <w:tc>
                <w:tcPr>
                  <w:tcW w:w="643" w:type="pct"/>
                  <w:tcBorders>
                    <w:tl2br w:val="nil"/>
                    <w:tr2bl w:val="nil"/>
                  </w:tcBorders>
                  <w:noWrap w:val="0"/>
                  <w:vAlign w:val="center"/>
                </w:tcPr>
                <w:p w14:paraId="72DDC9BE">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生产固废</w:t>
                  </w:r>
                </w:p>
              </w:tc>
              <w:tc>
                <w:tcPr>
                  <w:tcW w:w="596" w:type="pct"/>
                  <w:tcBorders>
                    <w:tl2br w:val="nil"/>
                    <w:tr2bl w:val="nil"/>
                  </w:tcBorders>
                  <w:shd w:val="clear" w:color="auto" w:fill="auto"/>
                  <w:noWrap w:val="0"/>
                  <w:vAlign w:val="center"/>
                </w:tcPr>
                <w:p w14:paraId="3AB40EBE">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758.6</w:t>
                  </w:r>
                </w:p>
              </w:tc>
              <w:tc>
                <w:tcPr>
                  <w:tcW w:w="583" w:type="pct"/>
                  <w:tcBorders>
                    <w:tl2br w:val="nil"/>
                    <w:tr2bl w:val="nil"/>
                  </w:tcBorders>
                  <w:shd w:val="clear" w:color="auto" w:fill="auto"/>
                  <w:noWrap w:val="0"/>
                  <w:vAlign w:val="center"/>
                </w:tcPr>
                <w:p w14:paraId="3B95CC38">
                  <w:pPr>
                    <w:keepNext w:val="0"/>
                    <w:keepLines w:val="0"/>
                    <w:suppressLineNumbers w:val="0"/>
                    <w:spacing w:before="0" w:beforeAutospacing="0" w:after="0" w:afterAutospacing="0"/>
                    <w:ind w:left="-63" w:leftChars="-30" w:right="-63" w:rightChars="-30"/>
                    <w:jc w:val="center"/>
                    <w:rPr>
                      <w:rFonts w:hint="default"/>
                      <w:u w:val="single"/>
                      <w:lang w:val="en-US"/>
                    </w:rPr>
                  </w:pPr>
                  <w:r>
                    <w:rPr>
                      <w:rFonts w:hint="eastAsia"/>
                      <w:u w:val="single"/>
                      <w:lang w:val="en-US" w:eastAsia="zh-CN"/>
                    </w:rPr>
                    <w:t>1912.172</w:t>
                  </w:r>
                </w:p>
              </w:tc>
              <w:tc>
                <w:tcPr>
                  <w:tcW w:w="583" w:type="pct"/>
                  <w:tcBorders>
                    <w:tl2br w:val="nil"/>
                    <w:tr2bl w:val="nil"/>
                  </w:tcBorders>
                  <w:shd w:val="clear" w:color="auto" w:fill="auto"/>
                  <w:noWrap w:val="0"/>
                  <w:vAlign w:val="center"/>
                </w:tcPr>
                <w:p w14:paraId="4346A0F3">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暂存于一般固废暂存间，定期外售</w:t>
                  </w:r>
                </w:p>
              </w:tc>
              <w:tc>
                <w:tcPr>
                  <w:tcW w:w="587" w:type="pct"/>
                  <w:tcBorders>
                    <w:tl2br w:val="nil"/>
                    <w:tr2bl w:val="nil"/>
                  </w:tcBorders>
                  <w:shd w:val="clear" w:color="auto" w:fill="auto"/>
                  <w:noWrap w:val="0"/>
                  <w:vAlign w:val="center"/>
                </w:tcPr>
                <w:p w14:paraId="50706362">
                  <w:pPr>
                    <w:keepNext w:val="0"/>
                    <w:keepLines w:val="0"/>
                    <w:suppressLineNumbers w:val="0"/>
                    <w:spacing w:before="0" w:beforeAutospacing="0" w:after="0" w:afterAutospacing="0"/>
                    <w:ind w:left="-63" w:leftChars="-30" w:right="-63" w:rightChars="-30"/>
                    <w:jc w:val="center"/>
                    <w:rPr>
                      <w:rFonts w:hint="eastAsia"/>
                      <w:u w:val="single"/>
                    </w:rPr>
                  </w:pPr>
                  <w:r>
                    <w:rPr>
                      <w:rFonts w:hint="eastAsia"/>
                      <w:u w:val="single"/>
                      <w:lang w:val="en-US" w:eastAsia="zh-CN"/>
                    </w:rPr>
                    <w:t>暂存于一般固废暂存间，定期外售</w:t>
                  </w:r>
                </w:p>
              </w:tc>
              <w:tc>
                <w:tcPr>
                  <w:tcW w:w="581" w:type="pct"/>
                  <w:tcBorders>
                    <w:tl2br w:val="nil"/>
                    <w:tr2bl w:val="nil"/>
                  </w:tcBorders>
                  <w:shd w:val="clear" w:color="auto" w:fill="auto"/>
                  <w:noWrap w:val="0"/>
                  <w:vAlign w:val="center"/>
                </w:tcPr>
                <w:p w14:paraId="1DCFDDDD">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758.6</w:t>
                  </w:r>
                </w:p>
              </w:tc>
              <w:tc>
                <w:tcPr>
                  <w:tcW w:w="591" w:type="pct"/>
                  <w:tcBorders>
                    <w:tl2br w:val="nil"/>
                    <w:tr2bl w:val="nil"/>
                  </w:tcBorders>
                  <w:shd w:val="clear" w:color="auto" w:fill="auto"/>
                  <w:noWrap w:val="0"/>
                  <w:vAlign w:val="center"/>
                </w:tcPr>
                <w:p w14:paraId="3945F5EF">
                  <w:pPr>
                    <w:keepNext w:val="0"/>
                    <w:keepLines w:val="0"/>
                    <w:suppressLineNumbers w:val="0"/>
                    <w:spacing w:before="0" w:beforeAutospacing="0" w:after="0" w:afterAutospacing="0"/>
                    <w:ind w:left="-63" w:leftChars="-30" w:right="-63" w:rightChars="-30"/>
                    <w:jc w:val="center"/>
                    <w:rPr>
                      <w:rFonts w:hint="default"/>
                      <w:u w:val="single"/>
                      <w:lang w:val="en-US"/>
                    </w:rPr>
                  </w:pPr>
                  <w:r>
                    <w:rPr>
                      <w:rFonts w:hint="eastAsia"/>
                      <w:u w:val="single"/>
                      <w:lang w:val="en-US" w:eastAsia="zh-CN"/>
                    </w:rPr>
                    <w:t>1912.172</w:t>
                  </w:r>
                </w:p>
              </w:tc>
            </w:tr>
            <w:tr w14:paraId="474391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continue"/>
                  <w:tcBorders>
                    <w:tl2br w:val="nil"/>
                    <w:tr2bl w:val="nil"/>
                  </w:tcBorders>
                  <w:noWrap w:val="0"/>
                  <w:vAlign w:val="center"/>
                </w:tcPr>
                <w:p w14:paraId="79AC0B64">
                  <w:pPr>
                    <w:keepNext w:val="0"/>
                    <w:keepLines w:val="0"/>
                    <w:suppressLineNumbers w:val="0"/>
                    <w:spacing w:before="0" w:beforeAutospacing="0" w:after="0" w:afterAutospacing="0"/>
                    <w:ind w:left="-63" w:leftChars="-30" w:right="-63" w:rightChars="-30"/>
                    <w:jc w:val="center"/>
                    <w:rPr>
                      <w:rFonts w:hint="default"/>
                      <w:u w:val="single"/>
                    </w:rPr>
                  </w:pPr>
                </w:p>
              </w:tc>
              <w:tc>
                <w:tcPr>
                  <w:tcW w:w="643" w:type="pct"/>
                  <w:tcBorders>
                    <w:tl2br w:val="nil"/>
                    <w:tr2bl w:val="nil"/>
                  </w:tcBorders>
                  <w:noWrap w:val="0"/>
                  <w:vAlign w:val="center"/>
                </w:tcPr>
                <w:p w14:paraId="0CB9F358">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危险废物</w:t>
                  </w:r>
                </w:p>
              </w:tc>
              <w:tc>
                <w:tcPr>
                  <w:tcW w:w="596" w:type="pct"/>
                  <w:tcBorders>
                    <w:tl2br w:val="nil"/>
                    <w:tr2bl w:val="nil"/>
                  </w:tcBorders>
                  <w:noWrap w:val="0"/>
                  <w:vAlign w:val="center"/>
                </w:tcPr>
                <w:p w14:paraId="24EEEA2A">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0.165</w:t>
                  </w:r>
                </w:p>
              </w:tc>
              <w:tc>
                <w:tcPr>
                  <w:tcW w:w="583" w:type="pct"/>
                  <w:tcBorders>
                    <w:tl2br w:val="nil"/>
                    <w:tr2bl w:val="nil"/>
                  </w:tcBorders>
                  <w:noWrap w:val="0"/>
                  <w:vAlign w:val="center"/>
                </w:tcPr>
                <w:p w14:paraId="011511D2">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0.33</w:t>
                  </w:r>
                </w:p>
              </w:tc>
              <w:tc>
                <w:tcPr>
                  <w:tcW w:w="583" w:type="pct"/>
                  <w:tcBorders>
                    <w:tl2br w:val="nil"/>
                    <w:tr2bl w:val="nil"/>
                  </w:tcBorders>
                  <w:noWrap w:val="0"/>
                  <w:vAlign w:val="center"/>
                </w:tcPr>
                <w:p w14:paraId="29C3505F">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暂存于危险废物暂存间</w:t>
                  </w:r>
                </w:p>
              </w:tc>
              <w:tc>
                <w:tcPr>
                  <w:tcW w:w="587" w:type="pct"/>
                  <w:tcBorders>
                    <w:tl2br w:val="nil"/>
                    <w:tr2bl w:val="nil"/>
                  </w:tcBorders>
                  <w:noWrap w:val="0"/>
                  <w:vAlign w:val="center"/>
                </w:tcPr>
                <w:p w14:paraId="2F90A469">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暂存于危险废物暂存间</w:t>
                  </w:r>
                </w:p>
              </w:tc>
              <w:tc>
                <w:tcPr>
                  <w:tcW w:w="581" w:type="pct"/>
                  <w:tcBorders>
                    <w:tl2br w:val="nil"/>
                    <w:tr2bl w:val="nil"/>
                  </w:tcBorders>
                  <w:noWrap w:val="0"/>
                  <w:vAlign w:val="center"/>
                </w:tcPr>
                <w:p w14:paraId="2DB0FC60">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0.165</w:t>
                  </w:r>
                </w:p>
              </w:tc>
              <w:tc>
                <w:tcPr>
                  <w:tcW w:w="591" w:type="pct"/>
                  <w:tcBorders>
                    <w:tl2br w:val="nil"/>
                    <w:tr2bl w:val="nil"/>
                  </w:tcBorders>
                  <w:noWrap w:val="0"/>
                  <w:vAlign w:val="center"/>
                </w:tcPr>
                <w:p w14:paraId="1C79EC6D">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0.33</w:t>
                  </w:r>
                </w:p>
              </w:tc>
            </w:tr>
            <w:tr w14:paraId="1AE89D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vMerge w:val="continue"/>
                  <w:tcBorders>
                    <w:tl2br w:val="nil"/>
                    <w:tr2bl w:val="nil"/>
                  </w:tcBorders>
                  <w:noWrap w:val="0"/>
                  <w:vAlign w:val="center"/>
                </w:tcPr>
                <w:p w14:paraId="5B98B64E">
                  <w:pPr>
                    <w:keepNext w:val="0"/>
                    <w:keepLines w:val="0"/>
                    <w:suppressLineNumbers w:val="0"/>
                    <w:spacing w:before="0" w:beforeAutospacing="0" w:after="0" w:afterAutospacing="0"/>
                    <w:ind w:left="-63" w:leftChars="-30" w:right="-63" w:rightChars="-30"/>
                    <w:jc w:val="center"/>
                    <w:rPr>
                      <w:rFonts w:hint="default"/>
                      <w:u w:val="single"/>
                    </w:rPr>
                  </w:pPr>
                </w:p>
              </w:tc>
              <w:tc>
                <w:tcPr>
                  <w:tcW w:w="643" w:type="pct"/>
                  <w:tcBorders>
                    <w:tl2br w:val="nil"/>
                    <w:tr2bl w:val="nil"/>
                  </w:tcBorders>
                  <w:noWrap w:val="0"/>
                  <w:vAlign w:val="center"/>
                </w:tcPr>
                <w:p w14:paraId="2F48829B">
                  <w:pPr>
                    <w:keepNext w:val="0"/>
                    <w:keepLines w:val="0"/>
                    <w:suppressLineNumbers w:val="0"/>
                    <w:spacing w:before="0" w:beforeAutospacing="0" w:after="0" w:afterAutospacing="0"/>
                    <w:ind w:left="-63" w:leftChars="-30" w:right="-63" w:rightChars="-30"/>
                    <w:jc w:val="center"/>
                    <w:rPr>
                      <w:rFonts w:hint="eastAsia" w:eastAsia="宋体"/>
                      <w:u w:val="single"/>
                      <w:lang w:eastAsia="zh-CN"/>
                    </w:rPr>
                  </w:pPr>
                  <w:r>
                    <w:rPr>
                      <w:rFonts w:hint="eastAsia"/>
                      <w:u w:val="single"/>
                      <w:lang w:val="en-US" w:eastAsia="zh-CN"/>
                    </w:rPr>
                    <w:t>生活垃圾</w:t>
                  </w:r>
                </w:p>
              </w:tc>
              <w:tc>
                <w:tcPr>
                  <w:tcW w:w="596" w:type="pct"/>
                  <w:tcBorders>
                    <w:tl2br w:val="nil"/>
                    <w:tr2bl w:val="nil"/>
                  </w:tcBorders>
                  <w:noWrap w:val="0"/>
                  <w:vAlign w:val="center"/>
                </w:tcPr>
                <w:p w14:paraId="192303BF">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24.62</w:t>
                  </w:r>
                </w:p>
              </w:tc>
              <w:tc>
                <w:tcPr>
                  <w:tcW w:w="583" w:type="pct"/>
                  <w:tcBorders>
                    <w:tl2br w:val="nil"/>
                    <w:tr2bl w:val="nil"/>
                  </w:tcBorders>
                  <w:noWrap w:val="0"/>
                  <w:vAlign w:val="center"/>
                </w:tcPr>
                <w:p w14:paraId="1B6A1B9F">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35.22</w:t>
                  </w:r>
                </w:p>
              </w:tc>
              <w:tc>
                <w:tcPr>
                  <w:tcW w:w="583" w:type="pct"/>
                  <w:tcBorders>
                    <w:tl2br w:val="nil"/>
                    <w:tr2bl w:val="nil"/>
                  </w:tcBorders>
                  <w:noWrap w:val="0"/>
                  <w:vAlign w:val="center"/>
                </w:tcPr>
                <w:p w14:paraId="6F2DB0E7">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环卫部门统一清运</w:t>
                  </w:r>
                </w:p>
              </w:tc>
              <w:tc>
                <w:tcPr>
                  <w:tcW w:w="587" w:type="pct"/>
                  <w:tcBorders>
                    <w:tl2br w:val="nil"/>
                    <w:tr2bl w:val="nil"/>
                  </w:tcBorders>
                  <w:noWrap w:val="0"/>
                  <w:vAlign w:val="center"/>
                </w:tcPr>
                <w:p w14:paraId="3FA97BD9">
                  <w:pPr>
                    <w:keepNext w:val="0"/>
                    <w:keepLines w:val="0"/>
                    <w:suppressLineNumbers w:val="0"/>
                    <w:spacing w:before="0" w:beforeAutospacing="0" w:after="0" w:afterAutospacing="0"/>
                    <w:ind w:left="-63" w:leftChars="-30" w:right="-63" w:rightChars="-30"/>
                    <w:jc w:val="center"/>
                    <w:rPr>
                      <w:rFonts w:hint="default"/>
                      <w:u w:val="single"/>
                    </w:rPr>
                  </w:pPr>
                  <w:r>
                    <w:rPr>
                      <w:rFonts w:hint="eastAsia"/>
                      <w:u w:val="single"/>
                      <w:lang w:val="en-US" w:eastAsia="zh-CN"/>
                    </w:rPr>
                    <w:t>环卫部门统一清运</w:t>
                  </w:r>
                </w:p>
              </w:tc>
              <w:tc>
                <w:tcPr>
                  <w:tcW w:w="581" w:type="pct"/>
                  <w:tcBorders>
                    <w:tl2br w:val="nil"/>
                    <w:tr2bl w:val="nil"/>
                  </w:tcBorders>
                  <w:noWrap w:val="0"/>
                  <w:vAlign w:val="center"/>
                </w:tcPr>
                <w:p w14:paraId="37CCFEF5">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24.62</w:t>
                  </w:r>
                </w:p>
              </w:tc>
              <w:tc>
                <w:tcPr>
                  <w:tcW w:w="591" w:type="pct"/>
                  <w:tcBorders>
                    <w:tl2br w:val="nil"/>
                    <w:tr2bl w:val="nil"/>
                  </w:tcBorders>
                  <w:noWrap w:val="0"/>
                  <w:vAlign w:val="center"/>
                </w:tcPr>
                <w:p w14:paraId="0A24DF85">
                  <w:pPr>
                    <w:keepNext w:val="0"/>
                    <w:keepLines w:val="0"/>
                    <w:suppressLineNumbers w:val="0"/>
                    <w:spacing w:before="0" w:beforeAutospacing="0" w:after="0" w:afterAutospacing="0"/>
                    <w:ind w:left="-63" w:leftChars="-30" w:right="-63" w:rightChars="-30"/>
                    <w:jc w:val="center"/>
                    <w:rPr>
                      <w:rFonts w:hint="default" w:eastAsia="宋体"/>
                      <w:u w:val="single"/>
                      <w:lang w:val="en-US" w:eastAsia="zh-CN"/>
                    </w:rPr>
                  </w:pPr>
                  <w:r>
                    <w:rPr>
                      <w:rFonts w:hint="eastAsia"/>
                      <w:u w:val="single"/>
                      <w:lang w:val="en-US" w:eastAsia="zh-CN"/>
                    </w:rPr>
                    <w:t>35.22</w:t>
                  </w:r>
                </w:p>
              </w:tc>
            </w:tr>
          </w:tbl>
          <w:p w14:paraId="09311281">
            <w:pPr>
              <w:keepNext w:val="0"/>
              <w:keepLines w:val="0"/>
              <w:pageBreakBefore w:val="0"/>
              <w:widowControl/>
              <w:suppressLineNumbers w:val="0"/>
              <w:kinsoku/>
              <w:wordWrap/>
              <w:overflowPunct/>
              <w:topLinePunct w:val="0"/>
              <w:autoSpaceDE/>
              <w:autoSpaceDN/>
              <w:bidi w:val="0"/>
              <w:adjustRightInd w:val="0"/>
              <w:snapToGrid/>
              <w:spacing w:before="157" w:beforeLines="50" w:beforeAutospacing="0" w:after="0" w:afterLines="0" w:afterAutospacing="0"/>
              <w:ind w:left="0" w:right="0"/>
              <w:jc w:val="center"/>
              <w:textAlignment w:val="auto"/>
              <w:rPr>
                <w:rFonts w:hint="eastAsia"/>
                <w:b/>
                <w:bCs/>
                <w:sz w:val="24"/>
                <w:u w:val="single"/>
                <w:lang w:val="en-US" w:eastAsia="zh-CN"/>
              </w:rPr>
            </w:pPr>
            <w:r>
              <w:rPr>
                <w:rFonts w:hint="eastAsia"/>
                <w:b/>
                <w:bCs/>
                <w:sz w:val="24"/>
                <w:u w:val="single"/>
                <w:lang w:val="en-US" w:eastAsia="zh-CN"/>
              </w:rPr>
              <w:t>本项目建成后全厂污染物排放“三本帐”情况表</w:t>
            </w:r>
          </w:p>
          <w:tbl>
            <w:tblPr>
              <w:tblStyle w:val="24"/>
              <w:tblW w:w="498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1213"/>
              <w:gridCol w:w="1055"/>
              <w:gridCol w:w="1166"/>
              <w:gridCol w:w="1055"/>
              <w:gridCol w:w="1055"/>
              <w:gridCol w:w="1102"/>
              <w:gridCol w:w="1174"/>
            </w:tblGrid>
            <w:tr w14:paraId="1FC05B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tcBorders>
                    <w:tl2br w:val="nil"/>
                    <w:tr2bl w:val="nil"/>
                  </w:tcBorders>
                  <w:noWrap w:val="0"/>
                  <w:vAlign w:val="center"/>
                </w:tcPr>
                <w:p w14:paraId="0356B75D">
                  <w:pPr>
                    <w:keepNext w:val="0"/>
                    <w:keepLines w:val="0"/>
                    <w:pageBreakBefore w:val="0"/>
                    <w:widowControl/>
                    <w:suppressLineNumbers w:val="0"/>
                    <w:kinsoku/>
                    <w:wordWrap/>
                    <w:overflowPunct/>
                    <w:topLinePunct w:val="0"/>
                    <w:autoSpaceDE/>
                    <w:autoSpaceDN/>
                    <w:bidi w:val="0"/>
                    <w:adjustRightInd w:val="0"/>
                    <w:snapToGrid/>
                    <w:spacing w:before="157" w:beforeLines="50" w:beforeAutospacing="0" w:after="0" w:afterLines="0" w:afterAutospacing="0"/>
                    <w:ind w:left="0" w:right="0"/>
                    <w:jc w:val="center"/>
                    <w:textAlignment w:val="auto"/>
                    <w:rPr>
                      <w:rFonts w:hint="default" w:ascii="Times New Roman" w:hAnsi="Times New Roman"/>
                      <w:b/>
                      <w:bCs/>
                      <w:sz w:val="21"/>
                      <w:szCs w:val="21"/>
                      <w:highlight w:val="none"/>
                      <w:u w:val="single"/>
                    </w:rPr>
                  </w:pPr>
                  <w:r>
                    <w:rPr>
                      <w:rFonts w:hint="default" w:ascii="Times New Roman" w:hAnsi="Times New Roman"/>
                      <w:b/>
                      <w:bCs/>
                      <w:sz w:val="21"/>
                      <w:szCs w:val="21"/>
                      <w:highlight w:val="none"/>
                      <w:u w:val="single"/>
                    </w:rPr>
                    <w:t>项目</w:t>
                  </w:r>
                </w:p>
              </w:tc>
              <w:tc>
                <w:tcPr>
                  <w:tcW w:w="733" w:type="pct"/>
                  <w:tcBorders>
                    <w:tl2br w:val="nil"/>
                    <w:tr2bl w:val="nil"/>
                  </w:tcBorders>
                  <w:noWrap w:val="0"/>
                  <w:vAlign w:val="center"/>
                </w:tcPr>
                <w:p w14:paraId="0E2C946D">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b/>
                      <w:bCs/>
                      <w:sz w:val="21"/>
                      <w:szCs w:val="21"/>
                      <w:highlight w:val="none"/>
                      <w:u w:val="single"/>
                    </w:rPr>
                  </w:pPr>
                  <w:r>
                    <w:rPr>
                      <w:rFonts w:hint="default" w:ascii="Times New Roman" w:hAnsi="Times New Roman"/>
                      <w:b/>
                      <w:bCs/>
                      <w:sz w:val="21"/>
                      <w:szCs w:val="21"/>
                      <w:highlight w:val="none"/>
                      <w:u w:val="single"/>
                    </w:rPr>
                    <w:t>污染物</w:t>
                  </w:r>
                </w:p>
              </w:tc>
              <w:tc>
                <w:tcPr>
                  <w:tcW w:w="638" w:type="pct"/>
                  <w:tcBorders>
                    <w:tl2br w:val="nil"/>
                    <w:tr2bl w:val="nil"/>
                  </w:tcBorders>
                  <w:noWrap w:val="0"/>
                  <w:vAlign w:val="center"/>
                </w:tcPr>
                <w:p w14:paraId="39FAA090">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b/>
                      <w:bCs/>
                      <w:sz w:val="21"/>
                      <w:szCs w:val="21"/>
                      <w:highlight w:val="none"/>
                      <w:u w:val="single"/>
                    </w:rPr>
                  </w:pPr>
                  <w:r>
                    <w:rPr>
                      <w:rFonts w:hint="default" w:ascii="Times New Roman" w:hAnsi="Times New Roman"/>
                      <w:b/>
                      <w:bCs/>
                      <w:sz w:val="21"/>
                      <w:szCs w:val="21"/>
                      <w:highlight w:val="none"/>
                      <w:u w:val="single"/>
                    </w:rPr>
                    <w:t>全厂</w:t>
                  </w:r>
                  <w:r>
                    <w:rPr>
                      <w:rFonts w:hint="eastAsia" w:ascii="Times New Roman" w:hAnsi="Times New Roman"/>
                      <w:b/>
                      <w:bCs/>
                      <w:sz w:val="21"/>
                      <w:szCs w:val="21"/>
                      <w:highlight w:val="none"/>
                      <w:u w:val="single"/>
                      <w:lang w:val="en-US" w:eastAsia="zh-CN"/>
                    </w:rPr>
                    <w:t>在建已建</w:t>
                  </w:r>
                  <w:r>
                    <w:rPr>
                      <w:rFonts w:hint="default" w:ascii="Times New Roman" w:hAnsi="Times New Roman"/>
                      <w:b/>
                      <w:bCs/>
                      <w:sz w:val="21"/>
                      <w:szCs w:val="21"/>
                      <w:highlight w:val="none"/>
                      <w:u w:val="single"/>
                    </w:rPr>
                    <w:t>排放量（t/a）</w:t>
                  </w:r>
                </w:p>
              </w:tc>
              <w:tc>
                <w:tcPr>
                  <w:tcW w:w="705" w:type="pct"/>
                  <w:tcBorders>
                    <w:tl2br w:val="nil"/>
                    <w:tr2bl w:val="nil"/>
                  </w:tcBorders>
                  <w:noWrap w:val="0"/>
                  <w:vAlign w:val="center"/>
                </w:tcPr>
                <w:p w14:paraId="5D1CF50B">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b/>
                      <w:bCs/>
                      <w:sz w:val="21"/>
                      <w:szCs w:val="21"/>
                      <w:highlight w:val="none"/>
                      <w:u w:val="single"/>
                      <w:lang w:val="en-US" w:eastAsia="zh-CN"/>
                    </w:rPr>
                  </w:pPr>
                  <w:r>
                    <w:rPr>
                      <w:rFonts w:hint="eastAsia" w:ascii="Times New Roman" w:hAnsi="Times New Roman"/>
                      <w:b/>
                      <w:bCs/>
                      <w:sz w:val="21"/>
                      <w:szCs w:val="21"/>
                      <w:highlight w:val="none"/>
                      <w:u w:val="single"/>
                      <w:lang w:val="en-US" w:eastAsia="zh-CN"/>
                    </w:rPr>
                    <w:t>拟建项目排放量（t/a）</w:t>
                  </w:r>
                </w:p>
              </w:tc>
              <w:tc>
                <w:tcPr>
                  <w:tcW w:w="638" w:type="pct"/>
                  <w:tcBorders>
                    <w:tl2br w:val="nil"/>
                    <w:tr2bl w:val="nil"/>
                  </w:tcBorders>
                  <w:noWrap w:val="0"/>
                  <w:vAlign w:val="center"/>
                </w:tcPr>
                <w:p w14:paraId="3AFDCA4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b/>
                      <w:bCs/>
                      <w:sz w:val="21"/>
                      <w:szCs w:val="21"/>
                      <w:highlight w:val="none"/>
                      <w:u w:val="single"/>
                      <w:lang w:val="en-US" w:eastAsia="zh-CN"/>
                    </w:rPr>
                  </w:pPr>
                  <w:r>
                    <w:rPr>
                      <w:rFonts w:hint="eastAsia" w:ascii="Times New Roman" w:hAnsi="Times New Roman"/>
                      <w:b/>
                      <w:bCs/>
                      <w:sz w:val="21"/>
                      <w:szCs w:val="21"/>
                      <w:highlight w:val="none"/>
                      <w:u w:val="single"/>
                      <w:lang w:val="en-US" w:eastAsia="zh-CN"/>
                    </w:rPr>
                    <w:t>本项目项目排放量</w:t>
                  </w:r>
                  <w:r>
                    <w:rPr>
                      <w:rFonts w:hint="eastAsia"/>
                      <w:b/>
                      <w:bCs/>
                      <w:sz w:val="21"/>
                      <w:szCs w:val="21"/>
                      <w:highlight w:val="none"/>
                      <w:u w:val="single"/>
                      <w:lang w:val="en-US" w:eastAsia="zh-CN"/>
                    </w:rPr>
                    <w:t>（t/a）</w:t>
                  </w:r>
                </w:p>
              </w:tc>
              <w:tc>
                <w:tcPr>
                  <w:tcW w:w="638" w:type="pct"/>
                  <w:tcBorders>
                    <w:tl2br w:val="nil"/>
                    <w:tr2bl w:val="nil"/>
                  </w:tcBorders>
                  <w:noWrap w:val="0"/>
                  <w:vAlign w:val="center"/>
                </w:tcPr>
                <w:p w14:paraId="43DB2868">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b/>
                      <w:bCs/>
                      <w:sz w:val="21"/>
                      <w:szCs w:val="21"/>
                      <w:highlight w:val="none"/>
                      <w:u w:val="single"/>
                    </w:rPr>
                  </w:pPr>
                  <w:r>
                    <w:rPr>
                      <w:rFonts w:hint="default" w:ascii="Times New Roman" w:hAnsi="Times New Roman"/>
                      <w:b/>
                      <w:bCs/>
                      <w:sz w:val="21"/>
                      <w:szCs w:val="21"/>
                      <w:highlight w:val="none"/>
                      <w:u w:val="single"/>
                    </w:rPr>
                    <w:t>“以新带老”削减量（t/a）</w:t>
                  </w:r>
                </w:p>
              </w:tc>
              <w:tc>
                <w:tcPr>
                  <w:tcW w:w="661" w:type="pct"/>
                  <w:tcBorders>
                    <w:tl2br w:val="nil"/>
                    <w:tr2bl w:val="nil"/>
                  </w:tcBorders>
                  <w:shd w:val="clear" w:color="auto" w:fill="auto"/>
                  <w:noWrap w:val="0"/>
                  <w:vAlign w:val="center"/>
                </w:tcPr>
                <w:p w14:paraId="15535760">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b/>
                      <w:bCs/>
                      <w:sz w:val="21"/>
                      <w:szCs w:val="21"/>
                      <w:highlight w:val="none"/>
                      <w:u w:val="single"/>
                    </w:rPr>
                  </w:pPr>
                  <w:r>
                    <w:rPr>
                      <w:rFonts w:hint="eastAsia"/>
                      <w:b/>
                      <w:bCs/>
                      <w:sz w:val="21"/>
                      <w:szCs w:val="21"/>
                      <w:highlight w:val="none"/>
                      <w:u w:val="single"/>
                      <w:lang w:val="en-US" w:eastAsia="zh-CN"/>
                    </w:rPr>
                    <w:t>改</w:t>
                  </w:r>
                  <w:r>
                    <w:rPr>
                      <w:rFonts w:hint="eastAsia" w:ascii="Times New Roman" w:hAnsi="Times New Roman"/>
                      <w:b/>
                      <w:bCs/>
                      <w:sz w:val="21"/>
                      <w:szCs w:val="21"/>
                      <w:highlight w:val="none"/>
                      <w:u w:val="single"/>
                      <w:lang w:val="en-US" w:eastAsia="zh-CN"/>
                    </w:rPr>
                    <w:t>扩建</w:t>
                  </w:r>
                  <w:r>
                    <w:rPr>
                      <w:rFonts w:hint="eastAsia" w:ascii="Times New Roman" w:hAnsi="Times New Roman"/>
                      <w:b/>
                      <w:bCs/>
                      <w:sz w:val="21"/>
                      <w:szCs w:val="21"/>
                      <w:highlight w:val="none"/>
                      <w:u w:val="single"/>
                    </w:rPr>
                    <w:t>后全厂</w:t>
                  </w:r>
                  <w:r>
                    <w:rPr>
                      <w:rFonts w:hint="default" w:ascii="Times New Roman" w:hAnsi="Times New Roman"/>
                      <w:b/>
                      <w:bCs/>
                      <w:sz w:val="21"/>
                      <w:szCs w:val="21"/>
                      <w:highlight w:val="none"/>
                      <w:u w:val="single"/>
                    </w:rPr>
                    <w:t>排放量（t/a）</w:t>
                  </w:r>
                </w:p>
              </w:tc>
              <w:tc>
                <w:tcPr>
                  <w:tcW w:w="709" w:type="pct"/>
                  <w:tcBorders>
                    <w:tl2br w:val="nil"/>
                    <w:tr2bl w:val="nil"/>
                  </w:tcBorders>
                  <w:noWrap w:val="0"/>
                  <w:vAlign w:val="center"/>
                </w:tcPr>
                <w:p w14:paraId="2D9EA7EB">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b/>
                      <w:bCs/>
                      <w:sz w:val="21"/>
                      <w:szCs w:val="21"/>
                      <w:highlight w:val="none"/>
                      <w:u w:val="single"/>
                    </w:rPr>
                  </w:pPr>
                  <w:r>
                    <w:rPr>
                      <w:rFonts w:hint="default" w:ascii="Times New Roman" w:hAnsi="Times New Roman"/>
                      <w:b/>
                      <w:bCs/>
                      <w:sz w:val="21"/>
                      <w:szCs w:val="21"/>
                      <w:highlight w:val="none"/>
                      <w:u w:val="single"/>
                    </w:rPr>
                    <w:t>增减量变化（t/a）</w:t>
                  </w:r>
                </w:p>
              </w:tc>
            </w:tr>
            <w:tr w14:paraId="200A92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restart"/>
                  <w:tcBorders>
                    <w:tl2br w:val="nil"/>
                    <w:tr2bl w:val="nil"/>
                  </w:tcBorders>
                  <w:noWrap w:val="0"/>
                  <w:vAlign w:val="center"/>
                </w:tcPr>
                <w:p w14:paraId="605CF057">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r>
                    <w:rPr>
                      <w:rFonts w:hint="default" w:ascii="Times New Roman" w:hAnsi="Times New Roman"/>
                      <w:sz w:val="21"/>
                      <w:szCs w:val="21"/>
                      <w:highlight w:val="none"/>
                      <w:u w:val="single"/>
                      <w:lang w:val="en-US" w:eastAsia="zh-CN"/>
                    </w:rPr>
                    <w:t>锅炉</w:t>
                  </w:r>
                  <w:r>
                    <w:rPr>
                      <w:rFonts w:hint="default" w:ascii="Times New Roman" w:hAnsi="Times New Roman"/>
                      <w:sz w:val="21"/>
                      <w:szCs w:val="21"/>
                      <w:highlight w:val="none"/>
                      <w:u w:val="single"/>
                    </w:rPr>
                    <w:t>废气</w:t>
                  </w:r>
                </w:p>
              </w:tc>
              <w:tc>
                <w:tcPr>
                  <w:tcW w:w="733" w:type="pct"/>
                  <w:tcBorders>
                    <w:tl2br w:val="nil"/>
                    <w:tr2bl w:val="nil"/>
                  </w:tcBorders>
                  <w:noWrap w:val="0"/>
                  <w:vAlign w:val="center"/>
                </w:tcPr>
                <w:p w14:paraId="54849323">
                  <w:pPr>
                    <w:keepNext w:val="0"/>
                    <w:keepLines w:val="0"/>
                    <w:widowControl w:val="0"/>
                    <w:suppressLineNumbers w:val="0"/>
                    <w:spacing w:before="0" w:beforeLines="0" w:beforeAutospacing="0" w:after="0" w:afterLines="0" w:afterAutospacing="0"/>
                    <w:ind w:left="0" w:right="0"/>
                    <w:jc w:val="center"/>
                    <w:rPr>
                      <w:rFonts w:hint="eastAsia" w:ascii="Times New Roman" w:hAnsi="Times New Roman" w:eastAsia="宋体"/>
                      <w:sz w:val="21"/>
                      <w:szCs w:val="21"/>
                      <w:highlight w:val="none"/>
                      <w:u w:val="single"/>
                      <w:lang w:eastAsia="zh-CN"/>
                    </w:rPr>
                  </w:pPr>
                  <w:r>
                    <w:rPr>
                      <w:rFonts w:hint="default" w:ascii="Times New Roman" w:hAnsi="Times New Roman" w:cs="Times New Roman"/>
                      <w:color w:val="auto"/>
                      <w:sz w:val="21"/>
                      <w:szCs w:val="21"/>
                      <w:highlight w:val="none"/>
                      <w:u w:val="single"/>
                      <w:lang w:val="en-US" w:eastAsia="zh-CN"/>
                    </w:rPr>
                    <w:t>颗粒物</w:t>
                  </w:r>
                </w:p>
              </w:tc>
              <w:tc>
                <w:tcPr>
                  <w:tcW w:w="638" w:type="pct"/>
                  <w:tcBorders>
                    <w:tl2br w:val="nil"/>
                    <w:tr2bl w:val="nil"/>
                  </w:tcBorders>
                  <w:noWrap w:val="0"/>
                  <w:vAlign w:val="center"/>
                </w:tcPr>
                <w:p w14:paraId="2F8D5F2E">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eastAsia="宋体"/>
                      <w:sz w:val="21"/>
                      <w:szCs w:val="21"/>
                      <w:highlight w:val="none"/>
                      <w:u w:val="single"/>
                      <w:lang w:val="en-US" w:eastAsia="zh-CN"/>
                    </w:rPr>
                  </w:pPr>
                  <w:r>
                    <w:rPr>
                      <w:rFonts w:hint="eastAsia" w:ascii="Times New Roman" w:eastAsia="宋体" w:cs="Times New Roman"/>
                      <w:sz w:val="21"/>
                      <w:szCs w:val="21"/>
                      <w:highlight w:val="none"/>
                      <w:u w:val="single"/>
                      <w:vertAlign w:val="baseline"/>
                      <w:lang w:val="en-US" w:eastAsia="zh-CN"/>
                    </w:rPr>
                    <w:t>0.352</w:t>
                  </w:r>
                </w:p>
              </w:tc>
              <w:tc>
                <w:tcPr>
                  <w:tcW w:w="705" w:type="pct"/>
                  <w:tcBorders>
                    <w:tl2br w:val="nil"/>
                    <w:tr2bl w:val="nil"/>
                  </w:tcBorders>
                  <w:noWrap w:val="0"/>
                  <w:vAlign w:val="center"/>
                </w:tcPr>
                <w:p w14:paraId="7B951A2A">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w:t>
                  </w:r>
                </w:p>
              </w:tc>
              <w:tc>
                <w:tcPr>
                  <w:tcW w:w="638" w:type="pct"/>
                  <w:tcBorders>
                    <w:tl2br w:val="nil"/>
                    <w:tr2bl w:val="nil"/>
                  </w:tcBorders>
                  <w:noWrap w:val="0"/>
                  <w:vAlign w:val="center"/>
                </w:tcPr>
                <w:p w14:paraId="1DC5C2C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sz w:val="21"/>
                      <w:szCs w:val="21"/>
                      <w:highlight w:val="none"/>
                      <w:u w:val="single"/>
                      <w:lang w:val="en-US" w:eastAsia="zh-CN"/>
                    </w:rPr>
                  </w:pPr>
                  <w:r>
                    <w:rPr>
                      <w:rFonts w:hint="eastAsia"/>
                      <w:sz w:val="21"/>
                      <w:szCs w:val="21"/>
                      <w:highlight w:val="none"/>
                      <w:u w:val="single"/>
                      <w:lang w:val="en-US" w:eastAsia="zh-CN"/>
                    </w:rPr>
                    <w:t>1.698</w:t>
                  </w:r>
                </w:p>
              </w:tc>
              <w:tc>
                <w:tcPr>
                  <w:tcW w:w="638" w:type="pct"/>
                  <w:tcBorders>
                    <w:tl2br w:val="nil"/>
                    <w:tr2bl w:val="nil"/>
                  </w:tcBorders>
                  <w:noWrap/>
                  <w:vAlign w:val="center"/>
                </w:tcPr>
                <w:p w14:paraId="69C9CE06">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eastAsia="宋体"/>
                      <w:sz w:val="21"/>
                      <w:szCs w:val="21"/>
                      <w:highlight w:val="none"/>
                      <w:u w:val="single"/>
                      <w:lang w:val="en-US" w:eastAsia="zh-CN"/>
                    </w:rPr>
                  </w:pPr>
                  <w:r>
                    <w:rPr>
                      <w:rFonts w:hint="eastAsia" w:ascii="Times New Roman" w:eastAsia="宋体" w:cs="Times New Roman"/>
                      <w:sz w:val="21"/>
                      <w:szCs w:val="21"/>
                      <w:highlight w:val="none"/>
                      <w:u w:val="single"/>
                      <w:vertAlign w:val="baseline"/>
                      <w:lang w:val="en-US" w:eastAsia="zh-CN"/>
                    </w:rPr>
                    <w:t>0.352</w:t>
                  </w:r>
                </w:p>
              </w:tc>
              <w:tc>
                <w:tcPr>
                  <w:tcW w:w="661" w:type="pct"/>
                  <w:tcBorders>
                    <w:tl2br w:val="nil"/>
                    <w:tr2bl w:val="nil"/>
                  </w:tcBorders>
                  <w:shd w:val="clear" w:color="auto" w:fill="auto"/>
                  <w:noWrap/>
                  <w:vAlign w:val="center"/>
                </w:tcPr>
                <w:p w14:paraId="43A0EDF4">
                  <w:pPr>
                    <w:keepNext w:val="0"/>
                    <w:keepLines w:val="0"/>
                    <w:widowControl/>
                    <w:suppressLineNumbers w:val="0"/>
                    <w:adjustRightInd w:val="0"/>
                    <w:spacing w:before="0" w:beforeLines="0" w:beforeAutospacing="0" w:after="0" w:afterLines="0" w:afterAutospacing="0"/>
                    <w:ind w:left="0" w:right="0"/>
                    <w:jc w:val="center"/>
                    <w:rPr>
                      <w:rFonts w:hint="default" w:ascii="Times New Roman" w:hAnsi="Times New Roman" w:eastAsia="宋体" w:cs="Times New Roman"/>
                      <w:sz w:val="21"/>
                      <w:szCs w:val="21"/>
                      <w:highlight w:val="none"/>
                      <w:u w:val="single"/>
                      <w:vertAlign w:val="baseline"/>
                      <w:lang w:val="en-US" w:eastAsia="zh-CN"/>
                    </w:rPr>
                  </w:pPr>
                  <w:r>
                    <w:rPr>
                      <w:rFonts w:hint="eastAsia"/>
                      <w:sz w:val="21"/>
                      <w:szCs w:val="21"/>
                      <w:highlight w:val="none"/>
                      <w:u w:val="single"/>
                      <w:lang w:val="en-US" w:eastAsia="zh-CN"/>
                    </w:rPr>
                    <w:t>0.076</w:t>
                  </w:r>
                </w:p>
              </w:tc>
              <w:tc>
                <w:tcPr>
                  <w:tcW w:w="709" w:type="pct"/>
                  <w:tcBorders>
                    <w:tl2br w:val="nil"/>
                    <w:tr2bl w:val="nil"/>
                  </w:tcBorders>
                  <w:noWrap/>
                  <w:vAlign w:val="center"/>
                </w:tcPr>
                <w:p w14:paraId="09B4F286">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cs="宋体"/>
                      <w:sz w:val="21"/>
                      <w:szCs w:val="21"/>
                      <w:highlight w:val="none"/>
                      <w:u w:val="single"/>
                      <w:lang w:val="en-US" w:eastAsia="zh-CN" w:bidi="ar-SA"/>
                    </w:rPr>
                  </w:pPr>
                  <w:r>
                    <w:rPr>
                      <w:rFonts w:hint="eastAsia" w:eastAsia="宋体" w:cs="宋体"/>
                      <w:sz w:val="21"/>
                      <w:szCs w:val="21"/>
                      <w:highlight w:val="none"/>
                      <w:u w:val="single"/>
                      <w:lang w:val="en-US" w:eastAsia="zh-CN" w:bidi="ar-SA"/>
                    </w:rPr>
                    <w:t>-0.</w:t>
                  </w:r>
                  <w:r>
                    <w:rPr>
                      <w:rFonts w:hint="eastAsia" w:cs="宋体"/>
                      <w:sz w:val="21"/>
                      <w:szCs w:val="21"/>
                      <w:highlight w:val="none"/>
                      <w:u w:val="single"/>
                      <w:lang w:val="en-US" w:eastAsia="zh-CN" w:bidi="ar-SA"/>
                    </w:rPr>
                    <w:t>276</w:t>
                  </w:r>
                </w:p>
              </w:tc>
            </w:tr>
            <w:tr w14:paraId="5BC0F5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continue"/>
                  <w:tcBorders>
                    <w:tl2br w:val="nil"/>
                    <w:tr2bl w:val="nil"/>
                  </w:tcBorders>
                  <w:noWrap w:val="0"/>
                  <w:vAlign w:val="center"/>
                </w:tcPr>
                <w:p w14:paraId="5419165D">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p>
              </w:tc>
              <w:tc>
                <w:tcPr>
                  <w:tcW w:w="733" w:type="pct"/>
                  <w:tcBorders>
                    <w:tl2br w:val="nil"/>
                    <w:tr2bl w:val="nil"/>
                  </w:tcBorders>
                  <w:noWrap w:val="0"/>
                  <w:vAlign w:val="center"/>
                </w:tcPr>
                <w:p w14:paraId="15BE71E7">
                  <w:pPr>
                    <w:keepNext w:val="0"/>
                    <w:keepLines w:val="0"/>
                    <w:widowControl w:val="0"/>
                    <w:suppressLineNumbers w:val="0"/>
                    <w:spacing w:before="0" w:beforeLines="0" w:beforeAutospacing="0" w:after="0" w:afterLines="0" w:afterAutospacing="0"/>
                    <w:ind w:left="0" w:right="0"/>
                    <w:jc w:val="center"/>
                    <w:rPr>
                      <w:rFonts w:hint="eastAsia" w:ascii="Times New Roman" w:hAnsi="Times New Roman"/>
                      <w:sz w:val="21"/>
                      <w:szCs w:val="21"/>
                      <w:highlight w:val="none"/>
                      <w:u w:val="single"/>
                      <w:lang w:val="en-US" w:eastAsia="zh-CN"/>
                    </w:rPr>
                  </w:pPr>
                  <w:r>
                    <w:rPr>
                      <w:rFonts w:hint="eastAsia" w:cs="Times New Roman"/>
                      <w:color w:val="auto"/>
                      <w:sz w:val="21"/>
                      <w:szCs w:val="21"/>
                      <w:highlight w:val="none"/>
                      <w:u w:val="single"/>
                      <w:lang w:val="en-US" w:eastAsia="zh-CN"/>
                    </w:rPr>
                    <w:t>二氧化硫</w:t>
                  </w:r>
                </w:p>
              </w:tc>
              <w:tc>
                <w:tcPr>
                  <w:tcW w:w="638" w:type="pct"/>
                  <w:tcBorders>
                    <w:tl2br w:val="nil"/>
                    <w:tr2bl w:val="nil"/>
                  </w:tcBorders>
                  <w:noWrap w:val="0"/>
                  <w:vAlign w:val="center"/>
                </w:tcPr>
                <w:p w14:paraId="0F5C75BD">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sz w:val="21"/>
                      <w:szCs w:val="21"/>
                      <w:highlight w:val="none"/>
                      <w:u w:val="single"/>
                      <w:lang w:val="en-US" w:eastAsia="zh-CN"/>
                    </w:rPr>
                  </w:pPr>
                  <w:r>
                    <w:rPr>
                      <w:rFonts w:hint="eastAsia" w:ascii="Times New Roman" w:eastAsia="宋体" w:cs="Times New Roman"/>
                      <w:sz w:val="21"/>
                      <w:szCs w:val="21"/>
                      <w:highlight w:val="none"/>
                      <w:u w:val="single"/>
                      <w:vertAlign w:val="baseline"/>
                      <w:lang w:val="en-US" w:eastAsia="zh-CN"/>
                    </w:rPr>
                    <w:t>0.614</w:t>
                  </w:r>
                </w:p>
              </w:tc>
              <w:tc>
                <w:tcPr>
                  <w:tcW w:w="705" w:type="pct"/>
                  <w:tcBorders>
                    <w:tl2br w:val="nil"/>
                    <w:tr2bl w:val="nil"/>
                  </w:tcBorders>
                  <w:noWrap w:val="0"/>
                  <w:vAlign w:val="center"/>
                </w:tcPr>
                <w:p w14:paraId="30BC8862">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w:t>
                  </w:r>
                </w:p>
              </w:tc>
              <w:tc>
                <w:tcPr>
                  <w:tcW w:w="638" w:type="pct"/>
                  <w:tcBorders>
                    <w:tl2br w:val="nil"/>
                    <w:tr2bl w:val="nil"/>
                  </w:tcBorders>
                  <w:noWrap w:val="0"/>
                  <w:vAlign w:val="center"/>
                </w:tcPr>
                <w:p w14:paraId="0333D639">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2.309</w:t>
                  </w:r>
                </w:p>
              </w:tc>
              <w:tc>
                <w:tcPr>
                  <w:tcW w:w="638" w:type="pct"/>
                  <w:tcBorders>
                    <w:tl2br w:val="nil"/>
                    <w:tr2bl w:val="nil"/>
                  </w:tcBorders>
                  <w:noWrap/>
                  <w:vAlign w:val="center"/>
                </w:tcPr>
                <w:p w14:paraId="2EBA0568">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sz w:val="21"/>
                      <w:szCs w:val="21"/>
                      <w:highlight w:val="none"/>
                      <w:u w:val="single"/>
                      <w:lang w:val="en-US" w:eastAsia="zh-CN"/>
                    </w:rPr>
                  </w:pPr>
                  <w:r>
                    <w:rPr>
                      <w:rFonts w:hint="eastAsia" w:ascii="Times New Roman" w:eastAsia="宋体" w:cs="Times New Roman"/>
                      <w:sz w:val="21"/>
                      <w:szCs w:val="21"/>
                      <w:highlight w:val="none"/>
                      <w:u w:val="single"/>
                      <w:vertAlign w:val="baseline"/>
                      <w:lang w:val="en-US" w:eastAsia="zh-CN"/>
                    </w:rPr>
                    <w:t>0.614</w:t>
                  </w:r>
                </w:p>
              </w:tc>
              <w:tc>
                <w:tcPr>
                  <w:tcW w:w="661" w:type="pct"/>
                  <w:tcBorders>
                    <w:tl2br w:val="nil"/>
                    <w:tr2bl w:val="nil"/>
                  </w:tcBorders>
                  <w:shd w:val="clear" w:color="auto" w:fill="auto"/>
                  <w:noWrap/>
                  <w:vAlign w:val="center"/>
                </w:tcPr>
                <w:p w14:paraId="5D3E5D41">
                  <w:pPr>
                    <w:keepNext w:val="0"/>
                    <w:keepLines w:val="0"/>
                    <w:widowControl/>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sz w:val="21"/>
                      <w:szCs w:val="21"/>
                      <w:highlight w:val="none"/>
                      <w:u w:val="single"/>
                      <w:vertAlign w:val="baseline"/>
                      <w:lang w:val="en-US" w:eastAsia="zh-CN"/>
                    </w:rPr>
                  </w:pPr>
                  <w:r>
                    <w:rPr>
                      <w:rFonts w:hint="eastAsia" w:cs="Times New Roman"/>
                      <w:sz w:val="21"/>
                      <w:szCs w:val="21"/>
                      <w:highlight w:val="none"/>
                      <w:u w:val="single"/>
                      <w:vertAlign w:val="baseline"/>
                      <w:lang w:val="en-US" w:eastAsia="zh-CN"/>
                    </w:rPr>
                    <w:t>2.309</w:t>
                  </w:r>
                </w:p>
              </w:tc>
              <w:tc>
                <w:tcPr>
                  <w:tcW w:w="709" w:type="pct"/>
                  <w:tcBorders>
                    <w:tl2br w:val="nil"/>
                    <w:tr2bl w:val="nil"/>
                  </w:tcBorders>
                  <w:noWrap/>
                  <w:vAlign w:val="center"/>
                </w:tcPr>
                <w:p w14:paraId="4A333DD9">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宋体"/>
                      <w:sz w:val="21"/>
                      <w:szCs w:val="21"/>
                      <w:highlight w:val="none"/>
                      <w:u w:val="single"/>
                      <w:lang w:val="en-US" w:eastAsia="zh-CN" w:bidi="ar-SA"/>
                    </w:rPr>
                  </w:pPr>
                  <w:r>
                    <w:rPr>
                      <w:rFonts w:hint="eastAsia" w:cs="宋体"/>
                      <w:sz w:val="21"/>
                      <w:szCs w:val="21"/>
                      <w:highlight w:val="none"/>
                      <w:u w:val="single"/>
                      <w:lang w:val="en-US" w:eastAsia="zh-CN" w:bidi="ar-SA"/>
                    </w:rPr>
                    <w:t>+1.695</w:t>
                  </w:r>
                </w:p>
              </w:tc>
            </w:tr>
            <w:tr w14:paraId="44B2E3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continue"/>
                  <w:tcBorders>
                    <w:tl2br w:val="nil"/>
                    <w:tr2bl w:val="nil"/>
                  </w:tcBorders>
                  <w:noWrap w:val="0"/>
                  <w:vAlign w:val="center"/>
                </w:tcPr>
                <w:p w14:paraId="4EAD279A">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p>
              </w:tc>
              <w:tc>
                <w:tcPr>
                  <w:tcW w:w="733" w:type="pct"/>
                  <w:tcBorders>
                    <w:tl2br w:val="nil"/>
                    <w:tr2bl w:val="nil"/>
                  </w:tcBorders>
                  <w:noWrap w:val="0"/>
                  <w:vAlign w:val="center"/>
                </w:tcPr>
                <w:p w14:paraId="02126285">
                  <w:pPr>
                    <w:keepNext w:val="0"/>
                    <w:keepLines w:val="0"/>
                    <w:widowControl w:val="0"/>
                    <w:suppressLineNumbers w:val="0"/>
                    <w:spacing w:before="0" w:beforeLines="0" w:beforeAutospacing="0" w:after="0" w:afterLines="0" w:afterAutospacing="0"/>
                    <w:ind w:left="0" w:right="0"/>
                    <w:jc w:val="center"/>
                    <w:rPr>
                      <w:rFonts w:hint="eastAsia" w:ascii="Times New Roman" w:hAnsi="Times New Roman"/>
                      <w:sz w:val="21"/>
                      <w:szCs w:val="21"/>
                      <w:highlight w:val="none"/>
                      <w:u w:val="single"/>
                      <w:lang w:val="en-US" w:eastAsia="zh-CN"/>
                    </w:rPr>
                  </w:pPr>
                  <w:r>
                    <w:rPr>
                      <w:rFonts w:hint="default" w:ascii="Times New Roman" w:hAnsi="Times New Roman" w:cs="Times New Roman"/>
                      <w:color w:val="auto"/>
                      <w:sz w:val="21"/>
                      <w:szCs w:val="21"/>
                      <w:highlight w:val="none"/>
                      <w:u w:val="single"/>
                      <w:lang w:val="en-US" w:eastAsia="zh-CN"/>
                    </w:rPr>
                    <w:t>氮氧化物</w:t>
                  </w:r>
                </w:p>
              </w:tc>
              <w:tc>
                <w:tcPr>
                  <w:tcW w:w="638" w:type="pct"/>
                  <w:tcBorders>
                    <w:tl2br w:val="nil"/>
                    <w:tr2bl w:val="nil"/>
                  </w:tcBorders>
                  <w:noWrap w:val="0"/>
                  <w:vAlign w:val="center"/>
                </w:tcPr>
                <w:p w14:paraId="236C1B8F">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sz w:val="21"/>
                      <w:szCs w:val="21"/>
                      <w:highlight w:val="none"/>
                      <w:u w:val="single"/>
                      <w:lang w:val="en-US" w:eastAsia="zh-CN"/>
                    </w:rPr>
                  </w:pPr>
                  <w:r>
                    <w:rPr>
                      <w:rFonts w:hint="eastAsia" w:ascii="Times New Roman" w:eastAsia="宋体" w:cs="Times New Roman"/>
                      <w:sz w:val="21"/>
                      <w:szCs w:val="21"/>
                      <w:highlight w:val="none"/>
                      <w:u w:val="single"/>
                      <w:vertAlign w:val="baseline"/>
                      <w:lang w:val="en-US" w:eastAsia="zh-CN"/>
                    </w:rPr>
                    <w:t>3.205</w:t>
                  </w:r>
                </w:p>
              </w:tc>
              <w:tc>
                <w:tcPr>
                  <w:tcW w:w="705" w:type="pct"/>
                  <w:tcBorders>
                    <w:tl2br w:val="nil"/>
                    <w:tr2bl w:val="nil"/>
                  </w:tcBorders>
                  <w:noWrap w:val="0"/>
                  <w:vAlign w:val="center"/>
                </w:tcPr>
                <w:p w14:paraId="69B5BCE2">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w:t>
                  </w:r>
                </w:p>
              </w:tc>
              <w:tc>
                <w:tcPr>
                  <w:tcW w:w="638" w:type="pct"/>
                  <w:tcBorders>
                    <w:tl2br w:val="nil"/>
                    <w:tr2bl w:val="nil"/>
                  </w:tcBorders>
                  <w:noWrap w:val="0"/>
                  <w:vAlign w:val="center"/>
                </w:tcPr>
                <w:p w14:paraId="6857500F">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3.464</w:t>
                  </w:r>
                </w:p>
              </w:tc>
              <w:tc>
                <w:tcPr>
                  <w:tcW w:w="638" w:type="pct"/>
                  <w:tcBorders>
                    <w:tl2br w:val="nil"/>
                    <w:tr2bl w:val="nil"/>
                  </w:tcBorders>
                  <w:noWrap/>
                  <w:vAlign w:val="center"/>
                </w:tcPr>
                <w:p w14:paraId="66CEC924">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sz w:val="21"/>
                      <w:szCs w:val="21"/>
                      <w:highlight w:val="none"/>
                      <w:u w:val="single"/>
                      <w:lang w:val="en-US" w:eastAsia="zh-CN"/>
                    </w:rPr>
                  </w:pPr>
                  <w:r>
                    <w:rPr>
                      <w:rFonts w:hint="eastAsia" w:ascii="Times New Roman" w:eastAsia="宋体" w:cs="Times New Roman"/>
                      <w:sz w:val="21"/>
                      <w:szCs w:val="21"/>
                      <w:highlight w:val="none"/>
                      <w:u w:val="single"/>
                      <w:vertAlign w:val="baseline"/>
                      <w:lang w:val="en-US" w:eastAsia="zh-CN"/>
                    </w:rPr>
                    <w:t>3.205</w:t>
                  </w:r>
                </w:p>
              </w:tc>
              <w:tc>
                <w:tcPr>
                  <w:tcW w:w="661" w:type="pct"/>
                  <w:tcBorders>
                    <w:tl2br w:val="nil"/>
                    <w:tr2bl w:val="nil"/>
                  </w:tcBorders>
                  <w:shd w:val="clear" w:color="auto" w:fill="auto"/>
                  <w:noWrap/>
                  <w:vAlign w:val="center"/>
                </w:tcPr>
                <w:p w14:paraId="59D9DDF3">
                  <w:pPr>
                    <w:keepNext w:val="0"/>
                    <w:keepLines w:val="0"/>
                    <w:widowControl/>
                    <w:suppressLineNumbers w:val="0"/>
                    <w:spacing w:before="0" w:beforeLines="0" w:beforeAutospacing="0" w:after="0" w:afterLines="0" w:afterAutospacing="0"/>
                    <w:ind w:left="0" w:leftChars="0" w:right="0" w:rightChars="0"/>
                    <w:jc w:val="center"/>
                    <w:rPr>
                      <w:rFonts w:hint="default" w:ascii="Times New Roman" w:hAnsi="Times New Roman" w:eastAsia="宋体" w:cs="Times New Roman"/>
                      <w:sz w:val="21"/>
                      <w:szCs w:val="21"/>
                      <w:highlight w:val="none"/>
                      <w:u w:val="single"/>
                      <w:vertAlign w:val="baseline"/>
                      <w:lang w:val="en-US" w:eastAsia="zh-CN"/>
                    </w:rPr>
                  </w:pPr>
                  <w:r>
                    <w:rPr>
                      <w:rFonts w:hint="eastAsia" w:cs="Times New Roman"/>
                      <w:sz w:val="21"/>
                      <w:szCs w:val="21"/>
                      <w:highlight w:val="none"/>
                      <w:u w:val="single"/>
                      <w:vertAlign w:val="baseline"/>
                      <w:lang w:val="en-US" w:eastAsia="zh-CN"/>
                    </w:rPr>
                    <w:t>3.464</w:t>
                  </w:r>
                </w:p>
              </w:tc>
              <w:tc>
                <w:tcPr>
                  <w:tcW w:w="709" w:type="pct"/>
                  <w:tcBorders>
                    <w:tl2br w:val="nil"/>
                    <w:tr2bl w:val="nil"/>
                  </w:tcBorders>
                  <w:noWrap/>
                  <w:vAlign w:val="center"/>
                </w:tcPr>
                <w:p w14:paraId="71D9C67A">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eastAsia="宋体" w:cs="宋体"/>
                      <w:sz w:val="21"/>
                      <w:szCs w:val="21"/>
                      <w:highlight w:val="none"/>
                      <w:u w:val="single"/>
                      <w:lang w:val="en-US" w:eastAsia="zh-CN" w:bidi="ar-SA"/>
                    </w:rPr>
                  </w:pPr>
                  <w:r>
                    <w:rPr>
                      <w:rFonts w:hint="eastAsia" w:cs="宋体"/>
                      <w:sz w:val="21"/>
                      <w:szCs w:val="21"/>
                      <w:highlight w:val="none"/>
                      <w:u w:val="single"/>
                      <w:lang w:val="en-US" w:eastAsia="zh-CN" w:bidi="ar-SA"/>
                    </w:rPr>
                    <w:t>+0.259</w:t>
                  </w:r>
                </w:p>
              </w:tc>
            </w:tr>
            <w:tr w14:paraId="4CFBC7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tcBorders>
                    <w:tl2br w:val="nil"/>
                    <w:tr2bl w:val="nil"/>
                  </w:tcBorders>
                  <w:noWrap w:val="0"/>
                  <w:vAlign w:val="center"/>
                </w:tcPr>
                <w:p w14:paraId="50CAFEE8">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eastAsia" w:ascii="Times New Roman" w:hAnsi="Times New Roman" w:eastAsia="宋体"/>
                      <w:sz w:val="21"/>
                      <w:szCs w:val="21"/>
                      <w:highlight w:val="none"/>
                      <w:u w:val="single"/>
                      <w:lang w:val="en-US" w:eastAsia="zh-CN"/>
                    </w:rPr>
                  </w:pPr>
                  <w:r>
                    <w:rPr>
                      <w:rFonts w:hint="eastAsia"/>
                      <w:sz w:val="21"/>
                      <w:szCs w:val="21"/>
                      <w:highlight w:val="none"/>
                      <w:u w:val="single"/>
                      <w:lang w:val="en-US" w:eastAsia="zh-CN"/>
                    </w:rPr>
                    <w:t>油炸废气</w:t>
                  </w:r>
                </w:p>
              </w:tc>
              <w:tc>
                <w:tcPr>
                  <w:tcW w:w="733" w:type="pct"/>
                  <w:tcBorders>
                    <w:tl2br w:val="nil"/>
                    <w:tr2bl w:val="nil"/>
                  </w:tcBorders>
                  <w:noWrap w:val="0"/>
                  <w:vAlign w:val="center"/>
                </w:tcPr>
                <w:p w14:paraId="7E251866">
                  <w:pPr>
                    <w:keepNext w:val="0"/>
                    <w:keepLines w:val="0"/>
                    <w:widowControl w:val="0"/>
                    <w:suppressLineNumbers w:val="0"/>
                    <w:spacing w:before="0" w:beforeLines="0" w:beforeAutospacing="0" w:after="0" w:afterLines="0" w:afterAutospacing="0"/>
                    <w:ind w:left="0" w:right="0"/>
                    <w:jc w:val="center"/>
                    <w:rPr>
                      <w:rFonts w:hint="eastAsia" w:ascii="Times New Roman" w:hAnsi="Times New Roman"/>
                      <w:sz w:val="21"/>
                      <w:szCs w:val="21"/>
                      <w:highlight w:val="none"/>
                      <w:u w:val="single"/>
                      <w:lang w:val="en-US" w:eastAsia="zh-CN"/>
                    </w:rPr>
                  </w:pPr>
                  <w:r>
                    <w:rPr>
                      <w:rFonts w:hint="eastAsia" w:cs="Times New Roman"/>
                      <w:color w:val="auto"/>
                      <w:sz w:val="21"/>
                      <w:szCs w:val="21"/>
                      <w:highlight w:val="none"/>
                      <w:u w:val="single"/>
                      <w:lang w:val="en-US" w:eastAsia="zh-CN"/>
                    </w:rPr>
                    <w:t>油烟</w:t>
                  </w:r>
                </w:p>
              </w:tc>
              <w:tc>
                <w:tcPr>
                  <w:tcW w:w="638" w:type="pct"/>
                  <w:tcBorders>
                    <w:tl2br w:val="nil"/>
                    <w:tr2bl w:val="nil"/>
                  </w:tcBorders>
                  <w:noWrap w:val="0"/>
                  <w:vAlign w:val="center"/>
                </w:tcPr>
                <w:p w14:paraId="6B951F2D">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sz w:val="21"/>
                      <w:szCs w:val="21"/>
                      <w:highlight w:val="none"/>
                      <w:u w:val="single"/>
                      <w:lang w:val="en-US" w:eastAsia="zh-CN"/>
                    </w:rPr>
                  </w:pPr>
                  <w:r>
                    <w:rPr>
                      <w:rFonts w:hint="eastAsia" w:ascii="Times New Roman" w:eastAsia="宋体" w:cs="Times New Roman"/>
                      <w:sz w:val="21"/>
                      <w:szCs w:val="21"/>
                      <w:highlight w:val="none"/>
                      <w:u w:val="single"/>
                      <w:vertAlign w:val="baseline"/>
                      <w:lang w:val="en-US" w:eastAsia="zh-CN"/>
                    </w:rPr>
                    <w:t>0.078</w:t>
                  </w:r>
                </w:p>
              </w:tc>
              <w:tc>
                <w:tcPr>
                  <w:tcW w:w="705" w:type="pct"/>
                  <w:tcBorders>
                    <w:tl2br w:val="nil"/>
                    <w:tr2bl w:val="nil"/>
                  </w:tcBorders>
                  <w:noWrap w:val="0"/>
                  <w:vAlign w:val="center"/>
                </w:tcPr>
                <w:p w14:paraId="28C7A76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w:t>
                  </w:r>
                </w:p>
              </w:tc>
              <w:tc>
                <w:tcPr>
                  <w:tcW w:w="638" w:type="pct"/>
                  <w:tcBorders>
                    <w:tl2br w:val="nil"/>
                    <w:tr2bl w:val="nil"/>
                  </w:tcBorders>
                  <w:noWrap w:val="0"/>
                  <w:vAlign w:val="center"/>
                </w:tcPr>
                <w:p w14:paraId="2835F646">
                  <w:pPr>
                    <w:keepNext w:val="0"/>
                    <w:keepLines w:val="0"/>
                    <w:suppressLineNumbers w:val="0"/>
                    <w:spacing w:before="0" w:beforeLines="0" w:beforeAutospacing="0" w:after="0" w:afterLines="0" w:afterAutospacing="0"/>
                    <w:ind w:left="0" w:leftChars="0" w:right="0" w:rightChars="0"/>
                    <w:jc w:val="center"/>
                    <w:rPr>
                      <w:rFonts w:hint="default" w:ascii="Times New Roman" w:hAnsi="Times New Roman"/>
                      <w:sz w:val="21"/>
                      <w:szCs w:val="21"/>
                      <w:highlight w:val="none"/>
                      <w:u w:val="single"/>
                      <w:lang w:val="en-US" w:eastAsia="zh-CN"/>
                    </w:rPr>
                  </w:pPr>
                  <w:r>
                    <w:rPr>
                      <w:rFonts w:hint="eastAsia" w:eastAsia="宋体" w:cs="Times New Roman"/>
                      <w:color w:val="auto"/>
                      <w:sz w:val="20"/>
                      <w:szCs w:val="20"/>
                      <w:highlight w:val="none"/>
                      <w:u w:val="single"/>
                      <w:lang w:val="en-US" w:eastAsia="zh-CN"/>
                    </w:rPr>
                    <w:t>0.1004</w:t>
                  </w:r>
                </w:p>
              </w:tc>
              <w:tc>
                <w:tcPr>
                  <w:tcW w:w="638" w:type="pct"/>
                  <w:tcBorders>
                    <w:tl2br w:val="nil"/>
                    <w:tr2bl w:val="nil"/>
                  </w:tcBorders>
                  <w:noWrap/>
                  <w:vAlign w:val="center"/>
                </w:tcPr>
                <w:p w14:paraId="658B53A4">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w:t>
                  </w:r>
                </w:p>
              </w:tc>
              <w:tc>
                <w:tcPr>
                  <w:tcW w:w="661" w:type="pct"/>
                  <w:tcBorders>
                    <w:tl2br w:val="nil"/>
                    <w:tr2bl w:val="nil"/>
                  </w:tcBorders>
                  <w:shd w:val="clear" w:color="auto" w:fill="auto"/>
                  <w:noWrap/>
                  <w:vAlign w:val="center"/>
                </w:tcPr>
                <w:p w14:paraId="27296FA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0.1784</w:t>
                  </w:r>
                </w:p>
              </w:tc>
              <w:tc>
                <w:tcPr>
                  <w:tcW w:w="709" w:type="pct"/>
                  <w:tcBorders>
                    <w:tl2br w:val="nil"/>
                    <w:tr2bl w:val="nil"/>
                  </w:tcBorders>
                  <w:noWrap/>
                  <w:vAlign w:val="center"/>
                </w:tcPr>
                <w:p w14:paraId="633E9886">
                  <w:pPr>
                    <w:keepNext w:val="0"/>
                    <w:keepLines w:val="0"/>
                    <w:suppressLineNumbers w:val="0"/>
                    <w:spacing w:before="0" w:beforeLines="0" w:beforeAutospacing="0" w:after="0" w:afterLines="0" w:afterAutospacing="0"/>
                    <w:ind w:left="0" w:leftChars="0" w:right="0" w:rightChars="0"/>
                    <w:jc w:val="center"/>
                    <w:rPr>
                      <w:rFonts w:hint="eastAsia" w:ascii="Times New Roman" w:hAnsi="Times New Roman" w:eastAsia="宋体" w:cs="宋体"/>
                      <w:sz w:val="21"/>
                      <w:szCs w:val="21"/>
                      <w:highlight w:val="none"/>
                      <w:u w:val="single"/>
                      <w:lang w:val="en-US" w:eastAsia="zh-CN" w:bidi="ar-SA"/>
                    </w:rPr>
                  </w:pPr>
                  <w:r>
                    <w:rPr>
                      <w:rFonts w:hint="eastAsia" w:eastAsia="宋体" w:cs="宋体"/>
                      <w:sz w:val="21"/>
                      <w:szCs w:val="21"/>
                      <w:highlight w:val="none"/>
                      <w:u w:val="single"/>
                      <w:lang w:val="en-US" w:eastAsia="zh-CN" w:bidi="ar-SA"/>
                    </w:rPr>
                    <w:t>+</w:t>
                  </w:r>
                  <w:r>
                    <w:rPr>
                      <w:rFonts w:hint="eastAsia" w:ascii="Times New Roman" w:hAnsi="Times New Roman" w:eastAsia="宋体" w:cs="宋体"/>
                      <w:sz w:val="21"/>
                      <w:szCs w:val="21"/>
                      <w:highlight w:val="none"/>
                      <w:u w:val="single"/>
                      <w:lang w:val="en-US" w:eastAsia="zh-CN" w:bidi="ar-SA"/>
                    </w:rPr>
                    <w:t>0.1004</w:t>
                  </w:r>
                </w:p>
              </w:tc>
            </w:tr>
            <w:tr w14:paraId="54E5F5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restart"/>
                  <w:tcBorders>
                    <w:tl2br w:val="nil"/>
                    <w:tr2bl w:val="nil"/>
                  </w:tcBorders>
                  <w:noWrap w:val="0"/>
                  <w:vAlign w:val="center"/>
                </w:tcPr>
                <w:p w14:paraId="733599F9">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r>
                    <w:rPr>
                      <w:rFonts w:hint="default" w:ascii="Times New Roman" w:hAnsi="Times New Roman"/>
                      <w:sz w:val="21"/>
                      <w:szCs w:val="21"/>
                      <w:highlight w:val="none"/>
                      <w:u w:val="single"/>
                    </w:rPr>
                    <w:t>废水</w:t>
                  </w:r>
                </w:p>
              </w:tc>
              <w:tc>
                <w:tcPr>
                  <w:tcW w:w="733" w:type="pct"/>
                  <w:tcBorders>
                    <w:tl2br w:val="nil"/>
                    <w:tr2bl w:val="nil"/>
                  </w:tcBorders>
                  <w:noWrap w:val="0"/>
                  <w:vAlign w:val="center"/>
                </w:tcPr>
                <w:p w14:paraId="37C6B2CA">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r>
                    <w:rPr>
                      <w:rFonts w:hint="default" w:ascii="Times New Roman" w:hAnsi="Times New Roman"/>
                      <w:sz w:val="21"/>
                      <w:szCs w:val="21"/>
                      <w:highlight w:val="none"/>
                      <w:u w:val="single"/>
                    </w:rPr>
                    <w:t>废水量</w:t>
                  </w:r>
                </w:p>
              </w:tc>
              <w:tc>
                <w:tcPr>
                  <w:tcW w:w="638" w:type="pct"/>
                  <w:tcBorders>
                    <w:tl2br w:val="nil"/>
                    <w:tr2bl w:val="nil"/>
                  </w:tcBorders>
                  <w:noWrap w:val="0"/>
                  <w:vAlign w:val="center"/>
                </w:tcPr>
                <w:p w14:paraId="31F125EE">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eastAsia="宋体"/>
                      <w:sz w:val="21"/>
                      <w:szCs w:val="21"/>
                      <w:highlight w:val="none"/>
                      <w:u w:val="single"/>
                      <w:lang w:val="en-US" w:eastAsia="zh-CN"/>
                    </w:rPr>
                  </w:pPr>
                  <w:r>
                    <w:rPr>
                      <w:rFonts w:hint="eastAsia" w:ascii="Times New Roman" w:eastAsia="宋体"/>
                      <w:sz w:val="21"/>
                      <w:szCs w:val="21"/>
                      <w:highlight w:val="none"/>
                      <w:u w:val="single"/>
                      <w:lang w:val="en-US" w:eastAsia="zh-CN"/>
                    </w:rPr>
                    <w:t>47141.25</w:t>
                  </w:r>
                </w:p>
              </w:tc>
              <w:tc>
                <w:tcPr>
                  <w:tcW w:w="705" w:type="pct"/>
                  <w:tcBorders>
                    <w:tl2br w:val="nil"/>
                    <w:tr2bl w:val="nil"/>
                  </w:tcBorders>
                  <w:noWrap w:val="0"/>
                  <w:vAlign w:val="center"/>
                </w:tcPr>
                <w:p w14:paraId="400BD3C6">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eastAsia" w:ascii="Times New Roman" w:hAnsi="Times New Roman" w:eastAsia="宋体" w:cs="宋体"/>
                      <w:sz w:val="21"/>
                      <w:szCs w:val="21"/>
                      <w:highlight w:val="none"/>
                      <w:u w:val="single"/>
                      <w:lang w:val="en-US" w:eastAsia="zh-CN" w:bidi="ar-SA"/>
                    </w:rPr>
                  </w:pPr>
                  <w:r>
                    <w:rPr>
                      <w:rFonts w:hint="eastAsia"/>
                      <w:sz w:val="21"/>
                      <w:szCs w:val="21"/>
                      <w:highlight w:val="none"/>
                      <w:u w:val="single"/>
                      <w:lang w:val="en-US" w:eastAsia="zh-CN"/>
                    </w:rPr>
                    <w:t>/</w:t>
                  </w:r>
                </w:p>
              </w:tc>
              <w:tc>
                <w:tcPr>
                  <w:tcW w:w="638" w:type="pct"/>
                  <w:tcBorders>
                    <w:tl2br w:val="nil"/>
                    <w:tr2bl w:val="nil"/>
                  </w:tcBorders>
                  <w:noWrap w:val="0"/>
                  <w:vAlign w:val="center"/>
                </w:tcPr>
                <w:p w14:paraId="5FEAB746">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69110.39</w:t>
                  </w:r>
                </w:p>
              </w:tc>
              <w:tc>
                <w:tcPr>
                  <w:tcW w:w="638" w:type="pct"/>
                  <w:tcBorders>
                    <w:tl2br w:val="nil"/>
                    <w:tr2bl w:val="nil"/>
                  </w:tcBorders>
                  <w:noWrap/>
                  <w:vAlign w:val="center"/>
                </w:tcPr>
                <w:p w14:paraId="6372FA27">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sz w:val="21"/>
                      <w:szCs w:val="21"/>
                      <w:highlight w:val="none"/>
                      <w:u w:val="single"/>
                      <w:lang w:val="en-US" w:eastAsia="zh-CN"/>
                    </w:rPr>
                  </w:pPr>
                  <w:r>
                    <w:rPr>
                      <w:rFonts w:hint="eastAsia"/>
                      <w:sz w:val="21"/>
                      <w:szCs w:val="21"/>
                      <w:highlight w:val="none"/>
                      <w:u w:val="single"/>
                      <w:lang w:val="en-US" w:eastAsia="zh-CN"/>
                    </w:rPr>
                    <w:t>/</w:t>
                  </w:r>
                </w:p>
              </w:tc>
              <w:tc>
                <w:tcPr>
                  <w:tcW w:w="661" w:type="pct"/>
                  <w:tcBorders>
                    <w:tl2br w:val="nil"/>
                    <w:tr2bl w:val="nil"/>
                  </w:tcBorders>
                  <w:shd w:val="clear" w:color="auto" w:fill="auto"/>
                  <w:noWrap/>
                  <w:vAlign w:val="center"/>
                </w:tcPr>
                <w:p w14:paraId="601E26D9">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116251.64</w:t>
                  </w:r>
                </w:p>
              </w:tc>
              <w:tc>
                <w:tcPr>
                  <w:tcW w:w="709" w:type="pct"/>
                  <w:tcBorders>
                    <w:tl2br w:val="nil"/>
                    <w:tr2bl w:val="nil"/>
                  </w:tcBorders>
                  <w:shd w:val="clear" w:color="auto" w:fill="auto"/>
                  <w:noWrap/>
                  <w:vAlign w:val="center"/>
                </w:tcPr>
                <w:p w14:paraId="7D067D59">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cs="Times New Roman"/>
                      <w:sz w:val="21"/>
                      <w:szCs w:val="21"/>
                      <w:highlight w:val="none"/>
                      <w:u w:val="single"/>
                      <w:lang w:val="en-US" w:eastAsia="zh-CN" w:bidi="ar-SA"/>
                    </w:rPr>
                  </w:pPr>
                  <w:r>
                    <w:rPr>
                      <w:rFonts w:hint="eastAsia"/>
                      <w:sz w:val="21"/>
                      <w:szCs w:val="21"/>
                      <w:highlight w:val="none"/>
                      <w:u w:val="single"/>
                      <w:lang w:val="en-US" w:eastAsia="zh-CN"/>
                    </w:rPr>
                    <w:t>+69110.39</w:t>
                  </w:r>
                </w:p>
              </w:tc>
            </w:tr>
            <w:tr w14:paraId="0BA201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continue"/>
                  <w:tcBorders>
                    <w:tl2br w:val="nil"/>
                    <w:tr2bl w:val="nil"/>
                  </w:tcBorders>
                  <w:noWrap w:val="0"/>
                  <w:vAlign w:val="center"/>
                </w:tcPr>
                <w:p w14:paraId="422D7DCF">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p>
              </w:tc>
              <w:tc>
                <w:tcPr>
                  <w:tcW w:w="733" w:type="pct"/>
                  <w:tcBorders>
                    <w:tl2br w:val="nil"/>
                    <w:tr2bl w:val="nil"/>
                  </w:tcBorders>
                  <w:noWrap w:val="0"/>
                  <w:vAlign w:val="center"/>
                </w:tcPr>
                <w:p w14:paraId="2676FE12">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r>
                    <w:rPr>
                      <w:rFonts w:hint="default" w:ascii="Times New Roman" w:hAnsi="Times New Roman"/>
                      <w:sz w:val="21"/>
                      <w:szCs w:val="21"/>
                      <w:highlight w:val="none"/>
                      <w:u w:val="single"/>
                    </w:rPr>
                    <w:t>COD</w:t>
                  </w:r>
                </w:p>
              </w:tc>
              <w:tc>
                <w:tcPr>
                  <w:tcW w:w="638" w:type="pct"/>
                  <w:tcBorders>
                    <w:tl2br w:val="nil"/>
                    <w:tr2bl w:val="nil"/>
                  </w:tcBorders>
                  <w:noWrap w:val="0"/>
                  <w:vAlign w:val="center"/>
                </w:tcPr>
                <w:p w14:paraId="1D05C4B7">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eastAsia="宋体"/>
                      <w:sz w:val="21"/>
                      <w:szCs w:val="21"/>
                      <w:highlight w:val="none"/>
                      <w:u w:val="single"/>
                      <w:lang w:val="en-US" w:eastAsia="zh-CN"/>
                    </w:rPr>
                  </w:pPr>
                  <w:r>
                    <w:rPr>
                      <w:rFonts w:hint="eastAsia" w:ascii="Times New Roman" w:eastAsia="宋体"/>
                      <w:sz w:val="21"/>
                      <w:szCs w:val="21"/>
                      <w:highlight w:val="none"/>
                      <w:u w:val="single"/>
                      <w:lang w:val="en-US" w:eastAsia="zh-CN"/>
                    </w:rPr>
                    <w:t>2.357</w:t>
                  </w:r>
                </w:p>
              </w:tc>
              <w:tc>
                <w:tcPr>
                  <w:tcW w:w="705" w:type="pct"/>
                  <w:tcBorders>
                    <w:tl2br w:val="nil"/>
                    <w:tr2bl w:val="nil"/>
                  </w:tcBorders>
                  <w:noWrap w:val="0"/>
                  <w:vAlign w:val="center"/>
                </w:tcPr>
                <w:p w14:paraId="42F6045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eastAsia" w:ascii="Times New Roman" w:hAnsi="Times New Roman" w:eastAsia="宋体" w:cs="宋体"/>
                      <w:sz w:val="21"/>
                      <w:szCs w:val="21"/>
                      <w:highlight w:val="none"/>
                      <w:u w:val="single"/>
                      <w:lang w:val="en-US" w:eastAsia="zh-CN" w:bidi="ar-SA"/>
                    </w:rPr>
                  </w:pPr>
                  <w:r>
                    <w:rPr>
                      <w:rFonts w:hint="eastAsia"/>
                      <w:sz w:val="21"/>
                      <w:szCs w:val="21"/>
                      <w:highlight w:val="none"/>
                      <w:u w:val="single"/>
                      <w:lang w:val="en-US" w:eastAsia="zh-CN"/>
                    </w:rPr>
                    <w:t>/</w:t>
                  </w:r>
                </w:p>
              </w:tc>
              <w:tc>
                <w:tcPr>
                  <w:tcW w:w="638" w:type="pct"/>
                  <w:tcBorders>
                    <w:tl2br w:val="nil"/>
                    <w:tr2bl w:val="nil"/>
                  </w:tcBorders>
                  <w:shd w:val="clear" w:color="auto" w:fill="auto"/>
                  <w:noWrap w:val="0"/>
                  <w:vAlign w:val="center"/>
                </w:tcPr>
                <w:p w14:paraId="4C760A05">
                  <w:pPr>
                    <w:keepNext w:val="0"/>
                    <w:keepLines w:val="0"/>
                    <w:widowControl/>
                    <w:suppressLineNumbers w:val="0"/>
                    <w:adjustRightInd w:val="0"/>
                    <w:snapToGrid w:val="0"/>
                    <w:spacing w:before="0" w:beforeLines="0" w:beforeAutospacing="0" w:after="0" w:afterLines="0" w:afterAutospacing="0"/>
                    <w:ind w:left="0" w:right="0"/>
                    <w:jc w:val="center"/>
                    <w:textAlignment w:val="auto"/>
                    <w:rPr>
                      <w:rFonts w:hint="default" w:ascii="Times New Roman" w:hAnsi="Times New Roman" w:eastAsia="宋体"/>
                      <w:kern w:val="0"/>
                      <w:sz w:val="21"/>
                      <w:szCs w:val="21"/>
                      <w:highlight w:val="none"/>
                      <w:u w:val="single"/>
                      <w:lang w:val="en-US" w:eastAsia="zh-CN" w:bidi="ar"/>
                    </w:rPr>
                  </w:pPr>
                  <w:r>
                    <w:rPr>
                      <w:rFonts w:hint="eastAsia"/>
                      <w:kern w:val="0"/>
                      <w:szCs w:val="21"/>
                      <w:highlight w:val="none"/>
                      <w:u w:val="single"/>
                      <w:lang w:val="en-US" w:eastAsia="zh-CN" w:bidi="ar"/>
                    </w:rPr>
                    <w:t>3.456</w:t>
                  </w:r>
                </w:p>
              </w:tc>
              <w:tc>
                <w:tcPr>
                  <w:tcW w:w="638" w:type="pct"/>
                  <w:tcBorders>
                    <w:tl2br w:val="nil"/>
                    <w:tr2bl w:val="nil"/>
                  </w:tcBorders>
                  <w:noWrap/>
                  <w:vAlign w:val="center"/>
                </w:tcPr>
                <w:p w14:paraId="1E82D822">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sz w:val="21"/>
                      <w:szCs w:val="21"/>
                      <w:highlight w:val="none"/>
                      <w:u w:val="single"/>
                      <w:lang w:val="en-US" w:eastAsia="zh-CN"/>
                    </w:rPr>
                  </w:pPr>
                  <w:r>
                    <w:rPr>
                      <w:rFonts w:hint="eastAsia"/>
                      <w:sz w:val="21"/>
                      <w:szCs w:val="21"/>
                      <w:highlight w:val="none"/>
                      <w:u w:val="single"/>
                      <w:lang w:val="en-US" w:eastAsia="zh-CN"/>
                    </w:rPr>
                    <w:t>/</w:t>
                  </w:r>
                </w:p>
              </w:tc>
              <w:tc>
                <w:tcPr>
                  <w:tcW w:w="661" w:type="pct"/>
                  <w:tcBorders>
                    <w:tl2br w:val="nil"/>
                    <w:tr2bl w:val="nil"/>
                  </w:tcBorders>
                  <w:shd w:val="clear" w:color="auto" w:fill="auto"/>
                  <w:noWrap/>
                  <w:vAlign w:val="center"/>
                </w:tcPr>
                <w:p w14:paraId="0FBA873B">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olor w:val="auto"/>
                      <w:sz w:val="21"/>
                      <w:szCs w:val="21"/>
                      <w:highlight w:val="none"/>
                      <w:u w:val="single"/>
                      <w:lang w:val="en-US" w:eastAsia="zh-CN"/>
                    </w:rPr>
                  </w:pPr>
                  <w:r>
                    <w:rPr>
                      <w:rFonts w:hint="eastAsia"/>
                      <w:u w:val="single"/>
                      <w:lang w:val="en-US" w:eastAsia="zh-CN"/>
                    </w:rPr>
                    <w:t>5.813</w:t>
                  </w:r>
                </w:p>
              </w:tc>
              <w:tc>
                <w:tcPr>
                  <w:tcW w:w="709" w:type="pct"/>
                  <w:tcBorders>
                    <w:tl2br w:val="nil"/>
                    <w:tr2bl w:val="nil"/>
                  </w:tcBorders>
                  <w:shd w:val="clear" w:color="auto" w:fill="auto"/>
                  <w:noWrap/>
                  <w:vAlign w:val="center"/>
                </w:tcPr>
                <w:p w14:paraId="60C7CD1F">
                  <w:pPr>
                    <w:keepNext w:val="0"/>
                    <w:keepLines w:val="0"/>
                    <w:widowControl/>
                    <w:suppressLineNumbers w:val="0"/>
                    <w:adjustRightInd w:val="0"/>
                    <w:snapToGrid w:val="0"/>
                    <w:spacing w:before="0" w:beforeLines="0" w:beforeAutospacing="0" w:after="0" w:afterLines="0" w:afterAutospacing="0"/>
                    <w:ind w:left="0" w:right="0"/>
                    <w:jc w:val="center"/>
                    <w:textAlignment w:val="auto"/>
                    <w:rPr>
                      <w:rFonts w:hint="default" w:ascii="Times New Roman" w:hAnsi="Times New Roman" w:eastAsia="宋体" w:cs="Times New Roman"/>
                      <w:kern w:val="0"/>
                      <w:sz w:val="21"/>
                      <w:szCs w:val="21"/>
                      <w:highlight w:val="none"/>
                      <w:u w:val="single"/>
                      <w:lang w:val="en-US" w:eastAsia="zh-CN" w:bidi="ar"/>
                    </w:rPr>
                  </w:pPr>
                  <w:r>
                    <w:rPr>
                      <w:rFonts w:hint="eastAsia"/>
                      <w:kern w:val="0"/>
                      <w:szCs w:val="21"/>
                      <w:highlight w:val="none"/>
                      <w:u w:val="single"/>
                      <w:lang w:val="en-US" w:eastAsia="zh-CN" w:bidi="ar"/>
                    </w:rPr>
                    <w:t>+3.456</w:t>
                  </w:r>
                </w:p>
              </w:tc>
            </w:tr>
            <w:tr w14:paraId="5FF6F5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continue"/>
                  <w:tcBorders>
                    <w:tl2br w:val="nil"/>
                    <w:tr2bl w:val="nil"/>
                  </w:tcBorders>
                  <w:noWrap w:val="0"/>
                  <w:vAlign w:val="center"/>
                </w:tcPr>
                <w:p w14:paraId="6AF0ED58">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p>
              </w:tc>
              <w:tc>
                <w:tcPr>
                  <w:tcW w:w="733" w:type="pct"/>
                  <w:tcBorders>
                    <w:tl2br w:val="nil"/>
                    <w:tr2bl w:val="nil"/>
                  </w:tcBorders>
                  <w:noWrap w:val="0"/>
                  <w:vAlign w:val="center"/>
                </w:tcPr>
                <w:p w14:paraId="052548D4">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eastAsia" w:ascii="Times New Roman" w:hAnsi="Times New Roman" w:eastAsia="宋体"/>
                      <w:sz w:val="21"/>
                      <w:szCs w:val="21"/>
                      <w:highlight w:val="none"/>
                      <w:u w:val="single"/>
                      <w:lang w:eastAsia="zh-CN"/>
                    </w:rPr>
                  </w:pPr>
                  <w:r>
                    <w:rPr>
                      <w:rFonts w:hint="eastAsia" w:ascii="Times New Roman" w:hAnsi="Times New Roman"/>
                      <w:sz w:val="21"/>
                      <w:szCs w:val="21"/>
                      <w:highlight w:val="none"/>
                      <w:u w:val="single"/>
                      <w:lang w:val="en-US" w:eastAsia="zh-CN"/>
                    </w:rPr>
                    <w:t>氨氮</w:t>
                  </w:r>
                </w:p>
              </w:tc>
              <w:tc>
                <w:tcPr>
                  <w:tcW w:w="638" w:type="pct"/>
                  <w:tcBorders>
                    <w:tl2br w:val="nil"/>
                    <w:tr2bl w:val="nil"/>
                  </w:tcBorders>
                  <w:noWrap w:val="0"/>
                  <w:vAlign w:val="center"/>
                </w:tcPr>
                <w:p w14:paraId="192EAEB8">
                  <w:pPr>
                    <w:pStyle w:val="19"/>
                    <w:keepNext w:val="0"/>
                    <w:keepLines w:val="0"/>
                    <w:suppressLineNumbers w:val="0"/>
                    <w:adjustRightInd/>
                    <w:spacing w:before="0" w:beforeLines="0" w:beforeAutospacing="0" w:after="0" w:afterLines="0" w:afterAutospacing="0" w:line="240" w:lineRule="auto"/>
                    <w:ind w:left="0" w:right="0"/>
                    <w:rPr>
                      <w:rFonts w:hint="default" w:ascii="Times New Roman" w:hAnsi="Times New Roman" w:eastAsia="宋体"/>
                      <w:sz w:val="21"/>
                      <w:szCs w:val="21"/>
                      <w:highlight w:val="none"/>
                      <w:u w:val="single"/>
                      <w:lang w:val="en-US" w:eastAsia="zh-CN"/>
                    </w:rPr>
                  </w:pPr>
                  <w:r>
                    <w:rPr>
                      <w:rFonts w:hint="eastAsia" w:ascii="Times New Roman" w:eastAsia="宋体"/>
                      <w:sz w:val="21"/>
                      <w:szCs w:val="21"/>
                      <w:highlight w:val="none"/>
                      <w:u w:val="single"/>
                      <w:lang w:val="en-US" w:eastAsia="zh-CN"/>
                    </w:rPr>
                    <w:t>0.236</w:t>
                  </w:r>
                </w:p>
              </w:tc>
              <w:tc>
                <w:tcPr>
                  <w:tcW w:w="705" w:type="pct"/>
                  <w:tcBorders>
                    <w:tl2br w:val="nil"/>
                    <w:tr2bl w:val="nil"/>
                  </w:tcBorders>
                  <w:noWrap w:val="0"/>
                  <w:vAlign w:val="center"/>
                </w:tcPr>
                <w:p w14:paraId="1AC6F645">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eastAsia" w:ascii="Times New Roman" w:hAnsi="Times New Roman" w:eastAsia="宋体" w:cs="宋体"/>
                      <w:sz w:val="21"/>
                      <w:szCs w:val="21"/>
                      <w:highlight w:val="none"/>
                      <w:u w:val="single"/>
                      <w:lang w:val="en-US" w:eastAsia="zh-CN" w:bidi="ar-SA"/>
                    </w:rPr>
                  </w:pPr>
                  <w:r>
                    <w:rPr>
                      <w:rFonts w:hint="eastAsia"/>
                      <w:sz w:val="21"/>
                      <w:szCs w:val="21"/>
                      <w:highlight w:val="none"/>
                      <w:u w:val="single"/>
                      <w:lang w:val="en-US" w:eastAsia="zh-CN"/>
                    </w:rPr>
                    <w:t>/</w:t>
                  </w:r>
                </w:p>
              </w:tc>
              <w:tc>
                <w:tcPr>
                  <w:tcW w:w="638" w:type="pct"/>
                  <w:tcBorders>
                    <w:tl2br w:val="nil"/>
                    <w:tr2bl w:val="nil"/>
                  </w:tcBorders>
                  <w:shd w:val="clear" w:color="auto" w:fill="auto"/>
                  <w:noWrap w:val="0"/>
                  <w:vAlign w:val="center"/>
                </w:tcPr>
                <w:p w14:paraId="449F02B2">
                  <w:pPr>
                    <w:keepNext w:val="0"/>
                    <w:keepLines w:val="0"/>
                    <w:widowControl/>
                    <w:suppressLineNumbers w:val="0"/>
                    <w:adjustRightInd w:val="0"/>
                    <w:snapToGrid w:val="0"/>
                    <w:spacing w:before="0" w:beforeLines="0" w:beforeAutospacing="0" w:after="0" w:afterLines="0" w:afterAutospacing="0"/>
                    <w:ind w:left="0" w:right="0"/>
                    <w:jc w:val="center"/>
                    <w:textAlignment w:val="auto"/>
                    <w:rPr>
                      <w:rFonts w:hint="default" w:ascii="Times New Roman" w:hAnsi="Times New Roman" w:eastAsia="宋体"/>
                      <w:kern w:val="0"/>
                      <w:sz w:val="21"/>
                      <w:szCs w:val="21"/>
                      <w:highlight w:val="none"/>
                      <w:u w:val="single"/>
                      <w:lang w:val="en-US" w:eastAsia="zh-CN" w:bidi="ar"/>
                    </w:rPr>
                  </w:pPr>
                  <w:r>
                    <w:rPr>
                      <w:rFonts w:hint="eastAsia"/>
                      <w:kern w:val="0"/>
                      <w:szCs w:val="21"/>
                      <w:highlight w:val="none"/>
                      <w:u w:val="single"/>
                      <w:lang w:val="en-US" w:eastAsia="zh-CN" w:bidi="ar"/>
                    </w:rPr>
                    <w:t>0.346</w:t>
                  </w:r>
                </w:p>
              </w:tc>
              <w:tc>
                <w:tcPr>
                  <w:tcW w:w="638" w:type="pct"/>
                  <w:tcBorders>
                    <w:tl2br w:val="nil"/>
                    <w:tr2bl w:val="nil"/>
                  </w:tcBorders>
                  <w:noWrap/>
                  <w:vAlign w:val="center"/>
                </w:tcPr>
                <w:p w14:paraId="07F7A286">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sz w:val="21"/>
                      <w:szCs w:val="21"/>
                      <w:highlight w:val="none"/>
                      <w:u w:val="single"/>
                      <w:lang w:val="en-US" w:eastAsia="zh-CN"/>
                    </w:rPr>
                  </w:pPr>
                  <w:r>
                    <w:rPr>
                      <w:rFonts w:hint="eastAsia"/>
                      <w:sz w:val="21"/>
                      <w:szCs w:val="21"/>
                      <w:highlight w:val="none"/>
                      <w:u w:val="single"/>
                      <w:lang w:val="en-US" w:eastAsia="zh-CN"/>
                    </w:rPr>
                    <w:t>/</w:t>
                  </w:r>
                </w:p>
              </w:tc>
              <w:tc>
                <w:tcPr>
                  <w:tcW w:w="661" w:type="pct"/>
                  <w:tcBorders>
                    <w:tl2br w:val="nil"/>
                    <w:tr2bl w:val="nil"/>
                  </w:tcBorders>
                  <w:shd w:val="clear" w:color="auto" w:fill="auto"/>
                  <w:noWrap/>
                  <w:vAlign w:val="center"/>
                </w:tcPr>
                <w:p w14:paraId="5CC6EB49">
                  <w:pPr>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olor w:val="auto"/>
                      <w:sz w:val="21"/>
                      <w:szCs w:val="21"/>
                      <w:highlight w:val="none"/>
                      <w:u w:val="single"/>
                      <w:lang w:val="en-US" w:eastAsia="zh-CN"/>
                    </w:rPr>
                  </w:pPr>
                  <w:r>
                    <w:rPr>
                      <w:rFonts w:hint="eastAsia"/>
                      <w:u w:val="single"/>
                      <w:lang w:val="en-US" w:eastAsia="zh-CN"/>
                    </w:rPr>
                    <w:t>0.582</w:t>
                  </w:r>
                </w:p>
              </w:tc>
              <w:tc>
                <w:tcPr>
                  <w:tcW w:w="709" w:type="pct"/>
                  <w:tcBorders>
                    <w:tl2br w:val="nil"/>
                    <w:tr2bl w:val="nil"/>
                  </w:tcBorders>
                  <w:shd w:val="clear" w:color="auto" w:fill="auto"/>
                  <w:noWrap/>
                  <w:vAlign w:val="center"/>
                </w:tcPr>
                <w:p w14:paraId="503B17C2">
                  <w:pPr>
                    <w:keepNext w:val="0"/>
                    <w:keepLines w:val="0"/>
                    <w:widowControl/>
                    <w:suppressLineNumbers w:val="0"/>
                    <w:adjustRightInd w:val="0"/>
                    <w:snapToGrid w:val="0"/>
                    <w:spacing w:before="0" w:beforeLines="0" w:beforeAutospacing="0" w:after="0" w:afterLines="0" w:afterAutospacing="0"/>
                    <w:ind w:left="0" w:right="0"/>
                    <w:jc w:val="center"/>
                    <w:textAlignment w:val="auto"/>
                    <w:rPr>
                      <w:rFonts w:hint="default" w:ascii="Times New Roman" w:hAnsi="Times New Roman" w:eastAsia="宋体" w:cs="Times New Roman"/>
                      <w:kern w:val="0"/>
                      <w:sz w:val="21"/>
                      <w:szCs w:val="21"/>
                      <w:highlight w:val="none"/>
                      <w:u w:val="single"/>
                      <w:lang w:val="en-US" w:eastAsia="zh-CN" w:bidi="ar"/>
                    </w:rPr>
                  </w:pPr>
                  <w:r>
                    <w:rPr>
                      <w:rFonts w:hint="eastAsia"/>
                      <w:kern w:val="0"/>
                      <w:szCs w:val="21"/>
                      <w:highlight w:val="none"/>
                      <w:u w:val="single"/>
                      <w:lang w:val="en-US" w:eastAsia="zh-CN" w:bidi="ar"/>
                    </w:rPr>
                    <w:t>+0.346</w:t>
                  </w:r>
                </w:p>
              </w:tc>
            </w:tr>
            <w:tr w14:paraId="08DE43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restart"/>
                  <w:tcBorders>
                    <w:tl2br w:val="nil"/>
                    <w:tr2bl w:val="nil"/>
                  </w:tcBorders>
                  <w:noWrap w:val="0"/>
                  <w:vAlign w:val="center"/>
                </w:tcPr>
                <w:p w14:paraId="25D295D5">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eastAsia" w:ascii="Times New Roman" w:hAnsi="Times New Roman" w:eastAsia="宋体"/>
                      <w:sz w:val="21"/>
                      <w:szCs w:val="21"/>
                      <w:highlight w:val="none"/>
                      <w:u w:val="single"/>
                      <w:lang w:val="en-US" w:eastAsia="zh-CN"/>
                    </w:rPr>
                  </w:pPr>
                  <w:r>
                    <w:rPr>
                      <w:rFonts w:hint="default" w:ascii="Times New Roman" w:hAnsi="Times New Roman"/>
                      <w:sz w:val="21"/>
                      <w:szCs w:val="21"/>
                      <w:highlight w:val="none"/>
                      <w:u w:val="single"/>
                    </w:rPr>
                    <w:t>固废</w:t>
                  </w:r>
                </w:p>
              </w:tc>
              <w:tc>
                <w:tcPr>
                  <w:tcW w:w="733" w:type="pct"/>
                  <w:tcBorders>
                    <w:tl2br w:val="nil"/>
                    <w:tr2bl w:val="nil"/>
                  </w:tcBorders>
                  <w:noWrap w:val="0"/>
                  <w:vAlign w:val="center"/>
                </w:tcPr>
                <w:p w14:paraId="164E96B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bidi="ar-SA"/>
                    </w:rPr>
                  </w:pPr>
                  <w:r>
                    <w:rPr>
                      <w:rFonts w:hint="eastAsia" w:ascii="Times New Roman" w:hAnsi="Times New Roman" w:eastAsia="宋体" w:cs="Times New Roman"/>
                      <w:sz w:val="21"/>
                      <w:szCs w:val="21"/>
                      <w:highlight w:val="none"/>
                      <w:u w:val="single"/>
                      <w:lang w:val="en-US" w:eastAsia="zh-CN"/>
                    </w:rPr>
                    <w:t>危险废物</w:t>
                  </w:r>
                </w:p>
              </w:tc>
              <w:tc>
                <w:tcPr>
                  <w:tcW w:w="638" w:type="pct"/>
                  <w:tcBorders>
                    <w:tl2br w:val="nil"/>
                    <w:tr2bl w:val="nil"/>
                  </w:tcBorders>
                  <w:noWrap w:val="0"/>
                  <w:vAlign w:val="center"/>
                </w:tcPr>
                <w:p w14:paraId="6B940E70">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sz w:val="21"/>
                      <w:szCs w:val="21"/>
                      <w:highlight w:val="none"/>
                      <w:u w:val="single"/>
                      <w:lang w:val="en-US" w:eastAsia="zh-CN"/>
                    </w:rPr>
                  </w:pPr>
                  <w:r>
                    <w:rPr>
                      <w:rFonts w:hint="eastAsia" w:eastAsia="宋体"/>
                      <w:sz w:val="21"/>
                      <w:szCs w:val="21"/>
                      <w:highlight w:val="none"/>
                      <w:u w:val="single"/>
                      <w:lang w:val="en-US" w:eastAsia="zh-CN"/>
                    </w:rPr>
                    <w:t>0.165</w:t>
                  </w:r>
                </w:p>
              </w:tc>
              <w:tc>
                <w:tcPr>
                  <w:tcW w:w="705" w:type="pct"/>
                  <w:tcBorders>
                    <w:tl2br w:val="nil"/>
                    <w:tr2bl w:val="nil"/>
                  </w:tcBorders>
                  <w:noWrap w:val="0"/>
                  <w:vAlign w:val="center"/>
                </w:tcPr>
                <w:p w14:paraId="55270AD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cs="Times New Roman"/>
                      <w:sz w:val="21"/>
                      <w:szCs w:val="21"/>
                      <w:highlight w:val="none"/>
                      <w:u w:val="single"/>
                      <w:lang w:val="en-US" w:eastAsia="zh-CN"/>
                    </w:rPr>
                    <w:t>/</w:t>
                  </w:r>
                </w:p>
              </w:tc>
              <w:tc>
                <w:tcPr>
                  <w:tcW w:w="638" w:type="pct"/>
                  <w:tcBorders>
                    <w:tl2br w:val="nil"/>
                    <w:tr2bl w:val="nil"/>
                  </w:tcBorders>
                  <w:noWrap w:val="0"/>
                  <w:vAlign w:val="center"/>
                </w:tcPr>
                <w:p w14:paraId="6B1D07F7">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eastAsia="宋体" w:cs="Times New Roman"/>
                      <w:sz w:val="21"/>
                      <w:szCs w:val="21"/>
                      <w:highlight w:val="none"/>
                      <w:u w:val="single"/>
                      <w:lang w:val="en-US" w:eastAsia="zh-CN"/>
                    </w:rPr>
                    <w:t>0.165</w:t>
                  </w:r>
                </w:p>
              </w:tc>
              <w:tc>
                <w:tcPr>
                  <w:tcW w:w="638" w:type="pct"/>
                  <w:tcBorders>
                    <w:tl2br w:val="nil"/>
                    <w:tr2bl w:val="nil"/>
                  </w:tcBorders>
                  <w:noWrap/>
                  <w:vAlign w:val="center"/>
                </w:tcPr>
                <w:p w14:paraId="55602948">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eastAsia" w:ascii="Times New Roman" w:hAnsi="Times New Roman" w:eastAsia="宋体"/>
                      <w:sz w:val="21"/>
                      <w:szCs w:val="21"/>
                      <w:highlight w:val="none"/>
                      <w:u w:val="single"/>
                      <w:lang w:val="en-US" w:eastAsia="zh-CN"/>
                    </w:rPr>
                  </w:pPr>
                  <w:r>
                    <w:rPr>
                      <w:rFonts w:hint="eastAsia"/>
                      <w:sz w:val="21"/>
                      <w:szCs w:val="21"/>
                      <w:highlight w:val="none"/>
                      <w:u w:val="single"/>
                      <w:lang w:val="en-US" w:eastAsia="zh-CN"/>
                    </w:rPr>
                    <w:t>/</w:t>
                  </w:r>
                </w:p>
              </w:tc>
              <w:tc>
                <w:tcPr>
                  <w:tcW w:w="661" w:type="pct"/>
                  <w:tcBorders>
                    <w:tl2br w:val="nil"/>
                    <w:tr2bl w:val="nil"/>
                  </w:tcBorders>
                  <w:shd w:val="clear" w:color="auto" w:fill="auto"/>
                  <w:noWrap/>
                  <w:vAlign w:val="center"/>
                </w:tcPr>
                <w:p w14:paraId="624AF02D">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sz w:val="21"/>
                      <w:szCs w:val="21"/>
                      <w:highlight w:val="none"/>
                      <w:u w:val="single"/>
                      <w:lang w:val="en-US" w:eastAsia="zh-CN"/>
                    </w:rPr>
                  </w:pPr>
                  <w:r>
                    <w:rPr>
                      <w:rFonts w:hint="eastAsia" w:eastAsia="宋体" w:cs="Times New Roman"/>
                      <w:sz w:val="21"/>
                      <w:szCs w:val="21"/>
                      <w:highlight w:val="none"/>
                      <w:u w:val="single"/>
                      <w:lang w:val="en-US" w:eastAsia="zh-CN" w:bidi="ar-SA"/>
                    </w:rPr>
                    <w:t>0.33</w:t>
                  </w:r>
                </w:p>
              </w:tc>
              <w:tc>
                <w:tcPr>
                  <w:tcW w:w="709" w:type="pct"/>
                  <w:tcBorders>
                    <w:tl2br w:val="nil"/>
                    <w:tr2bl w:val="nil"/>
                  </w:tcBorders>
                  <w:shd w:val="clear" w:color="auto" w:fill="auto"/>
                  <w:noWrap/>
                  <w:vAlign w:val="center"/>
                </w:tcPr>
                <w:p w14:paraId="4A4D097F">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bidi="ar-SA"/>
                    </w:rPr>
                  </w:pPr>
                  <w:r>
                    <w:rPr>
                      <w:rFonts w:hint="eastAsia" w:eastAsia="宋体" w:cs="Times New Roman"/>
                      <w:sz w:val="21"/>
                      <w:szCs w:val="21"/>
                      <w:highlight w:val="none"/>
                      <w:u w:val="single"/>
                      <w:lang w:val="en-US" w:eastAsia="zh-CN"/>
                    </w:rPr>
                    <w:t>+0.165</w:t>
                  </w:r>
                </w:p>
              </w:tc>
            </w:tr>
            <w:tr w14:paraId="292B14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continue"/>
                  <w:tcBorders>
                    <w:tl2br w:val="nil"/>
                    <w:tr2bl w:val="nil"/>
                  </w:tcBorders>
                  <w:noWrap w:val="0"/>
                  <w:vAlign w:val="center"/>
                </w:tcPr>
                <w:p w14:paraId="039287F1">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bookmarkStart w:id="20" w:name="_Toc20951"/>
                </w:p>
              </w:tc>
              <w:tc>
                <w:tcPr>
                  <w:tcW w:w="733" w:type="pct"/>
                  <w:tcBorders>
                    <w:tl2br w:val="nil"/>
                    <w:tr2bl w:val="nil"/>
                  </w:tcBorders>
                  <w:noWrap w:val="0"/>
                  <w:vAlign w:val="center"/>
                </w:tcPr>
                <w:p w14:paraId="69C1FFF8">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eastAsia="宋体" w:cs="Times New Roman"/>
                      <w:sz w:val="21"/>
                      <w:szCs w:val="21"/>
                      <w:highlight w:val="none"/>
                      <w:u w:val="single"/>
                      <w:lang w:val="en-US" w:eastAsia="zh-CN"/>
                    </w:rPr>
                    <w:t>生活垃圾</w:t>
                  </w:r>
                </w:p>
              </w:tc>
              <w:tc>
                <w:tcPr>
                  <w:tcW w:w="638" w:type="pct"/>
                  <w:tcBorders>
                    <w:tl2br w:val="nil"/>
                    <w:tr2bl w:val="nil"/>
                  </w:tcBorders>
                  <w:noWrap w:val="0"/>
                  <w:vAlign w:val="center"/>
                </w:tcPr>
                <w:p w14:paraId="708D44E5">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sz w:val="21"/>
                      <w:szCs w:val="21"/>
                      <w:highlight w:val="none"/>
                      <w:u w:val="single"/>
                      <w:lang w:val="en-US" w:eastAsia="zh-CN"/>
                    </w:rPr>
                  </w:pPr>
                  <w:r>
                    <w:rPr>
                      <w:rFonts w:hint="eastAsia"/>
                      <w:sz w:val="21"/>
                      <w:szCs w:val="21"/>
                      <w:highlight w:val="none"/>
                      <w:u w:val="single"/>
                      <w:lang w:val="en-US" w:eastAsia="zh-CN"/>
                    </w:rPr>
                    <w:t>24.62</w:t>
                  </w:r>
                </w:p>
              </w:tc>
              <w:tc>
                <w:tcPr>
                  <w:tcW w:w="705" w:type="pct"/>
                  <w:tcBorders>
                    <w:tl2br w:val="nil"/>
                    <w:tr2bl w:val="nil"/>
                  </w:tcBorders>
                  <w:noWrap w:val="0"/>
                  <w:vAlign w:val="center"/>
                </w:tcPr>
                <w:p w14:paraId="28B203B5">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eastAsia="宋体" w:cs="Times New Roman"/>
                      <w:sz w:val="21"/>
                      <w:szCs w:val="21"/>
                      <w:highlight w:val="none"/>
                      <w:u w:val="single"/>
                      <w:lang w:val="en-US" w:eastAsia="zh-CN"/>
                    </w:rPr>
                  </w:pPr>
                  <w:r>
                    <w:rPr>
                      <w:rFonts w:hint="eastAsia" w:cs="Times New Roman"/>
                      <w:sz w:val="21"/>
                      <w:szCs w:val="21"/>
                      <w:highlight w:val="none"/>
                      <w:u w:val="single"/>
                      <w:lang w:val="en-US" w:eastAsia="zh-CN"/>
                    </w:rPr>
                    <w:t>/</w:t>
                  </w:r>
                </w:p>
              </w:tc>
              <w:tc>
                <w:tcPr>
                  <w:tcW w:w="638" w:type="pct"/>
                  <w:tcBorders>
                    <w:tl2br w:val="nil"/>
                    <w:tr2bl w:val="nil"/>
                  </w:tcBorders>
                  <w:noWrap w:val="0"/>
                  <w:vAlign w:val="center"/>
                </w:tcPr>
                <w:p w14:paraId="5A05D0B1">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eastAsia="宋体" w:cs="Times New Roman"/>
                      <w:sz w:val="21"/>
                      <w:szCs w:val="21"/>
                      <w:highlight w:val="none"/>
                      <w:u w:val="single"/>
                      <w:lang w:val="en-US" w:eastAsia="zh-CN"/>
                    </w:rPr>
                    <w:t>10.6</w:t>
                  </w:r>
                </w:p>
              </w:tc>
              <w:tc>
                <w:tcPr>
                  <w:tcW w:w="638" w:type="pct"/>
                  <w:tcBorders>
                    <w:tl2br w:val="nil"/>
                    <w:tr2bl w:val="nil"/>
                  </w:tcBorders>
                  <w:noWrap/>
                  <w:vAlign w:val="center"/>
                </w:tcPr>
                <w:p w14:paraId="12A7F2D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w:t>
                  </w:r>
                </w:p>
              </w:tc>
              <w:tc>
                <w:tcPr>
                  <w:tcW w:w="661" w:type="pct"/>
                  <w:tcBorders>
                    <w:tl2br w:val="nil"/>
                    <w:tr2bl w:val="nil"/>
                  </w:tcBorders>
                  <w:shd w:val="clear" w:color="auto" w:fill="auto"/>
                  <w:noWrap/>
                  <w:vAlign w:val="center"/>
                </w:tcPr>
                <w:p w14:paraId="08E2CF73">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sz w:val="21"/>
                      <w:szCs w:val="21"/>
                      <w:highlight w:val="none"/>
                      <w:u w:val="single"/>
                      <w:lang w:val="en-US" w:eastAsia="zh-CN"/>
                    </w:rPr>
                  </w:pPr>
                  <w:r>
                    <w:rPr>
                      <w:rFonts w:hint="eastAsia" w:cs="Times New Roman"/>
                      <w:sz w:val="21"/>
                      <w:szCs w:val="21"/>
                      <w:highlight w:val="none"/>
                      <w:u w:val="single"/>
                      <w:lang w:val="en-US" w:eastAsia="zh-CN" w:bidi="ar-SA"/>
                    </w:rPr>
                    <w:t>35.22</w:t>
                  </w:r>
                </w:p>
              </w:tc>
              <w:tc>
                <w:tcPr>
                  <w:tcW w:w="709" w:type="pct"/>
                  <w:tcBorders>
                    <w:tl2br w:val="nil"/>
                    <w:tr2bl w:val="nil"/>
                  </w:tcBorders>
                  <w:shd w:val="clear" w:color="auto" w:fill="auto"/>
                  <w:noWrap/>
                  <w:vAlign w:val="center"/>
                </w:tcPr>
                <w:p w14:paraId="6AAC4C62">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eastAsia="宋体" w:cs="Times New Roman"/>
                      <w:sz w:val="21"/>
                      <w:szCs w:val="21"/>
                      <w:highlight w:val="none"/>
                      <w:u w:val="single"/>
                      <w:lang w:val="en-US" w:eastAsia="zh-CN"/>
                    </w:rPr>
                    <w:t>+10.6</w:t>
                  </w:r>
                </w:p>
              </w:tc>
            </w:tr>
            <w:tr w14:paraId="2885C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vMerge w:val="continue"/>
                  <w:tcBorders>
                    <w:tl2br w:val="nil"/>
                    <w:tr2bl w:val="nil"/>
                  </w:tcBorders>
                  <w:noWrap w:val="0"/>
                  <w:vAlign w:val="center"/>
                </w:tcPr>
                <w:p w14:paraId="0F6C78E5">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rPr>
                  </w:pPr>
                </w:p>
              </w:tc>
              <w:tc>
                <w:tcPr>
                  <w:tcW w:w="733" w:type="pct"/>
                  <w:tcBorders>
                    <w:tl2br w:val="nil"/>
                    <w:tr2bl w:val="nil"/>
                  </w:tcBorders>
                  <w:noWrap w:val="0"/>
                  <w:vAlign w:val="center"/>
                </w:tcPr>
                <w:p w14:paraId="1D814649">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eastAsia="宋体" w:cs="Times New Roman"/>
                      <w:sz w:val="21"/>
                      <w:szCs w:val="21"/>
                      <w:highlight w:val="none"/>
                      <w:u w:val="single"/>
                      <w:lang w:val="en-US" w:eastAsia="zh-CN"/>
                    </w:rPr>
                    <w:t>生产固废</w:t>
                  </w:r>
                </w:p>
              </w:tc>
              <w:tc>
                <w:tcPr>
                  <w:tcW w:w="638" w:type="pct"/>
                  <w:tcBorders>
                    <w:tl2br w:val="nil"/>
                    <w:tr2bl w:val="nil"/>
                  </w:tcBorders>
                  <w:noWrap w:val="0"/>
                  <w:vAlign w:val="center"/>
                </w:tcPr>
                <w:p w14:paraId="039B9645">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eastAsia="宋体"/>
                      <w:sz w:val="21"/>
                      <w:szCs w:val="21"/>
                      <w:highlight w:val="none"/>
                      <w:u w:val="single"/>
                      <w:lang w:val="en-US" w:eastAsia="zh-CN"/>
                    </w:rPr>
                  </w:pPr>
                  <w:r>
                    <w:rPr>
                      <w:rFonts w:hint="eastAsia" w:eastAsia="宋体"/>
                      <w:sz w:val="21"/>
                      <w:szCs w:val="21"/>
                      <w:highlight w:val="none"/>
                      <w:u w:val="single"/>
                      <w:lang w:val="en-US" w:eastAsia="zh-CN"/>
                    </w:rPr>
                    <w:t>758.6</w:t>
                  </w:r>
                </w:p>
              </w:tc>
              <w:tc>
                <w:tcPr>
                  <w:tcW w:w="705" w:type="pct"/>
                  <w:tcBorders>
                    <w:tl2br w:val="nil"/>
                    <w:tr2bl w:val="nil"/>
                  </w:tcBorders>
                  <w:noWrap w:val="0"/>
                  <w:vAlign w:val="center"/>
                </w:tcPr>
                <w:p w14:paraId="105C8668">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eastAsia="宋体" w:cs="Times New Roman"/>
                      <w:sz w:val="21"/>
                      <w:szCs w:val="21"/>
                      <w:highlight w:val="none"/>
                      <w:u w:val="single"/>
                      <w:lang w:val="en-US" w:eastAsia="zh-CN"/>
                    </w:rPr>
                  </w:pPr>
                  <w:r>
                    <w:rPr>
                      <w:rFonts w:hint="eastAsia" w:cs="Times New Roman"/>
                      <w:sz w:val="21"/>
                      <w:szCs w:val="21"/>
                      <w:highlight w:val="none"/>
                      <w:u w:val="single"/>
                      <w:lang w:val="en-US" w:eastAsia="zh-CN"/>
                    </w:rPr>
                    <w:t>/</w:t>
                  </w:r>
                </w:p>
              </w:tc>
              <w:tc>
                <w:tcPr>
                  <w:tcW w:w="638" w:type="pct"/>
                  <w:tcBorders>
                    <w:tl2br w:val="nil"/>
                    <w:tr2bl w:val="nil"/>
                  </w:tcBorders>
                  <w:noWrap w:val="0"/>
                  <w:vAlign w:val="center"/>
                </w:tcPr>
                <w:p w14:paraId="59A55B3E">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cs="Times New Roman"/>
                      <w:sz w:val="21"/>
                      <w:szCs w:val="21"/>
                      <w:highlight w:val="none"/>
                      <w:u w:val="single"/>
                      <w:lang w:val="en-US" w:eastAsia="zh-CN"/>
                    </w:rPr>
                    <w:t>1153.572</w:t>
                  </w:r>
                </w:p>
              </w:tc>
              <w:tc>
                <w:tcPr>
                  <w:tcW w:w="638" w:type="pct"/>
                  <w:tcBorders>
                    <w:tl2br w:val="nil"/>
                    <w:tr2bl w:val="nil"/>
                  </w:tcBorders>
                  <w:noWrap/>
                  <w:vAlign w:val="center"/>
                </w:tcPr>
                <w:p w14:paraId="3A1FF1DD">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right="0"/>
                    <w:jc w:val="center"/>
                    <w:textAlignment w:val="auto"/>
                    <w:rPr>
                      <w:rFonts w:hint="default" w:ascii="Times New Roman" w:hAnsi="Times New Roman"/>
                      <w:sz w:val="21"/>
                      <w:szCs w:val="21"/>
                      <w:highlight w:val="none"/>
                      <w:u w:val="single"/>
                      <w:lang w:val="en-US" w:eastAsia="zh-CN"/>
                    </w:rPr>
                  </w:pPr>
                  <w:r>
                    <w:rPr>
                      <w:rFonts w:hint="eastAsia"/>
                      <w:sz w:val="21"/>
                      <w:szCs w:val="21"/>
                      <w:highlight w:val="none"/>
                      <w:u w:val="single"/>
                      <w:lang w:val="en-US" w:eastAsia="zh-CN"/>
                    </w:rPr>
                    <w:t>/</w:t>
                  </w:r>
                </w:p>
              </w:tc>
              <w:tc>
                <w:tcPr>
                  <w:tcW w:w="661" w:type="pct"/>
                  <w:tcBorders>
                    <w:tl2br w:val="nil"/>
                    <w:tr2bl w:val="nil"/>
                  </w:tcBorders>
                  <w:shd w:val="clear" w:color="auto" w:fill="auto"/>
                  <w:noWrap/>
                  <w:vAlign w:val="center"/>
                </w:tcPr>
                <w:p w14:paraId="6DE6800C">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firstLine="0" w:firstLineChars="0"/>
                    <w:jc w:val="center"/>
                    <w:textAlignment w:val="auto"/>
                    <w:rPr>
                      <w:rFonts w:hint="default" w:ascii="Times New Roman" w:hAnsi="Times New Roman" w:eastAsia="宋体" w:cs="Times New Roman"/>
                      <w:sz w:val="21"/>
                      <w:szCs w:val="21"/>
                      <w:highlight w:val="none"/>
                      <w:u w:val="single"/>
                      <w:lang w:val="en-US" w:eastAsia="zh-CN"/>
                    </w:rPr>
                  </w:pPr>
                  <w:r>
                    <w:rPr>
                      <w:rFonts w:hint="eastAsia" w:cs="Times New Roman"/>
                      <w:sz w:val="21"/>
                      <w:szCs w:val="21"/>
                      <w:highlight w:val="none"/>
                      <w:u w:val="single"/>
                      <w:lang w:val="en-US" w:eastAsia="zh-CN" w:bidi="ar-SA"/>
                    </w:rPr>
                    <w:t>1912.172</w:t>
                  </w:r>
                </w:p>
              </w:tc>
              <w:tc>
                <w:tcPr>
                  <w:tcW w:w="709" w:type="pct"/>
                  <w:tcBorders>
                    <w:tl2br w:val="nil"/>
                    <w:tr2bl w:val="nil"/>
                  </w:tcBorders>
                  <w:shd w:val="clear" w:color="auto" w:fill="auto"/>
                  <w:noWrap/>
                  <w:vAlign w:val="center"/>
                </w:tcPr>
                <w:p w14:paraId="42BE905F">
                  <w:pPr>
                    <w:keepNext w:val="0"/>
                    <w:keepLines w:val="0"/>
                    <w:pageBreakBefore w:val="0"/>
                    <w:widowControl/>
                    <w:suppressLineNumbers w:val="0"/>
                    <w:kinsoku/>
                    <w:wordWrap/>
                    <w:overflowPunct/>
                    <w:topLinePunct w:val="0"/>
                    <w:autoSpaceDE/>
                    <w:autoSpaceDN/>
                    <w:bidi w:val="0"/>
                    <w:adjustRightInd w:val="0"/>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sz w:val="21"/>
                      <w:szCs w:val="21"/>
                      <w:highlight w:val="none"/>
                      <w:u w:val="single"/>
                      <w:lang w:val="en-US" w:eastAsia="zh-CN"/>
                    </w:rPr>
                  </w:pPr>
                  <w:r>
                    <w:rPr>
                      <w:rFonts w:hint="eastAsia" w:eastAsia="宋体" w:cs="Times New Roman"/>
                      <w:sz w:val="21"/>
                      <w:szCs w:val="21"/>
                      <w:highlight w:val="none"/>
                      <w:u w:val="single"/>
                      <w:lang w:val="en-US" w:eastAsia="zh-CN"/>
                    </w:rPr>
                    <w:t>+1153.572</w:t>
                  </w:r>
                </w:p>
              </w:tc>
            </w:tr>
          </w:tbl>
          <w:p w14:paraId="67322137">
            <w:pPr>
              <w:keepNext w:val="0"/>
              <w:keepLines w:val="0"/>
              <w:numPr>
                <w:ilvl w:val="2"/>
                <w:numId w:val="0"/>
              </w:numPr>
              <w:suppressLineNumbers w:val="0"/>
              <w:adjustRightInd w:val="0"/>
              <w:spacing w:before="0" w:beforeLines="0" w:beforeAutospacing="0" w:after="0" w:afterAutospacing="0" w:line="360" w:lineRule="auto"/>
              <w:ind w:left="0" w:right="0"/>
              <w:outlineLvl w:val="2"/>
              <w:rPr>
                <w:rFonts w:hint="default" w:eastAsia="宋体"/>
                <w:b/>
                <w:bCs/>
                <w:kern w:val="0"/>
                <w:sz w:val="28"/>
                <w:szCs w:val="28"/>
                <w:highlight w:val="none"/>
                <w:lang w:val="en-US" w:eastAsia="zh-CN"/>
              </w:rPr>
            </w:pPr>
            <w:r>
              <w:rPr>
                <w:rFonts w:hint="eastAsia"/>
                <w:b/>
                <w:bCs/>
                <w:kern w:val="0"/>
                <w:sz w:val="21"/>
                <w:szCs w:val="21"/>
                <w:highlight w:val="none"/>
                <w:lang w:val="en-US" w:eastAsia="zh-CN"/>
              </w:rPr>
              <w:t>注：上表中固废数据均为产生量，排放量均为0。</w:t>
            </w:r>
          </w:p>
          <w:p w14:paraId="3F82249D">
            <w:pPr>
              <w:keepNext w:val="0"/>
              <w:keepLines w:val="0"/>
              <w:numPr>
                <w:ilvl w:val="2"/>
                <w:numId w:val="0"/>
              </w:numPr>
              <w:suppressLineNumbers w:val="0"/>
              <w:adjustRightInd w:val="0"/>
              <w:spacing w:before="0" w:beforeLines="0" w:beforeAutospacing="0" w:after="0" w:afterAutospacing="0" w:line="360" w:lineRule="auto"/>
              <w:ind w:left="0" w:right="0"/>
              <w:outlineLvl w:val="2"/>
              <w:rPr>
                <w:rFonts w:hint="default"/>
                <w:b/>
                <w:bCs/>
                <w:kern w:val="0"/>
                <w:sz w:val="28"/>
                <w:szCs w:val="28"/>
                <w:highlight w:val="none"/>
              </w:rPr>
            </w:pPr>
            <w:r>
              <w:rPr>
                <w:rFonts w:hint="default"/>
                <w:b/>
                <w:bCs/>
                <w:kern w:val="0"/>
                <w:sz w:val="28"/>
                <w:szCs w:val="28"/>
                <w:highlight w:val="none"/>
              </w:rPr>
              <w:t>1.</w:t>
            </w:r>
            <w:r>
              <w:rPr>
                <w:rFonts w:hint="eastAsia"/>
                <w:b/>
                <w:bCs/>
                <w:kern w:val="0"/>
                <w:sz w:val="28"/>
                <w:szCs w:val="28"/>
                <w:highlight w:val="none"/>
                <w:lang w:val="en-US" w:eastAsia="zh-CN"/>
              </w:rPr>
              <w:t>5</w:t>
            </w:r>
            <w:r>
              <w:rPr>
                <w:rFonts w:hint="default"/>
                <w:b/>
                <w:bCs/>
                <w:kern w:val="0"/>
                <w:sz w:val="28"/>
                <w:szCs w:val="28"/>
                <w:highlight w:val="none"/>
              </w:rPr>
              <w:t xml:space="preserve"> 现有项目总量控制</w:t>
            </w:r>
            <w:bookmarkEnd w:id="20"/>
          </w:p>
          <w:p w14:paraId="5FB49E36">
            <w:pPr>
              <w:keepNext w:val="0"/>
              <w:keepLines w:val="0"/>
              <w:suppressLineNumbers w:val="0"/>
              <w:adjustRightInd w:val="0"/>
              <w:spacing w:before="0" w:beforeAutospacing="0" w:after="0" w:afterAutospacing="0" w:line="360" w:lineRule="auto"/>
              <w:ind w:left="0" w:right="0" w:firstLine="482"/>
              <w:rPr>
                <w:rFonts w:hint="default" w:eastAsia="宋体"/>
                <w:sz w:val="24"/>
                <w:lang w:val="en-US" w:eastAsia="zh-CN"/>
              </w:rPr>
            </w:pPr>
            <w:r>
              <w:rPr>
                <w:rFonts w:hint="eastAsia"/>
                <w:sz w:val="24"/>
                <w:highlight w:val="none"/>
                <w:lang w:val="en-US" w:eastAsia="zh-CN"/>
              </w:rPr>
              <w:t>根据岳阳市人民政府于2014年10月11日发布的《岳阳市工业企业主要污染物排污权初始分配核定结果公告》，查询网址：</w:t>
            </w:r>
            <w:r>
              <w:rPr>
                <w:rFonts w:hint="eastAsia"/>
                <w:sz w:val="24"/>
                <w:highlight w:val="none"/>
              </w:rPr>
              <w:t>https://yueyang.gov.cn/gggs/szbm/content_403284.html</w:t>
            </w:r>
            <w:r>
              <w:rPr>
                <w:rFonts w:hint="eastAsia"/>
                <w:sz w:val="24"/>
                <w:highlight w:val="none"/>
                <w:lang w:val="en-US" w:eastAsia="zh-CN"/>
              </w:rPr>
              <w:t>，湖南童记三利和食品有限公司通过了排污权初始分配核定，根据分配核定结果（详见附件13），湖南童记三利和食品有限公司获得初始排污权指标分配量为：化学需氧量30t/a、氨氮4t/a，二氧化硫27.2t/a，氮氧化物20.4t/a。根据建设单位提供数据，湖南童记三利和食品有限公司二氧化硫及氮氧化物总量指标已全部转让，因此，现有项目总量控制指标实际为化学需氧量30t/a、氨氮4t/a。</w:t>
            </w:r>
          </w:p>
          <w:p w14:paraId="30A02BD5">
            <w:pPr>
              <w:keepNext w:val="0"/>
              <w:keepLines w:val="0"/>
              <w:numPr>
                <w:ilvl w:val="2"/>
                <w:numId w:val="0"/>
              </w:numPr>
              <w:suppressLineNumbers w:val="0"/>
              <w:adjustRightInd w:val="0"/>
              <w:spacing w:before="0" w:beforeAutospacing="0" w:after="0" w:afterAutospacing="0" w:line="360" w:lineRule="auto"/>
              <w:ind w:left="0" w:right="0"/>
              <w:outlineLvl w:val="2"/>
              <w:rPr>
                <w:rFonts w:hint="default"/>
                <w:b/>
                <w:bCs/>
                <w:kern w:val="0"/>
                <w:sz w:val="28"/>
                <w:szCs w:val="28"/>
              </w:rPr>
            </w:pPr>
            <w:bookmarkStart w:id="21" w:name="_Toc11419"/>
            <w:r>
              <w:rPr>
                <w:rFonts w:hint="default"/>
                <w:b/>
                <w:bCs/>
                <w:kern w:val="0"/>
                <w:sz w:val="28"/>
                <w:szCs w:val="28"/>
              </w:rPr>
              <w:t>1.</w:t>
            </w:r>
            <w:r>
              <w:rPr>
                <w:rFonts w:hint="eastAsia"/>
                <w:b/>
                <w:bCs/>
                <w:kern w:val="0"/>
                <w:sz w:val="28"/>
                <w:szCs w:val="28"/>
                <w:lang w:val="en-US" w:eastAsia="zh-CN"/>
              </w:rPr>
              <w:t>6</w:t>
            </w:r>
            <w:r>
              <w:rPr>
                <w:rFonts w:hint="default"/>
                <w:b/>
                <w:bCs/>
                <w:kern w:val="0"/>
                <w:sz w:val="28"/>
                <w:szCs w:val="28"/>
              </w:rPr>
              <w:t>环保投诉及处罚情况</w:t>
            </w:r>
            <w:bookmarkEnd w:id="21"/>
          </w:p>
          <w:p w14:paraId="272776B7">
            <w:pPr>
              <w:pStyle w:val="47"/>
              <w:keepNext w:val="0"/>
              <w:keepLines w:val="0"/>
              <w:suppressLineNumbers w:val="0"/>
              <w:tabs>
                <w:tab w:val="left" w:pos="567"/>
                <w:tab w:val="left" w:pos="851"/>
              </w:tabs>
              <w:adjustRightInd w:val="0"/>
              <w:snapToGrid w:val="0"/>
              <w:spacing w:before="0" w:beforeAutospacing="0" w:after="0" w:afterAutospacing="0" w:line="360" w:lineRule="auto"/>
              <w:ind w:left="0" w:right="0" w:firstLine="480" w:firstLineChars="200"/>
              <w:rPr>
                <w:rFonts w:hint="default" w:ascii="Times New Roman" w:hAnsi="Times New Roman"/>
                <w:kern w:val="0"/>
                <w:sz w:val="24"/>
              </w:rPr>
            </w:pPr>
            <w:r>
              <w:rPr>
                <w:rFonts w:hint="default" w:ascii="Times New Roman" w:hAnsi="Times New Roman"/>
                <w:kern w:val="0"/>
                <w:sz w:val="24"/>
              </w:rPr>
              <w:t>企业自建成投产运行以来，未受到环保投诉，未受到环保部门的处罚。</w:t>
            </w:r>
          </w:p>
          <w:bookmarkEnd w:id="17"/>
          <w:bookmarkEnd w:id="18"/>
          <w:bookmarkEnd w:id="19"/>
          <w:p w14:paraId="50F3979F">
            <w:pPr>
              <w:keepNext w:val="0"/>
              <w:keepLines w:val="0"/>
              <w:suppressLineNumbers w:val="0"/>
              <w:adjustRightInd w:val="0"/>
              <w:spacing w:before="0" w:beforeAutospacing="0" w:after="0" w:afterAutospacing="0" w:line="360" w:lineRule="auto"/>
              <w:ind w:left="0" w:right="0" w:firstLine="0"/>
              <w:rPr>
                <w:rFonts w:hint="eastAsia"/>
                <w:b/>
                <w:sz w:val="28"/>
                <w:szCs w:val="28"/>
                <w:highlight w:val="none"/>
                <w:u w:val="single" w:color="auto"/>
                <w:lang w:val="en-US" w:eastAsia="zh-CN"/>
              </w:rPr>
            </w:pPr>
            <w:r>
              <w:rPr>
                <w:rFonts w:hint="eastAsia"/>
                <w:b/>
                <w:sz w:val="28"/>
                <w:szCs w:val="28"/>
                <w:highlight w:val="none"/>
                <w:lang w:val="en-US" w:eastAsia="zh-CN"/>
              </w:rPr>
              <w:t>1.7</w:t>
            </w:r>
            <w:bookmarkStart w:id="22" w:name="_Toc447114733"/>
            <w:bookmarkStart w:id="23" w:name="_Toc447114849"/>
            <w:r>
              <w:rPr>
                <w:rFonts w:hint="eastAsia"/>
                <w:b/>
                <w:sz w:val="28"/>
                <w:szCs w:val="28"/>
                <w:highlight w:val="none"/>
                <w:u w:val="single" w:color="auto"/>
                <w:lang w:val="en-US" w:eastAsia="zh-CN"/>
              </w:rPr>
              <w:t>现有项目存在的主要环境问题及</w:t>
            </w:r>
            <w:bookmarkEnd w:id="22"/>
            <w:bookmarkEnd w:id="23"/>
            <w:r>
              <w:rPr>
                <w:rFonts w:hint="eastAsia"/>
                <w:b/>
                <w:sz w:val="28"/>
                <w:szCs w:val="28"/>
                <w:highlight w:val="none"/>
                <w:u w:val="single" w:color="auto"/>
                <w:lang w:val="en-US" w:eastAsia="zh-CN"/>
              </w:rPr>
              <w:t>解决方案</w:t>
            </w:r>
          </w:p>
          <w:p w14:paraId="16628DFA">
            <w:pPr>
              <w:keepNext w:val="0"/>
              <w:keepLines w:val="0"/>
              <w:suppressLineNumbers w:val="0"/>
              <w:adjustRightInd/>
              <w:spacing w:before="0" w:beforeAutospacing="0" w:after="0" w:afterAutospacing="0" w:line="360" w:lineRule="auto"/>
              <w:ind w:left="0" w:right="0" w:firstLine="480" w:firstLineChars="200"/>
              <w:rPr>
                <w:rFonts w:hint="eastAsia"/>
                <w:sz w:val="24"/>
                <w:u w:val="single" w:color="auto"/>
                <w:lang w:val="en-US" w:eastAsia="zh-CN"/>
              </w:rPr>
            </w:pPr>
            <w:r>
              <w:rPr>
                <w:rFonts w:hint="eastAsia"/>
                <w:sz w:val="24"/>
                <w:u w:val="single" w:color="auto"/>
                <w:lang w:val="en-US" w:eastAsia="zh-CN"/>
              </w:rPr>
              <w:t>通过对项目区现场勘查，结合自行监测等相关资料，现有项目存在的主要环境问题及整改建议见下表。</w:t>
            </w:r>
          </w:p>
          <w:p w14:paraId="1950B021">
            <w:pPr>
              <w:pStyle w:val="33"/>
              <w:keepNext w:val="0"/>
              <w:keepLines w:val="0"/>
              <w:numPr>
                <w:ilvl w:val="0"/>
                <w:numId w:val="7"/>
              </w:numPr>
              <w:suppressLineNumbers w:val="0"/>
              <w:spacing w:before="0" w:beforeAutospacing="0" w:after="0" w:afterAutospacing="0"/>
              <w:ind w:right="0"/>
              <w:jc w:val="center"/>
              <w:rPr>
                <w:rFonts w:hint="eastAsia"/>
                <w:u w:val="single" w:color="auto"/>
                <w:lang w:val="en-US" w:eastAsia="zh-CN"/>
              </w:rPr>
            </w:pPr>
            <w:r>
              <w:rPr>
                <w:rFonts w:hint="eastAsia"/>
                <w:b/>
                <w:bCs/>
                <w:sz w:val="24"/>
                <w:u w:val="single" w:color="auto"/>
                <w:lang w:val="en-US" w:eastAsia="zh-CN"/>
              </w:rPr>
              <w:t>现有项目存在的主要环境问题及整改要求</w:t>
            </w:r>
          </w:p>
          <w:tbl>
            <w:tblPr>
              <w:tblStyle w:val="24"/>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3331"/>
              <w:gridCol w:w="4167"/>
            </w:tblGrid>
            <w:tr w14:paraId="3F0B77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83" w:type="pct"/>
                  <w:tcBorders>
                    <w:tl2br w:val="nil"/>
                    <w:tr2bl w:val="nil"/>
                  </w:tcBorders>
                  <w:vAlign w:val="center"/>
                </w:tcPr>
                <w:p w14:paraId="4EB31A3E">
                  <w:pPr>
                    <w:keepNext w:val="0"/>
                    <w:keepLines w:val="0"/>
                    <w:widowControl w:val="0"/>
                    <w:suppressLineNumbers w:val="0"/>
                    <w:adjustRightInd w:val="0"/>
                    <w:snapToGrid w:val="0"/>
                    <w:spacing w:before="120" w:beforeLines="50" w:beforeAutospacing="0" w:after="120" w:afterLines="50" w:afterAutospacing="0" w:line="300" w:lineRule="auto"/>
                    <w:ind w:left="0" w:right="0"/>
                    <w:jc w:val="center"/>
                    <w:rPr>
                      <w:rFonts w:hint="default" w:ascii="Times New Roman" w:hAnsi="Times New Roman" w:cs="Times New Roman"/>
                      <w:b/>
                      <w:bCs/>
                      <w:color w:val="auto"/>
                      <w:kern w:val="2"/>
                      <w:sz w:val="21"/>
                      <w:szCs w:val="21"/>
                      <w:highlight w:val="none"/>
                      <w:u w:val="single" w:color="auto"/>
                    </w:rPr>
                  </w:pPr>
                  <w:r>
                    <w:rPr>
                      <w:rFonts w:hint="default" w:ascii="Times New Roman" w:hAnsi="Times New Roman" w:cs="Times New Roman"/>
                      <w:b/>
                      <w:bCs/>
                      <w:color w:val="auto"/>
                      <w:kern w:val="2"/>
                      <w:sz w:val="21"/>
                      <w:szCs w:val="21"/>
                      <w:highlight w:val="none"/>
                      <w:u w:val="single" w:color="auto"/>
                    </w:rPr>
                    <w:t>类别</w:t>
                  </w:r>
                </w:p>
              </w:tc>
              <w:tc>
                <w:tcPr>
                  <w:tcW w:w="2006" w:type="pct"/>
                  <w:tcBorders>
                    <w:tl2br w:val="nil"/>
                    <w:tr2bl w:val="nil"/>
                  </w:tcBorders>
                  <w:vAlign w:val="center"/>
                </w:tcPr>
                <w:p w14:paraId="28240E46">
                  <w:pPr>
                    <w:keepNext w:val="0"/>
                    <w:keepLines w:val="0"/>
                    <w:widowControl w:val="0"/>
                    <w:suppressLineNumbers w:val="0"/>
                    <w:spacing w:before="120" w:beforeLines="50" w:beforeAutospacing="0" w:after="120" w:afterLines="50" w:afterAutospacing="0" w:line="300" w:lineRule="auto"/>
                    <w:ind w:left="0" w:right="0"/>
                    <w:jc w:val="center"/>
                    <w:rPr>
                      <w:rFonts w:hint="default" w:ascii="Times New Roman" w:hAnsi="Times New Roman" w:cs="Times New Roman"/>
                      <w:b/>
                      <w:color w:val="auto"/>
                      <w:kern w:val="2"/>
                      <w:sz w:val="21"/>
                      <w:szCs w:val="21"/>
                      <w:highlight w:val="none"/>
                      <w:u w:val="single" w:color="auto"/>
                    </w:rPr>
                  </w:pPr>
                  <w:r>
                    <w:rPr>
                      <w:rFonts w:hint="default" w:ascii="Times New Roman" w:hAnsi="Times New Roman" w:cs="Times New Roman"/>
                      <w:b/>
                      <w:color w:val="auto"/>
                      <w:kern w:val="2"/>
                      <w:sz w:val="21"/>
                      <w:szCs w:val="21"/>
                      <w:highlight w:val="none"/>
                      <w:u w:val="single" w:color="auto"/>
                    </w:rPr>
                    <w:t>现有项目存在的主要环境问题</w:t>
                  </w:r>
                </w:p>
              </w:tc>
              <w:tc>
                <w:tcPr>
                  <w:tcW w:w="2509" w:type="pct"/>
                  <w:tcBorders>
                    <w:tl2br w:val="nil"/>
                    <w:tr2bl w:val="nil"/>
                  </w:tcBorders>
                  <w:vAlign w:val="center"/>
                </w:tcPr>
                <w:p w14:paraId="78B7FCD0">
                  <w:pPr>
                    <w:keepNext w:val="0"/>
                    <w:keepLines w:val="0"/>
                    <w:widowControl w:val="0"/>
                    <w:suppressLineNumbers w:val="0"/>
                    <w:spacing w:before="120" w:beforeLines="50" w:beforeAutospacing="0" w:after="120" w:afterLines="50" w:afterAutospacing="0" w:line="300" w:lineRule="auto"/>
                    <w:ind w:left="0" w:right="0"/>
                    <w:jc w:val="center"/>
                    <w:rPr>
                      <w:rFonts w:hint="default" w:ascii="Times New Roman" w:hAnsi="Times New Roman" w:cs="Times New Roman"/>
                      <w:b/>
                      <w:color w:val="auto"/>
                      <w:kern w:val="2"/>
                      <w:sz w:val="21"/>
                      <w:szCs w:val="21"/>
                      <w:highlight w:val="none"/>
                      <w:u w:val="single" w:color="auto"/>
                    </w:rPr>
                  </w:pPr>
                  <w:r>
                    <w:rPr>
                      <w:rFonts w:hint="default" w:ascii="Times New Roman" w:hAnsi="Times New Roman" w:cs="Times New Roman"/>
                      <w:b/>
                      <w:color w:val="auto"/>
                      <w:kern w:val="2"/>
                      <w:sz w:val="21"/>
                      <w:szCs w:val="21"/>
                      <w:highlight w:val="none"/>
                      <w:u w:val="single" w:color="auto"/>
                    </w:rPr>
                    <w:t>解决方案及建议</w:t>
                  </w:r>
                </w:p>
              </w:tc>
            </w:tr>
            <w:tr w14:paraId="054EBB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83" w:type="pct"/>
                  <w:tcBorders>
                    <w:tl2br w:val="nil"/>
                    <w:tr2bl w:val="nil"/>
                  </w:tcBorders>
                  <w:vAlign w:val="center"/>
                </w:tcPr>
                <w:p w14:paraId="224EEC95">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2"/>
                      <w:sz w:val="21"/>
                      <w:szCs w:val="21"/>
                      <w:highlight w:val="none"/>
                      <w:u w:val="single" w:color="auto"/>
                      <w:lang w:eastAsia="zh-CN"/>
                    </w:rPr>
                  </w:pPr>
                  <w:r>
                    <w:rPr>
                      <w:rFonts w:hint="eastAsia" w:ascii="Times New Roman" w:hAnsi="Times New Roman" w:cs="Times New Roman"/>
                      <w:bCs/>
                      <w:kern w:val="2"/>
                      <w:sz w:val="21"/>
                      <w:szCs w:val="21"/>
                      <w:highlight w:val="none"/>
                      <w:u w:val="single" w:color="auto"/>
                      <w:lang w:val="en-US" w:eastAsia="zh-CN"/>
                    </w:rPr>
                    <w:t>1</w:t>
                  </w:r>
                </w:p>
              </w:tc>
              <w:tc>
                <w:tcPr>
                  <w:tcW w:w="2006" w:type="pct"/>
                  <w:tcBorders>
                    <w:tl2br w:val="nil"/>
                    <w:tr2bl w:val="nil"/>
                  </w:tcBorders>
                  <w:vAlign w:val="center"/>
                </w:tcPr>
                <w:p w14:paraId="6EFD7A9E">
                  <w:pPr>
                    <w:pStyle w:val="41"/>
                    <w:keepNext w:val="0"/>
                    <w:keepLines w:val="0"/>
                    <w:suppressLineNumbers w:val="0"/>
                    <w:spacing w:before="0" w:beforeAutospacing="0" w:after="0" w:afterAutospacing="0"/>
                    <w:ind w:left="0" w:right="0"/>
                    <w:jc w:val="both"/>
                    <w:rPr>
                      <w:rFonts w:hint="default" w:ascii="Times New Roman" w:hAnsi="Times New Roman" w:cs="Times New Roman"/>
                      <w:bCs/>
                      <w:color w:val="auto"/>
                      <w:kern w:val="2"/>
                      <w:sz w:val="21"/>
                      <w:szCs w:val="21"/>
                      <w:highlight w:val="none"/>
                      <w:u w:val="single" w:color="auto"/>
                      <w:lang w:val="en-US"/>
                    </w:rPr>
                  </w:pPr>
                  <w:r>
                    <w:rPr>
                      <w:rFonts w:hint="eastAsia"/>
                      <w:bCs/>
                      <w:color w:val="auto"/>
                      <w:kern w:val="2"/>
                      <w:sz w:val="21"/>
                      <w:szCs w:val="21"/>
                      <w:highlight w:val="none"/>
                      <w:u w:val="single" w:color="auto"/>
                      <w:lang w:val="en-US" w:eastAsia="zh-CN"/>
                    </w:rPr>
                    <w:t>食用油罐区围堰容积不够，存在泄漏风险，</w:t>
                  </w:r>
                  <w:r>
                    <w:rPr>
                      <w:rFonts w:hint="eastAsia" w:cs="Times New Roman"/>
                      <w:color w:val="auto"/>
                      <w:kern w:val="2"/>
                      <w:sz w:val="21"/>
                      <w:szCs w:val="21"/>
                      <w:highlight w:val="none"/>
                      <w:u w:val="single" w:color="auto"/>
                      <w:lang w:val="en-US" w:eastAsia="zh-CN"/>
                    </w:rPr>
                    <w:t>现有食用油储罐容积分别为61m</w:t>
                  </w:r>
                  <w:r>
                    <w:rPr>
                      <w:rFonts w:hint="eastAsia" w:cs="Times New Roman"/>
                      <w:color w:val="auto"/>
                      <w:kern w:val="2"/>
                      <w:sz w:val="21"/>
                      <w:szCs w:val="21"/>
                      <w:highlight w:val="none"/>
                      <w:u w:val="single" w:color="auto"/>
                      <w:vertAlign w:val="superscript"/>
                      <w:lang w:val="en-US" w:eastAsia="zh-CN"/>
                    </w:rPr>
                    <w:t>3</w:t>
                  </w:r>
                  <w:r>
                    <w:rPr>
                      <w:rFonts w:hint="eastAsia" w:cs="Times New Roman"/>
                      <w:color w:val="auto"/>
                      <w:kern w:val="2"/>
                      <w:sz w:val="21"/>
                      <w:szCs w:val="21"/>
                      <w:highlight w:val="none"/>
                      <w:u w:val="single" w:color="auto"/>
                      <w:lang w:val="en-US" w:eastAsia="zh-CN"/>
                    </w:rPr>
                    <w:t>、31m</w:t>
                  </w:r>
                  <w:r>
                    <w:rPr>
                      <w:rFonts w:hint="eastAsia" w:cs="Times New Roman"/>
                      <w:color w:val="auto"/>
                      <w:kern w:val="2"/>
                      <w:sz w:val="21"/>
                      <w:szCs w:val="21"/>
                      <w:highlight w:val="none"/>
                      <w:u w:val="single" w:color="auto"/>
                      <w:vertAlign w:val="superscript"/>
                      <w:lang w:val="en-US" w:eastAsia="zh-CN"/>
                    </w:rPr>
                    <w:t>3</w:t>
                  </w:r>
                  <w:r>
                    <w:rPr>
                      <w:rFonts w:hint="eastAsia" w:cs="Times New Roman"/>
                      <w:color w:val="auto"/>
                      <w:kern w:val="2"/>
                      <w:sz w:val="21"/>
                      <w:szCs w:val="21"/>
                      <w:highlight w:val="none"/>
                      <w:u w:val="single" w:color="auto"/>
                      <w:lang w:val="en-US" w:eastAsia="zh-CN"/>
                    </w:rPr>
                    <w:t>、18m</w:t>
                  </w:r>
                  <w:r>
                    <w:rPr>
                      <w:rFonts w:hint="eastAsia" w:cs="Times New Roman"/>
                      <w:color w:val="auto"/>
                      <w:kern w:val="2"/>
                      <w:sz w:val="21"/>
                      <w:szCs w:val="21"/>
                      <w:highlight w:val="none"/>
                      <w:u w:val="single" w:color="auto"/>
                      <w:vertAlign w:val="superscript"/>
                      <w:lang w:val="en-US" w:eastAsia="zh-CN"/>
                    </w:rPr>
                    <w:t>3</w:t>
                  </w:r>
                  <w:r>
                    <w:rPr>
                      <w:rFonts w:hint="eastAsia" w:cs="Times New Roman"/>
                      <w:color w:val="auto"/>
                      <w:kern w:val="2"/>
                      <w:sz w:val="21"/>
                      <w:szCs w:val="21"/>
                      <w:highlight w:val="none"/>
                      <w:u w:val="single" w:color="auto"/>
                      <w:lang w:val="en-US" w:eastAsia="zh-CN"/>
                    </w:rPr>
                    <w:t>，对应围堰容积分别为8m</w:t>
                  </w:r>
                  <w:r>
                    <w:rPr>
                      <w:rFonts w:hint="eastAsia" w:cs="Times New Roman"/>
                      <w:color w:val="auto"/>
                      <w:kern w:val="2"/>
                      <w:sz w:val="21"/>
                      <w:szCs w:val="21"/>
                      <w:highlight w:val="none"/>
                      <w:u w:val="single" w:color="auto"/>
                      <w:vertAlign w:val="superscript"/>
                      <w:lang w:val="en-US" w:eastAsia="zh-CN"/>
                    </w:rPr>
                    <w:t>3</w:t>
                  </w:r>
                  <w:r>
                    <w:rPr>
                      <w:rFonts w:hint="eastAsia" w:cs="Times New Roman"/>
                      <w:color w:val="auto"/>
                      <w:kern w:val="2"/>
                      <w:sz w:val="21"/>
                      <w:szCs w:val="21"/>
                      <w:highlight w:val="none"/>
                      <w:u w:val="single" w:color="auto"/>
                      <w:lang w:val="en-US" w:eastAsia="zh-CN"/>
                    </w:rPr>
                    <w:t>、5.6m</w:t>
                  </w:r>
                  <w:r>
                    <w:rPr>
                      <w:rFonts w:hint="eastAsia" w:cs="Times New Roman"/>
                      <w:color w:val="auto"/>
                      <w:kern w:val="2"/>
                      <w:sz w:val="21"/>
                      <w:szCs w:val="21"/>
                      <w:highlight w:val="none"/>
                      <w:u w:val="single" w:color="auto"/>
                      <w:vertAlign w:val="superscript"/>
                      <w:lang w:val="en-US" w:eastAsia="zh-CN"/>
                    </w:rPr>
                    <w:t>3</w:t>
                  </w:r>
                  <w:r>
                    <w:rPr>
                      <w:rFonts w:hint="eastAsia" w:cs="Times New Roman"/>
                      <w:color w:val="auto"/>
                      <w:kern w:val="2"/>
                      <w:sz w:val="21"/>
                      <w:szCs w:val="21"/>
                      <w:highlight w:val="none"/>
                      <w:u w:val="single" w:color="auto"/>
                      <w:lang w:val="en-US" w:eastAsia="zh-CN"/>
                    </w:rPr>
                    <w:t>、3.92m</w:t>
                  </w:r>
                  <w:r>
                    <w:rPr>
                      <w:rFonts w:hint="eastAsia" w:cs="Times New Roman"/>
                      <w:color w:val="auto"/>
                      <w:kern w:val="2"/>
                      <w:sz w:val="21"/>
                      <w:szCs w:val="21"/>
                      <w:highlight w:val="none"/>
                      <w:u w:val="single" w:color="auto"/>
                      <w:vertAlign w:val="superscript"/>
                      <w:lang w:val="en-US" w:eastAsia="zh-CN"/>
                    </w:rPr>
                    <w:t>3</w:t>
                  </w:r>
                </w:p>
              </w:tc>
              <w:tc>
                <w:tcPr>
                  <w:tcW w:w="2509" w:type="pct"/>
                  <w:tcBorders>
                    <w:tl2br w:val="nil"/>
                    <w:tr2bl w:val="nil"/>
                  </w:tcBorders>
                  <w:vAlign w:val="center"/>
                </w:tcPr>
                <w:p w14:paraId="3AEE876B">
                  <w:pPr>
                    <w:pStyle w:val="41"/>
                    <w:keepNext w:val="0"/>
                    <w:keepLines w:val="0"/>
                    <w:suppressLineNumbers w:val="0"/>
                    <w:spacing w:before="0" w:beforeAutospacing="0" w:after="0" w:afterAutospacing="0"/>
                    <w:ind w:left="0" w:right="0"/>
                    <w:rPr>
                      <w:rFonts w:hint="default" w:ascii="Times New Roman" w:hAnsi="Times New Roman" w:cs="Times New Roman"/>
                      <w:color w:val="auto"/>
                      <w:kern w:val="2"/>
                      <w:sz w:val="21"/>
                      <w:szCs w:val="21"/>
                      <w:highlight w:val="none"/>
                      <w:u w:val="single" w:color="auto"/>
                    </w:rPr>
                  </w:pPr>
                  <w:r>
                    <w:rPr>
                      <w:rFonts w:hint="eastAsia" w:cs="Times New Roman"/>
                      <w:color w:val="auto"/>
                      <w:kern w:val="2"/>
                      <w:sz w:val="21"/>
                      <w:szCs w:val="21"/>
                      <w:highlight w:val="none"/>
                      <w:u w:val="single" w:color="auto"/>
                      <w:lang w:val="en-US" w:eastAsia="zh-CN"/>
                    </w:rPr>
                    <w:t>根据现场踏勘，三个食用油罐相距不远且储存物质相同，可围绕三个储罐建设一个大围堰，围堰有效容积容积需大于61m</w:t>
                  </w:r>
                  <w:r>
                    <w:rPr>
                      <w:rFonts w:hint="eastAsia" w:cs="Times New Roman"/>
                      <w:color w:val="auto"/>
                      <w:kern w:val="2"/>
                      <w:sz w:val="21"/>
                      <w:szCs w:val="21"/>
                      <w:highlight w:val="none"/>
                      <w:u w:val="single" w:color="auto"/>
                      <w:vertAlign w:val="superscript"/>
                      <w:lang w:val="en-US" w:eastAsia="zh-CN"/>
                    </w:rPr>
                    <w:t>3</w:t>
                  </w:r>
                  <w:r>
                    <w:rPr>
                      <w:rFonts w:hint="eastAsia" w:cs="Times New Roman"/>
                      <w:color w:val="auto"/>
                      <w:kern w:val="2"/>
                      <w:sz w:val="21"/>
                      <w:szCs w:val="21"/>
                      <w:highlight w:val="none"/>
                      <w:u w:val="single" w:color="auto"/>
                      <w:lang w:val="en-US" w:eastAsia="zh-CN"/>
                    </w:rPr>
                    <w:t>，</w:t>
                  </w:r>
                  <w:r>
                    <w:rPr>
                      <w:rFonts w:hint="default" w:ascii="Times New Roman" w:hAnsi="Times New Roman" w:cs="Times New Roman"/>
                      <w:color w:val="auto"/>
                      <w:kern w:val="2"/>
                      <w:sz w:val="21"/>
                      <w:szCs w:val="21"/>
                      <w:highlight w:val="none"/>
                      <w:u w:val="single" w:color="auto"/>
                      <w:lang w:val="en-US" w:eastAsia="zh-CN"/>
                    </w:rPr>
                    <w:t>确保围堰内有效容积满足最大食用油罐的泄漏量。</w:t>
                  </w:r>
                </w:p>
              </w:tc>
            </w:tr>
            <w:tr w14:paraId="657A59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83" w:type="pct"/>
                  <w:tcBorders>
                    <w:tl2br w:val="nil"/>
                    <w:tr2bl w:val="nil"/>
                  </w:tcBorders>
                  <w:vAlign w:val="center"/>
                </w:tcPr>
                <w:p w14:paraId="707821F9">
                  <w:pPr>
                    <w:keepNext w:val="0"/>
                    <w:keepLines w:val="0"/>
                    <w:widowControl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2"/>
                      <w:sz w:val="21"/>
                      <w:szCs w:val="21"/>
                      <w:highlight w:val="none"/>
                      <w:u w:val="single" w:color="auto"/>
                    </w:rPr>
                  </w:pPr>
                  <w:r>
                    <w:rPr>
                      <w:rFonts w:hint="eastAsia" w:ascii="Times New Roman" w:hAnsi="Times New Roman" w:cs="Times New Roman"/>
                      <w:bCs/>
                      <w:kern w:val="2"/>
                      <w:sz w:val="21"/>
                      <w:szCs w:val="21"/>
                      <w:highlight w:val="none"/>
                      <w:u w:val="single" w:color="auto"/>
                      <w:lang w:val="en-US" w:eastAsia="zh-CN"/>
                    </w:rPr>
                    <w:t>2</w:t>
                  </w:r>
                </w:p>
              </w:tc>
              <w:tc>
                <w:tcPr>
                  <w:tcW w:w="2006" w:type="pct"/>
                  <w:tcBorders>
                    <w:tl2br w:val="nil"/>
                    <w:tr2bl w:val="nil"/>
                  </w:tcBorders>
                  <w:vAlign w:val="center"/>
                </w:tcPr>
                <w:p w14:paraId="3C56D2E3">
                  <w:pPr>
                    <w:pStyle w:val="41"/>
                    <w:keepNext w:val="0"/>
                    <w:keepLines w:val="0"/>
                    <w:suppressLineNumbers w:val="0"/>
                    <w:spacing w:before="0" w:beforeAutospacing="0" w:after="0" w:afterAutospacing="0"/>
                    <w:ind w:left="0" w:right="0"/>
                    <w:jc w:val="both"/>
                    <w:rPr>
                      <w:rFonts w:hint="default" w:ascii="Times New Roman" w:hAnsi="Times New Roman" w:cs="Times New Roman"/>
                      <w:b w:val="0"/>
                      <w:bCs/>
                      <w:color w:val="auto"/>
                      <w:sz w:val="21"/>
                      <w:szCs w:val="21"/>
                      <w:highlight w:val="none"/>
                      <w:u w:val="single" w:color="auto"/>
                      <w:vertAlign w:val="baseline"/>
                      <w:lang w:val="en-US" w:eastAsia="zh-CN"/>
                    </w:rPr>
                  </w:pPr>
                  <w:r>
                    <w:rPr>
                      <w:rFonts w:hint="eastAsia" w:ascii="Times New Roman" w:hAnsi="Times New Roman" w:cs="Times New Roman"/>
                      <w:b w:val="0"/>
                      <w:bCs/>
                      <w:color w:val="auto"/>
                      <w:sz w:val="21"/>
                      <w:szCs w:val="21"/>
                      <w:highlight w:val="none"/>
                      <w:u w:val="single" w:color="auto"/>
                      <w:vertAlign w:val="baseline"/>
                      <w:lang w:val="en-US" w:eastAsia="zh-CN"/>
                    </w:rPr>
                    <w:t>厂区内存在一般固废露天堆放</w:t>
                  </w:r>
                </w:p>
              </w:tc>
              <w:tc>
                <w:tcPr>
                  <w:tcW w:w="2509" w:type="pct"/>
                  <w:tcBorders>
                    <w:tl2br w:val="nil"/>
                    <w:tr2bl w:val="nil"/>
                  </w:tcBorders>
                  <w:vAlign w:val="center"/>
                </w:tcPr>
                <w:p w14:paraId="72426579">
                  <w:pPr>
                    <w:pStyle w:val="41"/>
                    <w:keepNext w:val="0"/>
                    <w:keepLines w:val="0"/>
                    <w:suppressLineNumbers w:val="0"/>
                    <w:spacing w:before="0" w:beforeAutospacing="0" w:after="0" w:afterAutospacing="0"/>
                    <w:ind w:left="0" w:right="0"/>
                    <w:rPr>
                      <w:rFonts w:hint="default" w:ascii="Times New Roman" w:hAnsi="Times New Roman" w:cs="Times New Roman"/>
                      <w:b w:val="0"/>
                      <w:bCs/>
                      <w:color w:val="auto"/>
                      <w:sz w:val="21"/>
                      <w:szCs w:val="21"/>
                      <w:highlight w:val="none"/>
                      <w:u w:val="single" w:color="auto"/>
                      <w:vertAlign w:val="baseline"/>
                      <w:lang w:val="en-US" w:eastAsia="zh-CN"/>
                    </w:rPr>
                  </w:pPr>
                  <w:r>
                    <w:rPr>
                      <w:rFonts w:hint="eastAsia"/>
                      <w:bCs/>
                      <w:color w:val="auto"/>
                      <w:sz w:val="21"/>
                      <w:szCs w:val="21"/>
                      <w:highlight w:val="none"/>
                      <w:u w:val="single" w:color="auto"/>
                    </w:rPr>
                    <w:t>建设单位应加强</w:t>
                  </w:r>
                  <w:r>
                    <w:rPr>
                      <w:rFonts w:hint="eastAsia"/>
                      <w:bCs/>
                      <w:color w:val="auto"/>
                      <w:sz w:val="21"/>
                      <w:szCs w:val="21"/>
                      <w:highlight w:val="none"/>
                      <w:u w:val="single" w:color="auto"/>
                      <w:lang w:val="en-US" w:eastAsia="zh-CN"/>
                    </w:rPr>
                    <w:t>一般固废的</w:t>
                  </w:r>
                  <w:r>
                    <w:rPr>
                      <w:rFonts w:hint="eastAsia"/>
                      <w:bCs/>
                      <w:color w:val="auto"/>
                      <w:sz w:val="21"/>
                      <w:szCs w:val="21"/>
                      <w:highlight w:val="none"/>
                      <w:u w:val="single" w:color="auto"/>
                    </w:rPr>
                    <w:t>管理，</w:t>
                  </w:r>
                  <w:r>
                    <w:rPr>
                      <w:rFonts w:hint="eastAsia"/>
                      <w:bCs/>
                      <w:color w:val="auto"/>
                      <w:sz w:val="21"/>
                      <w:szCs w:val="21"/>
                      <w:highlight w:val="none"/>
                      <w:u w:val="single" w:color="auto"/>
                      <w:lang w:val="en-US" w:eastAsia="zh-CN"/>
                    </w:rPr>
                    <w:t>按照相关规定对固废进行分类收集处理</w:t>
                  </w:r>
                </w:p>
              </w:tc>
            </w:tr>
          </w:tbl>
          <w:p w14:paraId="053C0EBF">
            <w:pPr>
              <w:keepNext w:val="0"/>
              <w:keepLines w:val="0"/>
              <w:suppressLineNumbers w:val="0"/>
              <w:adjustRightInd w:val="0"/>
              <w:spacing w:before="0" w:beforeAutospacing="0" w:after="0" w:afterAutospacing="0" w:line="360" w:lineRule="auto"/>
              <w:ind w:left="0" w:right="0" w:firstLine="0"/>
              <w:rPr>
                <w:rFonts w:hint="default"/>
                <w:bCs/>
                <w:szCs w:val="21"/>
              </w:rPr>
            </w:pPr>
            <w:r>
              <w:rPr>
                <w:rFonts w:hint="default"/>
                <w:b/>
                <w:sz w:val="30"/>
                <w:szCs w:val="30"/>
              </w:rPr>
              <w:br w:type="page"/>
            </w:r>
          </w:p>
        </w:tc>
      </w:tr>
    </w:tbl>
    <w:p w14:paraId="6AD55279">
      <w:pPr>
        <w:pStyle w:val="20"/>
        <w:jc w:val="center"/>
        <w:rPr>
          <w:rFonts w:ascii="Times New Roman" w:hAnsi="Times New Roman"/>
          <w:snapToGrid w:val="0"/>
          <w:sz w:val="36"/>
          <w:szCs w:val="36"/>
        </w:r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p>
    <w:p w14:paraId="55FA740A">
      <w:pPr>
        <w:pStyle w:val="20"/>
        <w:numPr>
          <w:ilvl w:val="0"/>
          <w:numId w:val="17"/>
        </w:numPr>
        <w:spacing w:before="0" w:beforeAutospacing="0" w:after="0" w:afterAutospacing="0" w:line="360" w:lineRule="auto"/>
        <w:jc w:val="center"/>
        <w:outlineLvl w:val="0"/>
        <w:rPr>
          <w:rFonts w:ascii="Times New Roman" w:hAnsi="Times New Roman"/>
          <w:snapToGrid w:val="0"/>
          <w:sz w:val="30"/>
          <w:szCs w:val="30"/>
        </w:rPr>
      </w:pPr>
      <w:bookmarkStart w:id="24" w:name="_Toc3938"/>
      <w:bookmarkStart w:id="25" w:name="_Toc26925"/>
      <w:bookmarkStart w:id="26" w:name="_Toc20391"/>
      <w:bookmarkStart w:id="27" w:name="_Toc24127"/>
      <w:bookmarkStart w:id="28" w:name="_Toc29278"/>
      <w:bookmarkStart w:id="29" w:name="_Toc19719"/>
      <w:r>
        <w:rPr>
          <w:rFonts w:ascii="Times New Roman" w:hAnsi="Times New Roman"/>
          <w:b/>
          <w:bCs/>
          <w:snapToGrid w:val="0"/>
          <w:sz w:val="30"/>
          <w:szCs w:val="30"/>
        </w:rPr>
        <w:t>区域环境质量现状、环境保护目标及评价标准</w:t>
      </w:r>
      <w:bookmarkEnd w:id="24"/>
      <w:bookmarkEnd w:id="25"/>
      <w:bookmarkEnd w:id="26"/>
      <w:bookmarkEnd w:id="27"/>
      <w:bookmarkEnd w:id="28"/>
      <w:bookmarkEnd w:id="29"/>
    </w:p>
    <w:tbl>
      <w:tblPr>
        <w:tblStyle w:val="24"/>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99"/>
        <w:gridCol w:w="8204"/>
      </w:tblGrid>
      <w:tr w14:paraId="3A6AF4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444" w:type="pct"/>
            <w:vAlign w:val="center"/>
          </w:tcPr>
          <w:p w14:paraId="416915BE">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区域环境质量现状</w:t>
            </w:r>
          </w:p>
        </w:tc>
        <w:tc>
          <w:tcPr>
            <w:tcW w:w="4555" w:type="pct"/>
            <w:vAlign w:val="center"/>
          </w:tcPr>
          <w:p w14:paraId="01005090">
            <w:pPr>
              <w:keepNext w:val="0"/>
              <w:keepLines w:val="0"/>
              <w:suppressLineNumbers w:val="0"/>
              <w:adjustRightInd w:val="0"/>
              <w:snapToGrid w:val="0"/>
              <w:spacing w:before="120" w:beforeLines="50" w:beforeAutospacing="0" w:after="0" w:afterAutospacing="0" w:line="360" w:lineRule="auto"/>
              <w:ind w:left="0" w:right="0"/>
              <w:rPr>
                <w:rFonts w:hint="default"/>
                <w:b/>
                <w:bCs/>
                <w:spacing w:val="-10"/>
                <w:sz w:val="28"/>
                <w:szCs w:val="28"/>
              </w:rPr>
            </w:pPr>
            <w:r>
              <w:rPr>
                <w:rFonts w:hint="default"/>
                <w:b/>
                <w:bCs/>
                <w:spacing w:val="-10"/>
                <w:sz w:val="28"/>
                <w:szCs w:val="28"/>
              </w:rPr>
              <w:t>1、大气环境质量现状</w:t>
            </w:r>
          </w:p>
          <w:p w14:paraId="7FC61C81">
            <w:pPr>
              <w:keepNext w:val="0"/>
              <w:keepLines w:val="0"/>
              <w:suppressLineNumbers w:val="0"/>
              <w:tabs>
                <w:tab w:val="left" w:pos="567"/>
              </w:tabs>
              <w:spacing w:before="0" w:beforeAutospacing="0" w:after="0" w:afterAutospacing="0" w:line="360" w:lineRule="auto"/>
              <w:ind w:left="0" w:right="0" w:firstLine="480" w:firstLineChars="200"/>
              <w:rPr>
                <w:rFonts w:hint="default"/>
                <w:sz w:val="24"/>
                <w:szCs w:val="32"/>
              </w:rPr>
            </w:pPr>
            <w:r>
              <w:rPr>
                <w:rFonts w:hint="default"/>
                <w:sz w:val="24"/>
                <w:szCs w:val="32"/>
              </w:rPr>
              <w:t>（1）基本污染物</w:t>
            </w:r>
          </w:p>
          <w:p w14:paraId="2D3DC14C">
            <w:pPr>
              <w:keepNext w:val="0"/>
              <w:keepLines w:val="0"/>
              <w:suppressLineNumbers w:val="0"/>
              <w:tabs>
                <w:tab w:val="left" w:pos="567"/>
              </w:tabs>
              <w:spacing w:before="0" w:beforeAutospacing="0" w:after="0" w:afterAutospacing="0" w:line="360" w:lineRule="auto"/>
              <w:ind w:left="0" w:right="0" w:firstLine="480" w:firstLineChars="200"/>
              <w:rPr>
                <w:rFonts w:hint="default"/>
                <w:sz w:val="24"/>
                <w:szCs w:val="32"/>
              </w:rPr>
            </w:pPr>
            <w:r>
              <w:rPr>
                <w:rFonts w:hint="default"/>
                <w:sz w:val="24"/>
                <w:szCs w:val="32"/>
              </w:rPr>
              <w:t>本项目位于</w:t>
            </w:r>
            <w:r>
              <w:rPr>
                <w:rFonts w:hint="eastAsia"/>
                <w:sz w:val="24"/>
                <w:szCs w:val="32"/>
                <w:lang w:val="en-US" w:eastAsia="zh-CN"/>
              </w:rPr>
              <w:t>湖南岳阳君山产业开发区</w:t>
            </w:r>
            <w:r>
              <w:rPr>
                <w:rFonts w:hint="eastAsia"/>
                <w:sz w:val="24"/>
                <w:szCs w:val="32"/>
                <w:highlight w:val="none"/>
                <w:lang w:val="en-US" w:eastAsia="zh-CN"/>
              </w:rPr>
              <w:t>荆江门片区</w:t>
            </w:r>
            <w:r>
              <w:rPr>
                <w:rFonts w:hint="default"/>
                <w:sz w:val="24"/>
                <w:szCs w:val="32"/>
              </w:rPr>
              <w:t>，</w:t>
            </w:r>
            <w:r>
              <w:rPr>
                <w:rFonts w:hint="default"/>
                <w:sz w:val="24"/>
              </w:rPr>
              <w:t>基本污染物收集了</w:t>
            </w:r>
            <w:r>
              <w:rPr>
                <w:rFonts w:hint="eastAsia"/>
                <w:sz w:val="24"/>
                <w:lang w:val="en-US" w:eastAsia="zh-CN"/>
              </w:rPr>
              <w:t>2024年岳阳市气象站君山区</w:t>
            </w:r>
            <w:r>
              <w:rPr>
                <w:rFonts w:hint="default"/>
                <w:sz w:val="24"/>
              </w:rPr>
              <w:t>环境空气质量现状数据。统计结果详</w:t>
            </w:r>
            <w:r>
              <w:rPr>
                <w:rFonts w:hint="default"/>
                <w:sz w:val="24"/>
                <w:szCs w:val="32"/>
              </w:rPr>
              <w:t>见下表：</w:t>
            </w:r>
          </w:p>
          <w:p w14:paraId="032B38C4">
            <w:pPr>
              <w:pStyle w:val="33"/>
              <w:keepNext w:val="0"/>
              <w:keepLines w:val="0"/>
              <w:numPr>
                <w:ilvl w:val="0"/>
                <w:numId w:val="18"/>
              </w:numPr>
              <w:suppressLineNumbers w:val="0"/>
              <w:spacing w:before="0" w:beforeAutospacing="0" w:after="0" w:afterAutospacing="0"/>
              <w:ind w:right="0" w:firstLineChars="0"/>
              <w:jc w:val="center"/>
              <w:rPr>
                <w:rFonts w:hint="default"/>
                <w:b/>
                <w:sz w:val="24"/>
                <w:szCs w:val="24"/>
              </w:rPr>
            </w:pPr>
            <w:r>
              <w:rPr>
                <w:rFonts w:hint="default"/>
                <w:b/>
                <w:sz w:val="24"/>
                <w:szCs w:val="24"/>
              </w:rPr>
              <w:t>202</w:t>
            </w:r>
            <w:r>
              <w:rPr>
                <w:rFonts w:hint="eastAsia"/>
                <w:b/>
                <w:sz w:val="24"/>
                <w:szCs w:val="24"/>
                <w:lang w:val="en-US" w:eastAsia="zh-CN"/>
              </w:rPr>
              <w:t>4</w:t>
            </w:r>
            <w:r>
              <w:rPr>
                <w:rFonts w:hint="default"/>
                <w:b/>
                <w:sz w:val="24"/>
                <w:szCs w:val="24"/>
              </w:rPr>
              <w:t>年岳阳市</w:t>
            </w:r>
            <w:r>
              <w:rPr>
                <w:rFonts w:hint="eastAsia"/>
                <w:b/>
                <w:sz w:val="24"/>
                <w:szCs w:val="24"/>
                <w:lang w:val="en-US" w:eastAsia="zh-CN"/>
              </w:rPr>
              <w:t>君山区</w:t>
            </w:r>
            <w:r>
              <w:rPr>
                <w:rFonts w:hint="default"/>
                <w:b/>
                <w:sz w:val="24"/>
                <w:szCs w:val="24"/>
              </w:rPr>
              <w:t>空气质量现状评价表</w:t>
            </w:r>
          </w:p>
          <w:tbl>
            <w:tblPr>
              <w:tblStyle w:val="24"/>
              <w:tblW w:w="4998"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135"/>
              <w:gridCol w:w="1937"/>
              <w:gridCol w:w="1305"/>
              <w:gridCol w:w="1305"/>
              <w:gridCol w:w="1421"/>
              <w:gridCol w:w="852"/>
            </w:tblGrid>
            <w:tr w14:paraId="5D40E47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713" w:type="pct"/>
                  <w:vMerge w:val="restart"/>
                  <w:vAlign w:val="center"/>
                </w:tcPr>
                <w:p w14:paraId="23AA6832">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lang w:bidi="ar"/>
                    </w:rPr>
                    <w:t>污染物</w:t>
                  </w:r>
                </w:p>
              </w:tc>
              <w:tc>
                <w:tcPr>
                  <w:tcW w:w="1217" w:type="pct"/>
                  <w:vMerge w:val="restart"/>
                  <w:vAlign w:val="center"/>
                </w:tcPr>
                <w:p w14:paraId="059C5B6E">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lang w:bidi="ar"/>
                    </w:rPr>
                    <w:t>年评价指标</w:t>
                  </w:r>
                </w:p>
              </w:tc>
              <w:tc>
                <w:tcPr>
                  <w:tcW w:w="820" w:type="pct"/>
                  <w:vMerge w:val="restart"/>
                  <w:vAlign w:val="center"/>
                </w:tcPr>
                <w:p w14:paraId="19DC97E2">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lang w:bidi="ar"/>
                    </w:rPr>
                    <w:t>现状浓度（μg/m</w:t>
                  </w:r>
                  <w:r>
                    <w:rPr>
                      <w:rFonts w:hint="default"/>
                      <w:b/>
                      <w:szCs w:val="21"/>
                      <w:vertAlign w:val="superscript"/>
                      <w:lang w:bidi="ar"/>
                    </w:rPr>
                    <w:t>3</w:t>
                  </w:r>
                  <w:r>
                    <w:rPr>
                      <w:rFonts w:hint="default"/>
                      <w:b/>
                      <w:szCs w:val="21"/>
                      <w:lang w:bidi="ar"/>
                    </w:rPr>
                    <w:t>）</w:t>
                  </w:r>
                </w:p>
              </w:tc>
              <w:tc>
                <w:tcPr>
                  <w:tcW w:w="820" w:type="pct"/>
                  <w:vMerge w:val="restart"/>
                  <w:vAlign w:val="center"/>
                </w:tcPr>
                <w:p w14:paraId="58005CAA">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lang w:bidi="ar"/>
                    </w:rPr>
                    <w:t>评价标准（μg/m</w:t>
                  </w:r>
                  <w:r>
                    <w:rPr>
                      <w:rFonts w:hint="default"/>
                      <w:b/>
                      <w:szCs w:val="21"/>
                      <w:vertAlign w:val="superscript"/>
                      <w:lang w:bidi="ar"/>
                    </w:rPr>
                    <w:t>3</w:t>
                  </w:r>
                  <w:r>
                    <w:rPr>
                      <w:rFonts w:hint="default"/>
                      <w:b/>
                      <w:szCs w:val="21"/>
                      <w:lang w:bidi="ar"/>
                    </w:rPr>
                    <w:t>）</w:t>
                  </w:r>
                </w:p>
              </w:tc>
              <w:tc>
                <w:tcPr>
                  <w:tcW w:w="893" w:type="pct"/>
                  <w:vMerge w:val="restart"/>
                  <w:vAlign w:val="center"/>
                </w:tcPr>
                <w:p w14:paraId="1D5499E6">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lang w:bidi="ar"/>
                    </w:rPr>
                    <w:t>最大浓度占标率/%</w:t>
                  </w:r>
                </w:p>
              </w:tc>
              <w:tc>
                <w:tcPr>
                  <w:tcW w:w="535" w:type="pct"/>
                  <w:vMerge w:val="restart"/>
                  <w:vAlign w:val="center"/>
                </w:tcPr>
                <w:p w14:paraId="68F1AD17">
                  <w:pPr>
                    <w:keepNext w:val="0"/>
                    <w:keepLines w:val="0"/>
                    <w:suppressLineNumbers w:val="0"/>
                    <w:adjustRightInd w:val="0"/>
                    <w:snapToGrid w:val="0"/>
                    <w:spacing w:before="0" w:beforeAutospacing="0" w:after="0" w:afterAutospacing="0"/>
                    <w:ind w:left="0" w:right="0"/>
                    <w:jc w:val="center"/>
                    <w:rPr>
                      <w:rFonts w:hint="default"/>
                      <w:b/>
                      <w:szCs w:val="21"/>
                      <w:lang w:bidi="ar"/>
                    </w:rPr>
                  </w:pPr>
                  <w:r>
                    <w:rPr>
                      <w:rFonts w:hint="default"/>
                      <w:b/>
                      <w:szCs w:val="21"/>
                      <w:lang w:bidi="ar"/>
                    </w:rPr>
                    <w:t>达标</w:t>
                  </w:r>
                </w:p>
                <w:p w14:paraId="5BDEA621">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lang w:bidi="ar"/>
                    </w:rPr>
                    <w:t>情况</w:t>
                  </w:r>
                </w:p>
              </w:tc>
            </w:tr>
            <w:tr w14:paraId="28B83A9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13" w:type="pct"/>
                  <w:vMerge w:val="continue"/>
                  <w:vAlign w:val="center"/>
                </w:tcPr>
                <w:p w14:paraId="5E09F23D">
                  <w:pPr>
                    <w:keepNext w:val="0"/>
                    <w:keepLines w:val="0"/>
                    <w:suppressLineNumbers w:val="0"/>
                    <w:spacing w:before="0" w:beforeAutospacing="0" w:after="0" w:afterAutospacing="0"/>
                    <w:ind w:left="0" w:right="0"/>
                    <w:rPr>
                      <w:rFonts w:hint="default"/>
                      <w:szCs w:val="21"/>
                    </w:rPr>
                  </w:pPr>
                </w:p>
              </w:tc>
              <w:tc>
                <w:tcPr>
                  <w:tcW w:w="1217" w:type="pct"/>
                  <w:vMerge w:val="continue"/>
                  <w:vAlign w:val="center"/>
                </w:tcPr>
                <w:p w14:paraId="12FE209D">
                  <w:pPr>
                    <w:keepNext w:val="0"/>
                    <w:keepLines w:val="0"/>
                    <w:suppressLineNumbers w:val="0"/>
                    <w:spacing w:before="0" w:beforeAutospacing="0" w:after="0" w:afterAutospacing="0"/>
                    <w:ind w:left="0" w:right="0"/>
                    <w:rPr>
                      <w:rFonts w:hint="default"/>
                      <w:szCs w:val="21"/>
                    </w:rPr>
                  </w:pPr>
                </w:p>
              </w:tc>
              <w:tc>
                <w:tcPr>
                  <w:tcW w:w="820" w:type="pct"/>
                  <w:vMerge w:val="continue"/>
                  <w:vAlign w:val="center"/>
                </w:tcPr>
                <w:p w14:paraId="7EA81EBB">
                  <w:pPr>
                    <w:keepNext w:val="0"/>
                    <w:keepLines w:val="0"/>
                    <w:suppressLineNumbers w:val="0"/>
                    <w:spacing w:before="0" w:beforeAutospacing="0" w:after="0" w:afterAutospacing="0"/>
                    <w:ind w:left="0" w:right="0"/>
                    <w:rPr>
                      <w:rFonts w:hint="default"/>
                      <w:szCs w:val="21"/>
                    </w:rPr>
                  </w:pPr>
                </w:p>
              </w:tc>
              <w:tc>
                <w:tcPr>
                  <w:tcW w:w="820" w:type="pct"/>
                  <w:vMerge w:val="continue"/>
                  <w:vAlign w:val="center"/>
                </w:tcPr>
                <w:p w14:paraId="0CFD0393">
                  <w:pPr>
                    <w:keepNext w:val="0"/>
                    <w:keepLines w:val="0"/>
                    <w:suppressLineNumbers w:val="0"/>
                    <w:spacing w:before="0" w:beforeAutospacing="0" w:after="0" w:afterAutospacing="0"/>
                    <w:ind w:left="0" w:right="0"/>
                    <w:rPr>
                      <w:rFonts w:hint="default"/>
                      <w:szCs w:val="21"/>
                    </w:rPr>
                  </w:pPr>
                </w:p>
              </w:tc>
              <w:tc>
                <w:tcPr>
                  <w:tcW w:w="893" w:type="pct"/>
                  <w:vMerge w:val="continue"/>
                  <w:vAlign w:val="center"/>
                </w:tcPr>
                <w:p w14:paraId="363D4793">
                  <w:pPr>
                    <w:keepNext w:val="0"/>
                    <w:keepLines w:val="0"/>
                    <w:suppressLineNumbers w:val="0"/>
                    <w:spacing w:before="0" w:beforeAutospacing="0" w:after="0" w:afterAutospacing="0"/>
                    <w:ind w:left="0" w:right="0"/>
                    <w:rPr>
                      <w:rFonts w:hint="default"/>
                      <w:szCs w:val="21"/>
                    </w:rPr>
                  </w:pPr>
                </w:p>
              </w:tc>
              <w:tc>
                <w:tcPr>
                  <w:tcW w:w="535" w:type="pct"/>
                  <w:vMerge w:val="continue"/>
                  <w:vAlign w:val="center"/>
                </w:tcPr>
                <w:p w14:paraId="62785AC4">
                  <w:pPr>
                    <w:keepNext w:val="0"/>
                    <w:keepLines w:val="0"/>
                    <w:suppressLineNumbers w:val="0"/>
                    <w:spacing w:before="0" w:beforeAutospacing="0" w:after="0" w:afterAutospacing="0"/>
                    <w:ind w:left="0" w:right="0"/>
                    <w:rPr>
                      <w:rFonts w:hint="default"/>
                      <w:szCs w:val="21"/>
                    </w:rPr>
                  </w:pPr>
                </w:p>
              </w:tc>
            </w:tr>
            <w:tr w14:paraId="5A91E5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13" w:type="pct"/>
                  <w:vAlign w:val="center"/>
                </w:tcPr>
                <w:p w14:paraId="592B78ED">
                  <w:pPr>
                    <w:keepNext w:val="0"/>
                    <w:keepLines w:val="0"/>
                    <w:suppressLineNumbers w:val="0"/>
                    <w:autoSpaceDE w:val="0"/>
                    <w:autoSpaceDN w:val="0"/>
                    <w:spacing w:before="0" w:beforeAutospacing="0" w:after="0" w:afterAutospacing="0"/>
                    <w:ind w:left="0" w:right="0"/>
                    <w:jc w:val="center"/>
                    <w:rPr>
                      <w:rFonts w:hint="default"/>
                      <w:szCs w:val="21"/>
                      <w:lang w:eastAsia="en-US"/>
                    </w:rPr>
                  </w:pPr>
                  <w:r>
                    <w:rPr>
                      <w:rFonts w:hint="default"/>
                      <w:szCs w:val="21"/>
                      <w:lang w:eastAsia="en-US" w:bidi="ar"/>
                    </w:rPr>
                    <w:t>SO</w:t>
                  </w:r>
                  <w:r>
                    <w:rPr>
                      <w:rFonts w:hint="default"/>
                      <w:szCs w:val="21"/>
                      <w:vertAlign w:val="subscript"/>
                      <w:lang w:eastAsia="en-US" w:bidi="ar"/>
                    </w:rPr>
                    <w:t>2</w:t>
                  </w:r>
                </w:p>
              </w:tc>
              <w:tc>
                <w:tcPr>
                  <w:tcW w:w="1217" w:type="pct"/>
                  <w:vAlign w:val="center"/>
                </w:tcPr>
                <w:p w14:paraId="4EFFEBDA">
                  <w:pPr>
                    <w:keepNext w:val="0"/>
                    <w:keepLines w:val="0"/>
                    <w:suppressLineNumbers w:val="0"/>
                    <w:autoSpaceDE w:val="0"/>
                    <w:autoSpaceDN w:val="0"/>
                    <w:adjustRightInd w:val="0"/>
                    <w:snapToGrid w:val="0"/>
                    <w:spacing w:before="0" w:beforeAutospacing="0" w:after="0" w:afterAutospacing="0"/>
                    <w:ind w:left="0" w:right="0"/>
                    <w:jc w:val="center"/>
                    <w:rPr>
                      <w:rFonts w:hint="default"/>
                      <w:szCs w:val="21"/>
                      <w:lang w:eastAsia="en-US"/>
                    </w:rPr>
                  </w:pPr>
                  <w:r>
                    <w:rPr>
                      <w:rFonts w:hint="default"/>
                      <w:szCs w:val="21"/>
                      <w:lang w:eastAsia="en-US" w:bidi="ar"/>
                    </w:rPr>
                    <w:t>年平均浓度</w:t>
                  </w:r>
                </w:p>
              </w:tc>
              <w:tc>
                <w:tcPr>
                  <w:tcW w:w="820" w:type="pct"/>
                  <w:vAlign w:val="center"/>
                </w:tcPr>
                <w:p w14:paraId="6FCF36A9">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7</w:t>
                  </w:r>
                </w:p>
              </w:tc>
              <w:tc>
                <w:tcPr>
                  <w:tcW w:w="820" w:type="pct"/>
                  <w:vAlign w:val="center"/>
                </w:tcPr>
                <w:p w14:paraId="265FFBA3">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60</w:t>
                  </w:r>
                </w:p>
              </w:tc>
              <w:tc>
                <w:tcPr>
                  <w:tcW w:w="893" w:type="pct"/>
                  <w:vAlign w:val="center"/>
                </w:tcPr>
                <w:p w14:paraId="19096F5E">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11.7</w:t>
                  </w:r>
                </w:p>
              </w:tc>
              <w:tc>
                <w:tcPr>
                  <w:tcW w:w="535" w:type="pct"/>
                  <w:vAlign w:val="center"/>
                </w:tcPr>
                <w:p w14:paraId="3D2A2EE1">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达标</w:t>
                  </w:r>
                </w:p>
              </w:tc>
            </w:tr>
            <w:tr w14:paraId="49D516D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13" w:type="pct"/>
                  <w:vAlign w:val="center"/>
                </w:tcPr>
                <w:p w14:paraId="630EB8B3">
                  <w:pPr>
                    <w:keepNext w:val="0"/>
                    <w:keepLines w:val="0"/>
                    <w:suppressLineNumbers w:val="0"/>
                    <w:autoSpaceDE w:val="0"/>
                    <w:autoSpaceDN w:val="0"/>
                    <w:spacing w:before="0" w:beforeAutospacing="0" w:after="0" w:afterAutospacing="0"/>
                    <w:ind w:left="0" w:right="0"/>
                    <w:jc w:val="center"/>
                    <w:rPr>
                      <w:rFonts w:hint="default"/>
                      <w:szCs w:val="21"/>
                      <w:lang w:eastAsia="en-US"/>
                    </w:rPr>
                  </w:pPr>
                  <w:r>
                    <w:rPr>
                      <w:rFonts w:hint="default"/>
                      <w:szCs w:val="21"/>
                      <w:lang w:eastAsia="en-US" w:bidi="ar"/>
                    </w:rPr>
                    <w:t>NO</w:t>
                  </w:r>
                  <w:r>
                    <w:rPr>
                      <w:rFonts w:hint="default"/>
                      <w:szCs w:val="21"/>
                      <w:vertAlign w:val="subscript"/>
                      <w:lang w:eastAsia="en-US" w:bidi="ar"/>
                    </w:rPr>
                    <w:t>2</w:t>
                  </w:r>
                </w:p>
              </w:tc>
              <w:tc>
                <w:tcPr>
                  <w:tcW w:w="1217" w:type="pct"/>
                  <w:vAlign w:val="center"/>
                </w:tcPr>
                <w:p w14:paraId="5ED76A84">
                  <w:pPr>
                    <w:keepNext w:val="0"/>
                    <w:keepLines w:val="0"/>
                    <w:suppressLineNumbers w:val="0"/>
                    <w:autoSpaceDE w:val="0"/>
                    <w:autoSpaceDN w:val="0"/>
                    <w:adjustRightInd w:val="0"/>
                    <w:snapToGrid w:val="0"/>
                    <w:spacing w:before="0" w:beforeAutospacing="0" w:after="0" w:afterAutospacing="0"/>
                    <w:ind w:left="0" w:right="0"/>
                    <w:jc w:val="center"/>
                    <w:rPr>
                      <w:rFonts w:hint="default"/>
                      <w:szCs w:val="21"/>
                      <w:lang w:eastAsia="en-US"/>
                    </w:rPr>
                  </w:pPr>
                  <w:r>
                    <w:rPr>
                      <w:rFonts w:hint="default"/>
                      <w:szCs w:val="21"/>
                      <w:lang w:eastAsia="en-US" w:bidi="ar"/>
                    </w:rPr>
                    <w:t>年平均浓度</w:t>
                  </w:r>
                </w:p>
              </w:tc>
              <w:tc>
                <w:tcPr>
                  <w:tcW w:w="820" w:type="pct"/>
                  <w:vAlign w:val="center"/>
                </w:tcPr>
                <w:p w14:paraId="36168E8F">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19</w:t>
                  </w:r>
                </w:p>
              </w:tc>
              <w:tc>
                <w:tcPr>
                  <w:tcW w:w="820" w:type="pct"/>
                  <w:vAlign w:val="center"/>
                </w:tcPr>
                <w:p w14:paraId="6545BD34">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40</w:t>
                  </w:r>
                </w:p>
              </w:tc>
              <w:tc>
                <w:tcPr>
                  <w:tcW w:w="893" w:type="pct"/>
                  <w:vAlign w:val="center"/>
                </w:tcPr>
                <w:p w14:paraId="6E37612A">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47.5</w:t>
                  </w:r>
                </w:p>
              </w:tc>
              <w:tc>
                <w:tcPr>
                  <w:tcW w:w="535" w:type="pct"/>
                  <w:vAlign w:val="center"/>
                </w:tcPr>
                <w:p w14:paraId="6C6467D3">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达标</w:t>
                  </w:r>
                </w:p>
              </w:tc>
            </w:tr>
            <w:tr w14:paraId="637CC8E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13" w:type="pct"/>
                  <w:vAlign w:val="center"/>
                </w:tcPr>
                <w:p w14:paraId="31890515">
                  <w:pPr>
                    <w:keepNext w:val="0"/>
                    <w:keepLines w:val="0"/>
                    <w:suppressLineNumbers w:val="0"/>
                    <w:autoSpaceDE w:val="0"/>
                    <w:autoSpaceDN w:val="0"/>
                    <w:spacing w:before="0" w:beforeAutospacing="0" w:after="0" w:afterAutospacing="0"/>
                    <w:ind w:left="0" w:right="0"/>
                    <w:jc w:val="center"/>
                    <w:rPr>
                      <w:rFonts w:hint="default"/>
                      <w:szCs w:val="21"/>
                      <w:lang w:eastAsia="en-US"/>
                    </w:rPr>
                  </w:pPr>
                  <w:r>
                    <w:rPr>
                      <w:rFonts w:hint="default"/>
                      <w:szCs w:val="21"/>
                      <w:lang w:eastAsia="en-US" w:bidi="ar"/>
                    </w:rPr>
                    <w:t>PM</w:t>
                  </w:r>
                  <w:r>
                    <w:rPr>
                      <w:rFonts w:hint="default"/>
                      <w:szCs w:val="21"/>
                      <w:vertAlign w:val="subscript"/>
                      <w:lang w:eastAsia="en-US" w:bidi="ar"/>
                    </w:rPr>
                    <w:t>10</w:t>
                  </w:r>
                </w:p>
              </w:tc>
              <w:tc>
                <w:tcPr>
                  <w:tcW w:w="1217" w:type="pct"/>
                  <w:vAlign w:val="center"/>
                </w:tcPr>
                <w:p w14:paraId="23E29B48">
                  <w:pPr>
                    <w:keepNext w:val="0"/>
                    <w:keepLines w:val="0"/>
                    <w:suppressLineNumbers w:val="0"/>
                    <w:autoSpaceDE w:val="0"/>
                    <w:autoSpaceDN w:val="0"/>
                    <w:adjustRightInd w:val="0"/>
                    <w:snapToGrid w:val="0"/>
                    <w:spacing w:before="0" w:beforeAutospacing="0" w:after="0" w:afterAutospacing="0"/>
                    <w:ind w:left="0" w:right="0"/>
                    <w:jc w:val="center"/>
                    <w:rPr>
                      <w:rFonts w:hint="default"/>
                      <w:szCs w:val="21"/>
                      <w:lang w:eastAsia="en-US"/>
                    </w:rPr>
                  </w:pPr>
                  <w:r>
                    <w:rPr>
                      <w:rFonts w:hint="default"/>
                      <w:szCs w:val="21"/>
                      <w:lang w:eastAsia="en-US" w:bidi="ar"/>
                    </w:rPr>
                    <w:t>年平均浓度</w:t>
                  </w:r>
                </w:p>
              </w:tc>
              <w:tc>
                <w:tcPr>
                  <w:tcW w:w="820" w:type="pct"/>
                  <w:vAlign w:val="center"/>
                </w:tcPr>
                <w:p w14:paraId="386BD4BA">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50</w:t>
                  </w:r>
                </w:p>
              </w:tc>
              <w:tc>
                <w:tcPr>
                  <w:tcW w:w="820" w:type="pct"/>
                  <w:vAlign w:val="center"/>
                </w:tcPr>
                <w:p w14:paraId="2C5CF8F8">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70</w:t>
                  </w:r>
                </w:p>
              </w:tc>
              <w:tc>
                <w:tcPr>
                  <w:tcW w:w="893" w:type="pct"/>
                  <w:vAlign w:val="center"/>
                </w:tcPr>
                <w:p w14:paraId="351B3335">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71.4</w:t>
                  </w:r>
                </w:p>
              </w:tc>
              <w:tc>
                <w:tcPr>
                  <w:tcW w:w="535" w:type="pct"/>
                  <w:vAlign w:val="center"/>
                </w:tcPr>
                <w:p w14:paraId="71744C6C">
                  <w:pPr>
                    <w:keepNext w:val="0"/>
                    <w:keepLines w:val="0"/>
                    <w:widowControl/>
                    <w:suppressLineNumbers w:val="0"/>
                    <w:spacing w:before="0" w:beforeAutospacing="0" w:after="0" w:afterAutospacing="0"/>
                    <w:ind w:left="0" w:right="0"/>
                    <w:jc w:val="center"/>
                    <w:textAlignment w:val="center"/>
                    <w:rPr>
                      <w:rFonts w:hint="default"/>
                      <w:b/>
                      <w:bCs/>
                      <w:szCs w:val="21"/>
                      <w:lang w:eastAsia="en-US"/>
                    </w:rPr>
                  </w:pPr>
                  <w:r>
                    <w:rPr>
                      <w:rFonts w:hint="default"/>
                      <w:kern w:val="0"/>
                      <w:szCs w:val="21"/>
                      <w:lang w:bidi="ar"/>
                    </w:rPr>
                    <w:t>达标</w:t>
                  </w:r>
                </w:p>
              </w:tc>
            </w:tr>
            <w:tr w14:paraId="106D662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13" w:type="pct"/>
                  <w:vAlign w:val="center"/>
                </w:tcPr>
                <w:p w14:paraId="355F7AFA">
                  <w:pPr>
                    <w:keepNext w:val="0"/>
                    <w:keepLines w:val="0"/>
                    <w:suppressLineNumbers w:val="0"/>
                    <w:autoSpaceDE w:val="0"/>
                    <w:autoSpaceDN w:val="0"/>
                    <w:spacing w:before="0" w:beforeAutospacing="0" w:after="0" w:afterAutospacing="0"/>
                    <w:ind w:left="0" w:right="0"/>
                    <w:jc w:val="center"/>
                    <w:rPr>
                      <w:rFonts w:hint="default"/>
                      <w:szCs w:val="21"/>
                      <w:lang w:eastAsia="en-US"/>
                    </w:rPr>
                  </w:pPr>
                  <w:r>
                    <w:rPr>
                      <w:rFonts w:hint="default"/>
                      <w:szCs w:val="21"/>
                      <w:lang w:eastAsia="en-US" w:bidi="ar"/>
                    </w:rPr>
                    <w:t>PM</w:t>
                  </w:r>
                  <w:r>
                    <w:rPr>
                      <w:rFonts w:hint="default"/>
                      <w:szCs w:val="21"/>
                      <w:vertAlign w:val="subscript"/>
                      <w:lang w:eastAsia="en-US" w:bidi="ar"/>
                    </w:rPr>
                    <w:t>2.5</w:t>
                  </w:r>
                </w:p>
              </w:tc>
              <w:tc>
                <w:tcPr>
                  <w:tcW w:w="1217" w:type="pct"/>
                  <w:vAlign w:val="center"/>
                </w:tcPr>
                <w:p w14:paraId="75517304">
                  <w:pPr>
                    <w:keepNext w:val="0"/>
                    <w:keepLines w:val="0"/>
                    <w:suppressLineNumbers w:val="0"/>
                    <w:autoSpaceDE w:val="0"/>
                    <w:autoSpaceDN w:val="0"/>
                    <w:adjustRightInd w:val="0"/>
                    <w:snapToGrid w:val="0"/>
                    <w:spacing w:before="0" w:beforeAutospacing="0" w:after="0" w:afterAutospacing="0"/>
                    <w:ind w:left="0" w:right="0"/>
                    <w:jc w:val="center"/>
                    <w:rPr>
                      <w:rFonts w:hint="default"/>
                      <w:szCs w:val="21"/>
                      <w:lang w:eastAsia="en-US"/>
                    </w:rPr>
                  </w:pPr>
                  <w:r>
                    <w:rPr>
                      <w:rFonts w:hint="default"/>
                      <w:szCs w:val="21"/>
                      <w:lang w:eastAsia="en-US" w:bidi="ar"/>
                    </w:rPr>
                    <w:t>年平均浓度</w:t>
                  </w:r>
                </w:p>
              </w:tc>
              <w:tc>
                <w:tcPr>
                  <w:tcW w:w="820" w:type="pct"/>
                  <w:vAlign w:val="center"/>
                </w:tcPr>
                <w:p w14:paraId="5B4936B4">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36</w:t>
                  </w:r>
                </w:p>
              </w:tc>
              <w:tc>
                <w:tcPr>
                  <w:tcW w:w="820" w:type="pct"/>
                  <w:vAlign w:val="center"/>
                </w:tcPr>
                <w:p w14:paraId="22584012">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35</w:t>
                  </w:r>
                </w:p>
              </w:tc>
              <w:tc>
                <w:tcPr>
                  <w:tcW w:w="893" w:type="pct"/>
                  <w:vAlign w:val="center"/>
                </w:tcPr>
                <w:p w14:paraId="4F5C89EF">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102.9</w:t>
                  </w:r>
                </w:p>
              </w:tc>
              <w:tc>
                <w:tcPr>
                  <w:tcW w:w="535" w:type="pct"/>
                  <w:vAlign w:val="center"/>
                </w:tcPr>
                <w:p w14:paraId="01664476">
                  <w:pPr>
                    <w:keepNext w:val="0"/>
                    <w:keepLines w:val="0"/>
                    <w:widowControl/>
                    <w:suppressLineNumbers w:val="0"/>
                    <w:spacing w:before="0" w:beforeAutospacing="0" w:after="0" w:afterAutospacing="0"/>
                    <w:ind w:left="0" w:right="0"/>
                    <w:jc w:val="center"/>
                    <w:textAlignment w:val="center"/>
                    <w:rPr>
                      <w:rFonts w:hint="default"/>
                      <w:szCs w:val="21"/>
                    </w:rPr>
                  </w:pPr>
                  <w:r>
                    <w:rPr>
                      <w:rFonts w:hint="eastAsia"/>
                      <w:kern w:val="0"/>
                      <w:szCs w:val="21"/>
                      <w:lang w:val="en-US" w:eastAsia="zh-CN" w:bidi="ar"/>
                    </w:rPr>
                    <w:t>不</w:t>
                  </w:r>
                  <w:r>
                    <w:rPr>
                      <w:rFonts w:hint="default"/>
                      <w:kern w:val="0"/>
                      <w:szCs w:val="21"/>
                      <w:lang w:bidi="ar"/>
                    </w:rPr>
                    <w:t>达标</w:t>
                  </w:r>
                </w:p>
              </w:tc>
            </w:tr>
            <w:tr w14:paraId="13F1A9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13" w:type="pct"/>
                  <w:vAlign w:val="center"/>
                </w:tcPr>
                <w:p w14:paraId="485794AF">
                  <w:pPr>
                    <w:keepNext w:val="0"/>
                    <w:keepLines w:val="0"/>
                    <w:suppressLineNumbers w:val="0"/>
                    <w:autoSpaceDE w:val="0"/>
                    <w:autoSpaceDN w:val="0"/>
                    <w:spacing w:before="0" w:beforeAutospacing="0" w:after="0" w:afterAutospacing="0"/>
                    <w:ind w:left="0" w:right="0"/>
                    <w:jc w:val="center"/>
                    <w:rPr>
                      <w:rFonts w:hint="default"/>
                      <w:szCs w:val="21"/>
                      <w:lang w:eastAsia="en-US"/>
                    </w:rPr>
                  </w:pPr>
                  <w:r>
                    <w:rPr>
                      <w:rFonts w:hint="default"/>
                      <w:szCs w:val="21"/>
                      <w:lang w:eastAsia="en-US" w:bidi="ar"/>
                    </w:rPr>
                    <w:t>CO</w:t>
                  </w:r>
                </w:p>
              </w:tc>
              <w:tc>
                <w:tcPr>
                  <w:tcW w:w="1217" w:type="pct"/>
                  <w:vAlign w:val="center"/>
                </w:tcPr>
                <w:p w14:paraId="1279659F">
                  <w:pPr>
                    <w:keepNext w:val="0"/>
                    <w:keepLines w:val="0"/>
                    <w:suppressLineNumbers w:val="0"/>
                    <w:autoSpaceDE w:val="0"/>
                    <w:autoSpaceDN w:val="0"/>
                    <w:adjustRightInd w:val="0"/>
                    <w:snapToGrid w:val="0"/>
                    <w:spacing w:before="0" w:beforeAutospacing="0" w:after="0" w:afterAutospacing="0"/>
                    <w:ind w:left="0" w:right="0"/>
                    <w:jc w:val="center"/>
                    <w:rPr>
                      <w:rFonts w:hint="default"/>
                      <w:szCs w:val="21"/>
                    </w:rPr>
                  </w:pPr>
                  <w:r>
                    <w:rPr>
                      <w:rFonts w:hint="default"/>
                      <w:szCs w:val="21"/>
                      <w:lang w:bidi="ar"/>
                    </w:rPr>
                    <w:t>第95百分位数日平均浓度</w:t>
                  </w:r>
                </w:p>
              </w:tc>
              <w:tc>
                <w:tcPr>
                  <w:tcW w:w="820" w:type="pct"/>
                  <w:vAlign w:val="center"/>
                </w:tcPr>
                <w:p w14:paraId="781B3985">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600</w:t>
                  </w:r>
                </w:p>
              </w:tc>
              <w:tc>
                <w:tcPr>
                  <w:tcW w:w="820" w:type="pct"/>
                  <w:vAlign w:val="center"/>
                </w:tcPr>
                <w:p w14:paraId="3BF3D16A">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4000</w:t>
                  </w:r>
                </w:p>
              </w:tc>
              <w:tc>
                <w:tcPr>
                  <w:tcW w:w="893" w:type="pct"/>
                  <w:vAlign w:val="center"/>
                </w:tcPr>
                <w:p w14:paraId="69CBCCF1">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15</w:t>
                  </w:r>
                </w:p>
              </w:tc>
              <w:tc>
                <w:tcPr>
                  <w:tcW w:w="535" w:type="pct"/>
                  <w:vAlign w:val="center"/>
                </w:tcPr>
                <w:p w14:paraId="4E6F55B8">
                  <w:pPr>
                    <w:keepNext w:val="0"/>
                    <w:keepLines w:val="0"/>
                    <w:widowControl/>
                    <w:suppressLineNumbers w:val="0"/>
                    <w:spacing w:before="0" w:beforeAutospacing="0" w:after="0" w:afterAutospacing="0"/>
                    <w:ind w:left="0" w:right="0"/>
                    <w:jc w:val="center"/>
                    <w:textAlignment w:val="center"/>
                    <w:rPr>
                      <w:rFonts w:hint="default"/>
                      <w:szCs w:val="21"/>
                      <w:lang w:eastAsia="en-US"/>
                    </w:rPr>
                  </w:pPr>
                  <w:r>
                    <w:rPr>
                      <w:rFonts w:hint="default"/>
                      <w:kern w:val="0"/>
                      <w:szCs w:val="21"/>
                      <w:lang w:bidi="ar"/>
                    </w:rPr>
                    <w:t>达标</w:t>
                  </w:r>
                </w:p>
              </w:tc>
            </w:tr>
            <w:tr w14:paraId="11C7CC9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13" w:type="pct"/>
                  <w:vAlign w:val="center"/>
                </w:tcPr>
                <w:p w14:paraId="1B2B3DBA">
                  <w:pPr>
                    <w:keepNext w:val="0"/>
                    <w:keepLines w:val="0"/>
                    <w:suppressLineNumbers w:val="0"/>
                    <w:autoSpaceDE w:val="0"/>
                    <w:autoSpaceDN w:val="0"/>
                    <w:spacing w:before="0" w:beforeAutospacing="0" w:after="0" w:afterAutospacing="0"/>
                    <w:ind w:left="0" w:right="0"/>
                    <w:jc w:val="center"/>
                    <w:rPr>
                      <w:rFonts w:hint="default"/>
                      <w:szCs w:val="21"/>
                      <w:lang w:eastAsia="en-US"/>
                    </w:rPr>
                  </w:pPr>
                  <w:r>
                    <w:rPr>
                      <w:rFonts w:hint="default"/>
                      <w:szCs w:val="21"/>
                      <w:lang w:eastAsia="en-US" w:bidi="ar"/>
                    </w:rPr>
                    <w:t>O</w:t>
                  </w:r>
                  <w:r>
                    <w:rPr>
                      <w:rFonts w:hint="default"/>
                      <w:szCs w:val="21"/>
                      <w:vertAlign w:val="subscript"/>
                      <w:lang w:eastAsia="en-US" w:bidi="ar"/>
                    </w:rPr>
                    <w:t>3</w:t>
                  </w:r>
                </w:p>
              </w:tc>
              <w:tc>
                <w:tcPr>
                  <w:tcW w:w="1217" w:type="pct"/>
                  <w:vAlign w:val="center"/>
                </w:tcPr>
                <w:p w14:paraId="612EE8D6">
                  <w:pPr>
                    <w:keepNext w:val="0"/>
                    <w:keepLines w:val="0"/>
                    <w:suppressLineNumbers w:val="0"/>
                    <w:autoSpaceDE w:val="0"/>
                    <w:autoSpaceDN w:val="0"/>
                    <w:adjustRightInd w:val="0"/>
                    <w:snapToGrid w:val="0"/>
                    <w:spacing w:before="0" w:beforeAutospacing="0" w:after="0" w:afterAutospacing="0"/>
                    <w:ind w:left="0" w:right="0"/>
                    <w:jc w:val="center"/>
                    <w:rPr>
                      <w:rFonts w:hint="default"/>
                      <w:szCs w:val="21"/>
                    </w:rPr>
                  </w:pPr>
                  <w:r>
                    <w:rPr>
                      <w:rFonts w:hint="default"/>
                      <w:szCs w:val="21"/>
                      <w:lang w:bidi="ar"/>
                    </w:rPr>
                    <w:t>第90百分位数最大8h平均浓度</w:t>
                  </w:r>
                </w:p>
              </w:tc>
              <w:tc>
                <w:tcPr>
                  <w:tcW w:w="820" w:type="pct"/>
                  <w:vAlign w:val="center"/>
                </w:tcPr>
                <w:p w14:paraId="0DCB19B0">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136</w:t>
                  </w:r>
                </w:p>
              </w:tc>
              <w:tc>
                <w:tcPr>
                  <w:tcW w:w="820" w:type="pct"/>
                  <w:vAlign w:val="center"/>
                </w:tcPr>
                <w:p w14:paraId="1FE76F1A">
                  <w:pPr>
                    <w:keepNext w:val="0"/>
                    <w:keepLines w:val="0"/>
                    <w:widowControl/>
                    <w:suppressLineNumbers w:val="0"/>
                    <w:spacing w:before="0" w:beforeAutospacing="0" w:after="0" w:afterAutospacing="0"/>
                    <w:ind w:left="0" w:right="0"/>
                    <w:jc w:val="center"/>
                    <w:textAlignment w:val="center"/>
                    <w:rPr>
                      <w:rFonts w:hint="default"/>
                      <w:szCs w:val="21"/>
                    </w:rPr>
                  </w:pPr>
                  <w:r>
                    <w:rPr>
                      <w:rFonts w:hint="default"/>
                      <w:kern w:val="0"/>
                      <w:szCs w:val="21"/>
                      <w:lang w:bidi="ar"/>
                    </w:rPr>
                    <w:t>160</w:t>
                  </w:r>
                </w:p>
              </w:tc>
              <w:tc>
                <w:tcPr>
                  <w:tcW w:w="893" w:type="pct"/>
                  <w:vAlign w:val="center"/>
                </w:tcPr>
                <w:p w14:paraId="4EE778A6">
                  <w:pPr>
                    <w:keepNext w:val="0"/>
                    <w:keepLines w:val="0"/>
                    <w:widowControl/>
                    <w:suppressLineNumbers w:val="0"/>
                    <w:spacing w:before="0" w:beforeAutospacing="0" w:after="0" w:afterAutospacing="0"/>
                    <w:ind w:left="0" w:right="0"/>
                    <w:jc w:val="center"/>
                    <w:textAlignment w:val="center"/>
                    <w:rPr>
                      <w:rFonts w:hint="default" w:eastAsia="宋体"/>
                      <w:szCs w:val="21"/>
                      <w:lang w:val="en-US" w:eastAsia="zh-CN"/>
                    </w:rPr>
                  </w:pPr>
                  <w:r>
                    <w:rPr>
                      <w:rFonts w:hint="eastAsia"/>
                      <w:szCs w:val="21"/>
                      <w:lang w:val="en-US" w:eastAsia="zh-CN"/>
                    </w:rPr>
                    <w:t>85</w:t>
                  </w:r>
                </w:p>
              </w:tc>
              <w:tc>
                <w:tcPr>
                  <w:tcW w:w="535" w:type="pct"/>
                  <w:vAlign w:val="center"/>
                </w:tcPr>
                <w:p w14:paraId="35C928A5">
                  <w:pPr>
                    <w:keepNext w:val="0"/>
                    <w:keepLines w:val="0"/>
                    <w:widowControl/>
                    <w:suppressLineNumbers w:val="0"/>
                    <w:spacing w:before="0" w:beforeAutospacing="0" w:after="0" w:afterAutospacing="0"/>
                    <w:ind w:left="0" w:right="0"/>
                    <w:jc w:val="center"/>
                    <w:textAlignment w:val="center"/>
                    <w:rPr>
                      <w:rFonts w:hint="default"/>
                      <w:szCs w:val="21"/>
                    </w:rPr>
                  </w:pPr>
                  <w:r>
                    <w:rPr>
                      <w:rFonts w:hint="default"/>
                      <w:kern w:val="0"/>
                      <w:szCs w:val="21"/>
                      <w:lang w:bidi="ar"/>
                    </w:rPr>
                    <w:t>达标</w:t>
                  </w:r>
                </w:p>
              </w:tc>
            </w:tr>
          </w:tbl>
          <w:p w14:paraId="38E0C58B">
            <w:pPr>
              <w:pStyle w:val="32"/>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ind w:left="0" w:right="0"/>
              <w:jc w:val="both"/>
              <w:textAlignment w:val="auto"/>
              <w:rPr>
                <w:rFonts w:hint="default" w:ascii="Times New Roman" w:hAnsi="Times New Roman" w:cs="Times New Roman"/>
                <w:szCs w:val="32"/>
              </w:rPr>
            </w:pPr>
            <w:r>
              <w:rPr>
                <w:rFonts w:hint="eastAsia" w:ascii="Times New Roman" w:hAnsi="Times New Roman" w:cs="Times New Roman"/>
                <w:szCs w:val="32"/>
                <w:lang w:val="en-US" w:eastAsia="zh-CN"/>
              </w:rPr>
              <w:t>由上表</w:t>
            </w:r>
            <w:r>
              <w:rPr>
                <w:rFonts w:hint="default" w:ascii="Times New Roman" w:hAnsi="Times New Roman" w:cs="Times New Roman"/>
                <w:szCs w:val="32"/>
              </w:rPr>
              <w:t>可以看出，项目所在区域PM</w:t>
            </w:r>
            <w:r>
              <w:rPr>
                <w:rFonts w:hint="default" w:ascii="Times New Roman" w:hAnsi="Times New Roman" w:cs="Times New Roman"/>
                <w:szCs w:val="32"/>
                <w:vertAlign w:val="subscript"/>
              </w:rPr>
              <w:t>10</w:t>
            </w:r>
            <w:r>
              <w:rPr>
                <w:rFonts w:hint="default" w:ascii="Times New Roman" w:hAnsi="Times New Roman" w:cs="Times New Roman"/>
                <w:szCs w:val="32"/>
              </w:rPr>
              <w:t>、SO</w:t>
            </w:r>
            <w:r>
              <w:rPr>
                <w:rFonts w:hint="default" w:ascii="Times New Roman" w:hAnsi="Times New Roman" w:cs="Times New Roman"/>
                <w:szCs w:val="32"/>
                <w:vertAlign w:val="subscript"/>
              </w:rPr>
              <w:t>2</w:t>
            </w:r>
            <w:r>
              <w:rPr>
                <w:rFonts w:hint="default" w:ascii="Times New Roman" w:hAnsi="Times New Roman" w:cs="Times New Roman"/>
                <w:szCs w:val="32"/>
              </w:rPr>
              <w:t>、NO</w:t>
            </w:r>
            <w:r>
              <w:rPr>
                <w:rFonts w:hint="default" w:ascii="Times New Roman" w:hAnsi="Times New Roman" w:cs="Times New Roman"/>
                <w:szCs w:val="32"/>
                <w:vertAlign w:val="subscript"/>
              </w:rPr>
              <w:t>2</w:t>
            </w:r>
            <w:r>
              <w:rPr>
                <w:rFonts w:hint="default" w:ascii="Times New Roman" w:hAnsi="Times New Roman" w:cs="Times New Roman"/>
                <w:szCs w:val="32"/>
              </w:rPr>
              <w:t>、CO、O</w:t>
            </w:r>
            <w:r>
              <w:rPr>
                <w:rFonts w:hint="default" w:ascii="Times New Roman" w:hAnsi="Times New Roman" w:cs="Times New Roman"/>
                <w:szCs w:val="32"/>
                <w:vertAlign w:val="subscript"/>
              </w:rPr>
              <w:t>3</w:t>
            </w:r>
            <w:r>
              <w:rPr>
                <w:rFonts w:hint="default" w:ascii="Times New Roman" w:hAnsi="Times New Roman" w:cs="Times New Roman"/>
                <w:szCs w:val="32"/>
              </w:rPr>
              <w:t>年平均浓度均可达到《环境空气质量标准》（GB3095-2012）中的二级标准要求，PM</w:t>
            </w:r>
            <w:r>
              <w:rPr>
                <w:rFonts w:hint="default" w:ascii="Times New Roman" w:hAnsi="Times New Roman" w:cs="Times New Roman"/>
                <w:szCs w:val="32"/>
                <w:vertAlign w:val="subscript"/>
              </w:rPr>
              <w:t>2.5</w:t>
            </w:r>
            <w:r>
              <w:rPr>
                <w:rFonts w:hint="default" w:ascii="Times New Roman" w:hAnsi="Times New Roman" w:cs="Times New Roman"/>
                <w:szCs w:val="32"/>
              </w:rPr>
              <w:t>年平均浓度超过《环境空气质量标准》（GB3095-2012）中的二级标准要求。</w:t>
            </w:r>
          </w:p>
          <w:p w14:paraId="061336AE">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cs="Times New Roman"/>
                <w:szCs w:val="32"/>
              </w:rPr>
            </w:pPr>
            <w:r>
              <w:rPr>
                <w:rFonts w:hint="eastAsia" w:ascii="Times New Roman" w:hAnsi="Times New Roman" w:cs="Times New Roman"/>
                <w:szCs w:val="32"/>
                <w:lang w:eastAsia="zh-CN"/>
              </w:rPr>
              <w:t>根据</w:t>
            </w:r>
            <w:r>
              <w:rPr>
                <w:rFonts w:hint="default" w:ascii="Times New Roman" w:hAnsi="Times New Roman" w:cs="Times New Roman"/>
                <w:szCs w:val="32"/>
              </w:rPr>
              <w:t>《岳阳市环境空气质量限期达标规划(2020-2026)》大气年度目标，到2023年，中心城区PM2.5年均浓度下降到38μg/m</w:t>
            </w:r>
            <w:r>
              <w:rPr>
                <w:rFonts w:hint="default" w:ascii="Times New Roman" w:hAnsi="Times New Roman" w:cs="Times New Roman"/>
                <w:szCs w:val="32"/>
                <w:vertAlign w:val="superscript"/>
              </w:rPr>
              <w:t>3</w:t>
            </w:r>
            <w:r>
              <w:rPr>
                <w:rFonts w:hint="default" w:ascii="Times New Roman" w:hAnsi="Times New Roman" w:cs="Times New Roman"/>
                <w:szCs w:val="32"/>
              </w:rPr>
              <w:t>以内，各县区PM2.5年均浓度达到国家空气质量二级标准；到2026年，全市二氧化硫、二氧化氮、臭氧、PM10、PM2.5和一氧化碳大气污染物的年统计浓度全部稳定达到国家空气质量二级标准。</w:t>
            </w:r>
          </w:p>
          <w:p w14:paraId="3DEA7E6A">
            <w:pPr>
              <w:pStyle w:val="3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default" w:ascii="Times New Roman" w:hAnsi="Times New Roman" w:cs="Times New Roman"/>
                <w:szCs w:val="32"/>
              </w:rPr>
            </w:pPr>
            <w:r>
              <w:rPr>
                <w:rFonts w:hint="default" w:ascii="Times New Roman" w:hAnsi="Times New Roman" w:cs="Times New Roman"/>
                <w:szCs w:val="32"/>
              </w:rPr>
              <w:t>根据岳阳市环境空气质量限期达标规划，当地政府加大环境治理力度，采取更为严格的大气防治手段，项目所在地区环境空气质量将得到持续改善。</w:t>
            </w:r>
          </w:p>
          <w:p w14:paraId="37124C43">
            <w:pPr>
              <w:keepNext w:val="0"/>
              <w:keepLines w:val="0"/>
              <w:widowControl/>
              <w:suppressLineNumbers w:val="0"/>
              <w:autoSpaceDE w:val="0"/>
              <w:autoSpaceDN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（2）特征污染物环境质量现状数据</w:t>
            </w:r>
          </w:p>
          <w:p w14:paraId="0CCD178B">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本项目其他特征污染物为颗粒物（TSP），为了解本项目特征因子颗粒物环境空气质量现状，本项目</w:t>
            </w:r>
            <w:r>
              <w:rPr>
                <w:rFonts w:hint="eastAsia" w:cs="Times New Roman"/>
                <w:color w:val="auto"/>
                <w:kern w:val="0"/>
                <w:sz w:val="24"/>
                <w:highlight w:val="none"/>
                <w:lang w:val="en-US" w:eastAsia="zh-CN"/>
              </w:rPr>
              <w:t>数据</w:t>
            </w:r>
            <w:r>
              <w:rPr>
                <w:rFonts w:hint="default" w:ascii="Times New Roman" w:hAnsi="Times New Roman" w:eastAsia="宋体" w:cs="Times New Roman"/>
                <w:color w:val="auto"/>
                <w:kern w:val="0"/>
                <w:sz w:val="24"/>
                <w:highlight w:val="none"/>
              </w:rPr>
              <w:t>引用《</w:t>
            </w:r>
            <w:r>
              <w:rPr>
                <w:rFonts w:hint="eastAsia" w:ascii="Times New Roman" w:hAnsi="Times New Roman" w:eastAsia="宋体" w:cs="Times New Roman"/>
                <w:color w:val="auto"/>
                <w:kern w:val="0"/>
                <w:sz w:val="24"/>
                <w:highlight w:val="none"/>
                <w:lang w:val="en-US" w:eastAsia="zh-CN"/>
              </w:rPr>
              <w:t>岳阳市君山区君山垸灌区续建配套与节水改造（2023-2025）项目环境影响评价报告书</w:t>
            </w:r>
            <w:r>
              <w:rPr>
                <w:rFonts w:hint="default" w:ascii="Times New Roman" w:hAnsi="Times New Roman" w:eastAsia="宋体" w:cs="Times New Roman"/>
                <w:color w:val="auto"/>
                <w:kern w:val="0"/>
                <w:sz w:val="24"/>
                <w:highlight w:val="none"/>
              </w:rPr>
              <w:t>》</w:t>
            </w:r>
            <w:r>
              <w:rPr>
                <w:rFonts w:hint="eastAsia" w:ascii="Times New Roman" w:hAnsi="Times New Roman" w:eastAsia="宋体" w:cs="Times New Roman"/>
                <w:color w:val="auto"/>
                <w:kern w:val="0"/>
                <w:sz w:val="24"/>
                <w:highlight w:val="none"/>
                <w:lang w:val="en-US" w:eastAsia="zh-CN"/>
              </w:rPr>
              <w:t>中A3监测点岳华村的</w:t>
            </w:r>
            <w:r>
              <w:rPr>
                <w:rFonts w:hint="default" w:ascii="Times New Roman" w:hAnsi="Times New Roman" w:eastAsia="宋体" w:cs="Times New Roman"/>
                <w:color w:val="auto"/>
                <w:kern w:val="0"/>
                <w:sz w:val="24"/>
                <w:highlight w:val="none"/>
              </w:rPr>
              <w:t>监测数据，</w:t>
            </w:r>
            <w:r>
              <w:rPr>
                <w:rFonts w:hint="eastAsia" w:cs="Times New Roman"/>
                <w:color w:val="auto"/>
                <w:kern w:val="0"/>
                <w:sz w:val="24"/>
                <w:highlight w:val="none"/>
                <w:lang w:val="en-US" w:eastAsia="zh-CN"/>
              </w:rPr>
              <w:t>岳华村监测点</w:t>
            </w:r>
            <w:r>
              <w:rPr>
                <w:rFonts w:hint="default" w:ascii="Times New Roman" w:hAnsi="Times New Roman" w:eastAsia="宋体" w:cs="Times New Roman"/>
                <w:color w:val="auto"/>
                <w:kern w:val="0"/>
                <w:sz w:val="24"/>
                <w:highlight w:val="none"/>
              </w:rPr>
              <w:t>在</w:t>
            </w:r>
            <w:r>
              <w:rPr>
                <w:rFonts w:hint="eastAsia" w:cs="Times New Roman"/>
                <w:color w:val="auto"/>
                <w:kern w:val="0"/>
                <w:sz w:val="24"/>
                <w:highlight w:val="none"/>
                <w:lang w:val="en-US" w:eastAsia="zh-CN"/>
              </w:rPr>
              <w:t>据</w:t>
            </w:r>
            <w:r>
              <w:rPr>
                <w:rFonts w:hint="default" w:ascii="Times New Roman" w:hAnsi="Times New Roman" w:eastAsia="宋体" w:cs="Times New Roman"/>
                <w:color w:val="auto"/>
                <w:kern w:val="0"/>
                <w:sz w:val="24"/>
                <w:highlight w:val="none"/>
              </w:rPr>
              <w:t>本项目</w:t>
            </w:r>
            <w:r>
              <w:rPr>
                <w:rFonts w:hint="eastAsia" w:cs="Times New Roman"/>
                <w:color w:val="auto"/>
                <w:kern w:val="0"/>
                <w:sz w:val="24"/>
                <w:highlight w:val="none"/>
                <w:lang w:val="en-US" w:eastAsia="zh-CN"/>
              </w:rPr>
              <w:t>约375m处</w:t>
            </w:r>
            <w:r>
              <w:rPr>
                <w:rFonts w:hint="default" w:ascii="Times New Roman" w:hAnsi="Times New Roman" w:eastAsia="宋体" w:cs="Times New Roman"/>
                <w:color w:val="auto"/>
                <w:kern w:val="0"/>
                <w:sz w:val="24"/>
                <w:highlight w:val="none"/>
              </w:rPr>
              <w:t>，因此</w:t>
            </w:r>
            <w:r>
              <w:rPr>
                <w:rFonts w:hint="eastAsia" w:cs="Times New Roman"/>
                <w:color w:val="auto"/>
                <w:kern w:val="0"/>
                <w:sz w:val="24"/>
                <w:highlight w:val="none"/>
                <w:lang w:val="en-US" w:eastAsia="zh-CN"/>
              </w:rPr>
              <w:t>该监测点位</w:t>
            </w:r>
            <w:r>
              <w:rPr>
                <w:rFonts w:hint="default" w:ascii="Times New Roman" w:hAnsi="Times New Roman" w:eastAsia="宋体" w:cs="Times New Roman"/>
                <w:color w:val="auto"/>
                <w:kern w:val="0"/>
                <w:sz w:val="24"/>
                <w:highlight w:val="none"/>
              </w:rPr>
              <w:t>数据可以满足项目评价要求。具体情况如下表：</w:t>
            </w:r>
          </w:p>
          <w:p w14:paraId="24B6ED5A">
            <w:pPr>
              <w:pStyle w:val="33"/>
              <w:keepNext w:val="0"/>
              <w:keepLines w:val="0"/>
              <w:numPr>
                <w:ilvl w:val="0"/>
                <w:numId w:val="18"/>
              </w:numPr>
              <w:suppressLineNumbers w:val="0"/>
              <w:spacing w:before="0" w:beforeAutospacing="0" w:after="0" w:afterAutospacing="0"/>
              <w:ind w:right="0" w:firstLineChars="0"/>
              <w:jc w:val="center"/>
              <w:rPr>
                <w:rFonts w:hint="default"/>
              </w:rPr>
            </w:pPr>
            <w:r>
              <w:rPr>
                <w:rFonts w:hint="eastAsia"/>
                <w:b/>
                <w:bCs/>
                <w:sz w:val="24"/>
                <w:lang w:val="en-US" w:eastAsia="zh-CN"/>
              </w:rPr>
              <w:t>大气监测布点情况一览表</w:t>
            </w:r>
          </w:p>
          <w:tbl>
            <w:tblPr>
              <w:tblStyle w:val="24"/>
              <w:tblW w:w="4994"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853"/>
              <w:gridCol w:w="1815"/>
              <w:gridCol w:w="1129"/>
              <w:gridCol w:w="594"/>
              <w:gridCol w:w="2177"/>
              <w:gridCol w:w="828"/>
            </w:tblGrid>
            <w:tr w14:paraId="3DF2B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7" w:type="pct"/>
                  <w:tcBorders>
                    <w:tl2br w:val="nil"/>
                    <w:tr2bl w:val="nil"/>
                  </w:tcBorders>
                  <w:shd w:val="clear" w:color="auto" w:fill="auto"/>
                  <w:vAlign w:val="center"/>
                </w:tcPr>
                <w:p w14:paraId="50408CEC">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556" w:type="pct"/>
                  <w:tcBorders>
                    <w:tl2br w:val="nil"/>
                    <w:tr2bl w:val="nil"/>
                  </w:tcBorders>
                  <w:shd w:val="clear" w:color="auto" w:fill="auto"/>
                  <w:vAlign w:val="center"/>
                </w:tcPr>
                <w:p w14:paraId="0CFBE99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1024" w:type="pct"/>
                  <w:tcBorders>
                    <w:tl2br w:val="nil"/>
                    <w:tr2bl w:val="nil"/>
                  </w:tcBorders>
                  <w:shd w:val="clear" w:color="auto" w:fill="auto"/>
                  <w:vAlign w:val="center"/>
                </w:tcPr>
                <w:p w14:paraId="7F622BDE">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经纬度</w:t>
                  </w:r>
                </w:p>
              </w:tc>
              <w:tc>
                <w:tcPr>
                  <w:tcW w:w="729" w:type="pct"/>
                  <w:tcBorders>
                    <w:tl2br w:val="nil"/>
                    <w:tr2bl w:val="nil"/>
                  </w:tcBorders>
                  <w:shd w:val="clear" w:color="auto" w:fill="auto"/>
                  <w:vAlign w:val="center"/>
                </w:tcPr>
                <w:p w14:paraId="34164DA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相对距离和</w:t>
                  </w:r>
                  <w:r>
                    <w:rPr>
                      <w:rFonts w:hint="default" w:ascii="Times New Roman" w:hAnsi="Times New Roman" w:eastAsia="宋体" w:cs="Times New Roman"/>
                      <w:b/>
                      <w:bCs/>
                      <w:color w:val="auto"/>
                      <w:sz w:val="21"/>
                      <w:szCs w:val="21"/>
                      <w:highlight w:val="none"/>
                      <w:lang w:val="en-US" w:eastAsia="zh-CN"/>
                    </w:rPr>
                    <w:t>方位</w:t>
                  </w:r>
                </w:p>
              </w:tc>
              <w:tc>
                <w:tcPr>
                  <w:tcW w:w="393" w:type="pct"/>
                  <w:tcBorders>
                    <w:tl2br w:val="nil"/>
                    <w:tr2bl w:val="nil"/>
                  </w:tcBorders>
                  <w:shd w:val="clear" w:color="auto" w:fill="auto"/>
                  <w:vAlign w:val="center"/>
                </w:tcPr>
                <w:p w14:paraId="1D477A9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监测因子</w:t>
                  </w:r>
                </w:p>
              </w:tc>
              <w:tc>
                <w:tcPr>
                  <w:tcW w:w="1388" w:type="pct"/>
                  <w:tcBorders>
                    <w:tl2br w:val="nil"/>
                    <w:tr2bl w:val="nil"/>
                  </w:tcBorders>
                  <w:shd w:val="clear" w:color="auto" w:fill="auto"/>
                  <w:vAlign w:val="center"/>
                </w:tcPr>
                <w:p w14:paraId="1340DD1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监测时间</w:t>
                  </w:r>
                </w:p>
              </w:tc>
              <w:tc>
                <w:tcPr>
                  <w:tcW w:w="540" w:type="pct"/>
                  <w:tcBorders>
                    <w:tl2br w:val="nil"/>
                    <w:tr2bl w:val="nil"/>
                  </w:tcBorders>
                  <w:shd w:val="clear" w:color="auto" w:fill="auto"/>
                  <w:vAlign w:val="center"/>
                </w:tcPr>
                <w:p w14:paraId="33EE5DCB">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r>
            <w:tr w14:paraId="54CAF2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7" w:type="pct"/>
                  <w:tcBorders>
                    <w:tl2br w:val="nil"/>
                    <w:tr2bl w:val="nil"/>
                  </w:tcBorders>
                  <w:shd w:val="clear" w:color="auto" w:fill="auto"/>
                  <w:vAlign w:val="center"/>
                </w:tcPr>
                <w:p w14:paraId="1999223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val="en-US" w:eastAsia="zh-CN"/>
                    </w:rPr>
                    <w:t>3</w:t>
                  </w:r>
                </w:p>
              </w:tc>
              <w:tc>
                <w:tcPr>
                  <w:tcW w:w="556" w:type="pct"/>
                  <w:tcBorders>
                    <w:tl2br w:val="nil"/>
                    <w:tr2bl w:val="nil"/>
                  </w:tcBorders>
                  <w:shd w:val="clear" w:color="auto" w:fill="auto"/>
                  <w:vAlign w:val="center"/>
                </w:tcPr>
                <w:p w14:paraId="7BB82FF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岳华村</w:t>
                  </w:r>
                </w:p>
              </w:tc>
              <w:tc>
                <w:tcPr>
                  <w:tcW w:w="1024" w:type="pct"/>
                  <w:tcBorders>
                    <w:tl2br w:val="nil"/>
                    <w:tr2bl w:val="nil"/>
                  </w:tcBorders>
                  <w:shd w:val="clear" w:color="auto" w:fill="auto"/>
                  <w:vAlign w:val="center"/>
                </w:tcPr>
                <w:p w14:paraId="0605D58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112.947618140°，29.445726113°</w:t>
                  </w:r>
                </w:p>
              </w:tc>
              <w:tc>
                <w:tcPr>
                  <w:tcW w:w="729" w:type="pct"/>
                  <w:tcBorders>
                    <w:tl2br w:val="nil"/>
                    <w:tr2bl w:val="nil"/>
                  </w:tcBorders>
                  <w:shd w:val="clear" w:color="auto" w:fill="auto"/>
                  <w:vAlign w:val="center"/>
                </w:tcPr>
                <w:p w14:paraId="15D0CD9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375m</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WN</w:t>
                  </w:r>
                </w:p>
              </w:tc>
              <w:tc>
                <w:tcPr>
                  <w:tcW w:w="393" w:type="pct"/>
                  <w:tcBorders>
                    <w:tl2br w:val="nil"/>
                    <w:tr2bl w:val="nil"/>
                  </w:tcBorders>
                  <w:shd w:val="clear" w:color="auto" w:fill="auto"/>
                  <w:vAlign w:val="center"/>
                </w:tcPr>
                <w:p w14:paraId="3538E58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TSP</w:t>
                  </w:r>
                </w:p>
              </w:tc>
              <w:tc>
                <w:tcPr>
                  <w:tcW w:w="1388" w:type="pct"/>
                  <w:tcBorders>
                    <w:tl2br w:val="nil"/>
                    <w:tr2bl w:val="nil"/>
                  </w:tcBorders>
                  <w:shd w:val="clear" w:color="auto" w:fill="auto"/>
                  <w:vAlign w:val="center"/>
                </w:tcPr>
                <w:p w14:paraId="5A9E20E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4.03.26</w:t>
                  </w: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04</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01</w:t>
                  </w:r>
                </w:p>
              </w:tc>
              <w:tc>
                <w:tcPr>
                  <w:tcW w:w="540" w:type="pct"/>
                  <w:tcBorders>
                    <w:tl2br w:val="nil"/>
                    <w:tr2bl w:val="nil"/>
                  </w:tcBorders>
                  <w:shd w:val="clear" w:color="auto" w:fill="auto"/>
                  <w:vAlign w:val="center"/>
                </w:tcPr>
                <w:p w14:paraId="6AFD43D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连续七天采样监测</w:t>
                  </w:r>
                  <w:r>
                    <w:rPr>
                      <w:rFonts w:hint="eastAsia" w:ascii="Times New Roman" w:hAnsi="Times New Roman" w:eastAsia="宋体" w:cs="Times New Roman"/>
                      <w:color w:val="auto"/>
                      <w:sz w:val="21"/>
                      <w:szCs w:val="21"/>
                      <w:highlight w:val="none"/>
                      <w:lang w:val="en-US" w:eastAsia="zh-CN"/>
                    </w:rPr>
                    <w:t>24h</w:t>
                  </w:r>
                  <w:r>
                    <w:rPr>
                      <w:rFonts w:hint="default" w:ascii="Times New Roman" w:hAnsi="Times New Roman" w:eastAsia="宋体" w:cs="Times New Roman"/>
                      <w:color w:val="auto"/>
                      <w:sz w:val="21"/>
                      <w:szCs w:val="21"/>
                      <w:highlight w:val="none"/>
                    </w:rPr>
                    <w:t>日均值</w:t>
                  </w:r>
                </w:p>
              </w:tc>
            </w:tr>
          </w:tbl>
          <w:p w14:paraId="58DD92EB">
            <w:pPr>
              <w:pStyle w:val="33"/>
              <w:keepNext w:val="0"/>
              <w:keepLines w:val="0"/>
              <w:numPr>
                <w:ilvl w:val="0"/>
                <w:numId w:val="18"/>
              </w:numPr>
              <w:suppressLineNumbers w:val="0"/>
              <w:spacing w:before="157" w:beforeLines="50" w:beforeAutospacing="0" w:after="0" w:afterAutospacing="0"/>
              <w:ind w:right="0" w:firstLineChars="0"/>
              <w:jc w:val="center"/>
              <w:rPr>
                <w:rFonts w:hint="default"/>
              </w:rPr>
            </w:pPr>
            <w:r>
              <w:rPr>
                <w:rFonts w:hint="eastAsia"/>
                <w:b/>
                <w:bCs/>
                <w:sz w:val="24"/>
                <w:lang w:val="en-US" w:eastAsia="zh-CN"/>
              </w:rPr>
              <w:t>TSP环境质量现状监测结果</w:t>
            </w:r>
          </w:p>
          <w:tbl>
            <w:tblPr>
              <w:tblStyle w:val="24"/>
              <w:tblW w:w="4996"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1109"/>
              <w:gridCol w:w="662"/>
              <w:gridCol w:w="1304"/>
              <w:gridCol w:w="1219"/>
              <w:gridCol w:w="974"/>
              <w:gridCol w:w="975"/>
              <w:gridCol w:w="939"/>
            </w:tblGrid>
            <w:tr w14:paraId="34AD8A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37" w:hRule="atLeast"/>
              </w:trPr>
              <w:tc>
                <w:tcPr>
                  <w:tcW w:w="486" w:type="pct"/>
                  <w:tcBorders>
                    <w:tl2br w:val="nil"/>
                    <w:tr2bl w:val="nil"/>
                  </w:tcBorders>
                  <w:shd w:val="clear" w:color="auto" w:fill="auto"/>
                  <w:vAlign w:val="center"/>
                </w:tcPr>
                <w:p w14:paraId="1DE4F0F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zh-CN"/>
                    </w:rPr>
                  </w:pPr>
                  <w:r>
                    <w:rPr>
                      <w:rFonts w:hint="default" w:ascii="Times New Roman" w:hAnsi="Times New Roman" w:eastAsia="宋体" w:cs="Times New Roman"/>
                      <w:b/>
                      <w:bCs/>
                      <w:color w:val="auto"/>
                      <w:kern w:val="0"/>
                      <w:sz w:val="21"/>
                      <w:szCs w:val="21"/>
                      <w:highlight w:val="none"/>
                    </w:rPr>
                    <w:t>测点序号</w:t>
                  </w:r>
                </w:p>
              </w:tc>
              <w:tc>
                <w:tcPr>
                  <w:tcW w:w="699" w:type="pct"/>
                  <w:tcBorders>
                    <w:tl2br w:val="nil"/>
                    <w:tr2bl w:val="nil"/>
                  </w:tcBorders>
                  <w:shd w:val="clear" w:color="auto" w:fill="auto"/>
                  <w:vAlign w:val="center"/>
                </w:tcPr>
                <w:p w14:paraId="3D227CC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zh-CN"/>
                    </w:rPr>
                  </w:pPr>
                  <w:r>
                    <w:rPr>
                      <w:rFonts w:hint="default" w:ascii="Times New Roman" w:hAnsi="Times New Roman" w:eastAsia="宋体" w:cs="Times New Roman"/>
                      <w:b/>
                      <w:bCs/>
                      <w:color w:val="auto"/>
                      <w:kern w:val="0"/>
                      <w:sz w:val="21"/>
                      <w:szCs w:val="21"/>
                      <w:highlight w:val="none"/>
                    </w:rPr>
                    <w:t>监测地点</w:t>
                  </w:r>
                </w:p>
              </w:tc>
              <w:tc>
                <w:tcPr>
                  <w:tcW w:w="418" w:type="pct"/>
                  <w:tcBorders>
                    <w:tl2br w:val="nil"/>
                    <w:tr2bl w:val="nil"/>
                  </w:tcBorders>
                  <w:shd w:val="clear" w:color="auto" w:fill="auto"/>
                  <w:vAlign w:val="center"/>
                </w:tcPr>
                <w:p w14:paraId="124B11D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zh-CN"/>
                    </w:rPr>
                  </w:pPr>
                  <w:r>
                    <w:rPr>
                      <w:rFonts w:hint="default" w:ascii="Times New Roman" w:hAnsi="Times New Roman" w:eastAsia="宋体" w:cs="Times New Roman"/>
                      <w:b/>
                      <w:bCs/>
                      <w:color w:val="auto"/>
                      <w:kern w:val="0"/>
                      <w:sz w:val="21"/>
                      <w:szCs w:val="21"/>
                      <w:highlight w:val="none"/>
                    </w:rPr>
                    <w:t>监测项</w:t>
                  </w:r>
                </w:p>
              </w:tc>
              <w:tc>
                <w:tcPr>
                  <w:tcW w:w="821" w:type="pct"/>
                  <w:tcBorders>
                    <w:tl2br w:val="nil"/>
                    <w:tr2bl w:val="nil"/>
                  </w:tcBorders>
                  <w:shd w:val="clear" w:color="auto" w:fill="auto"/>
                  <w:vAlign w:val="center"/>
                </w:tcPr>
                <w:p w14:paraId="4C5E772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lang w:val="zh-CN"/>
                    </w:rPr>
                  </w:pPr>
                  <w:r>
                    <w:rPr>
                      <w:rFonts w:hint="default" w:ascii="Times New Roman" w:hAnsi="Times New Roman" w:eastAsia="宋体" w:cs="Times New Roman"/>
                      <w:b/>
                      <w:bCs/>
                      <w:color w:val="auto"/>
                      <w:kern w:val="0"/>
                      <w:sz w:val="21"/>
                      <w:szCs w:val="21"/>
                      <w:highlight w:val="none"/>
                    </w:rPr>
                    <w:t>日均浓度范围（mg/m</w:t>
                  </w:r>
                  <w:r>
                    <w:rPr>
                      <w:rFonts w:hint="default" w:ascii="Times New Roman" w:hAnsi="Times New Roman" w:eastAsia="宋体" w:cs="Times New Roman"/>
                      <w:b/>
                      <w:bCs/>
                      <w:color w:val="auto"/>
                      <w:kern w:val="0"/>
                      <w:sz w:val="21"/>
                      <w:szCs w:val="21"/>
                      <w:highlight w:val="none"/>
                      <w:vertAlign w:val="superscript"/>
                    </w:rPr>
                    <w:t>3</w:t>
                  </w:r>
                  <w:r>
                    <w:rPr>
                      <w:rFonts w:hint="default" w:ascii="Times New Roman" w:hAnsi="Times New Roman" w:eastAsia="宋体" w:cs="Times New Roman"/>
                      <w:b/>
                      <w:bCs/>
                      <w:color w:val="auto"/>
                      <w:kern w:val="0"/>
                      <w:sz w:val="21"/>
                      <w:szCs w:val="21"/>
                      <w:highlight w:val="none"/>
                    </w:rPr>
                    <w:t>）</w:t>
                  </w:r>
                </w:p>
              </w:tc>
              <w:tc>
                <w:tcPr>
                  <w:tcW w:w="754" w:type="pct"/>
                  <w:tcBorders>
                    <w:tl2br w:val="nil"/>
                    <w:tr2bl w:val="nil"/>
                  </w:tcBorders>
                  <w:shd w:val="clear" w:color="auto" w:fill="auto"/>
                  <w:vAlign w:val="center"/>
                </w:tcPr>
                <w:p w14:paraId="773017E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标准值（mg/m</w:t>
                  </w:r>
                  <w:r>
                    <w:rPr>
                      <w:rFonts w:hint="default" w:ascii="Times New Roman" w:hAnsi="Times New Roman" w:eastAsia="宋体" w:cs="Times New Roman"/>
                      <w:b/>
                      <w:bCs/>
                      <w:color w:val="auto"/>
                      <w:kern w:val="0"/>
                      <w:sz w:val="21"/>
                      <w:szCs w:val="21"/>
                      <w:highlight w:val="none"/>
                      <w:vertAlign w:val="superscript"/>
                    </w:rPr>
                    <w:t>3</w:t>
                  </w:r>
                  <w:r>
                    <w:rPr>
                      <w:rFonts w:hint="default" w:ascii="Times New Roman" w:hAnsi="Times New Roman" w:eastAsia="宋体" w:cs="Times New Roman"/>
                      <w:b/>
                      <w:bCs/>
                      <w:color w:val="auto"/>
                      <w:kern w:val="0"/>
                      <w:sz w:val="21"/>
                      <w:szCs w:val="21"/>
                      <w:highlight w:val="none"/>
                    </w:rPr>
                    <w:t>）</w:t>
                  </w:r>
                </w:p>
              </w:tc>
              <w:tc>
                <w:tcPr>
                  <w:tcW w:w="614" w:type="pct"/>
                  <w:tcBorders>
                    <w:tl2br w:val="nil"/>
                    <w:tr2bl w:val="nil"/>
                  </w:tcBorders>
                  <w:shd w:val="clear" w:color="auto" w:fill="auto"/>
                  <w:vAlign w:val="center"/>
                </w:tcPr>
                <w:p w14:paraId="1D7C7A2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最大浓度占标率（%）</w:t>
                  </w:r>
                </w:p>
              </w:tc>
              <w:tc>
                <w:tcPr>
                  <w:tcW w:w="614" w:type="pct"/>
                  <w:tcBorders>
                    <w:tl2br w:val="nil"/>
                    <w:tr2bl w:val="nil"/>
                  </w:tcBorders>
                  <w:shd w:val="clear" w:color="auto" w:fill="auto"/>
                  <w:vAlign w:val="center"/>
                </w:tcPr>
                <w:p w14:paraId="5C84B14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超标率（%）</w:t>
                  </w:r>
                </w:p>
              </w:tc>
              <w:tc>
                <w:tcPr>
                  <w:tcW w:w="591" w:type="pct"/>
                  <w:tcBorders>
                    <w:tl2br w:val="nil"/>
                    <w:tr2bl w:val="nil"/>
                  </w:tcBorders>
                  <w:shd w:val="clear" w:color="auto" w:fill="auto"/>
                  <w:vAlign w:val="center"/>
                </w:tcPr>
                <w:p w14:paraId="55A923A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达标情况</w:t>
                  </w:r>
                </w:p>
              </w:tc>
            </w:tr>
            <w:tr w14:paraId="3885F4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486" w:type="pct"/>
                  <w:tcBorders>
                    <w:tl2br w:val="nil"/>
                    <w:tr2bl w:val="nil"/>
                  </w:tcBorders>
                  <w:shd w:val="clear" w:color="auto" w:fill="auto"/>
                  <w:vAlign w:val="center"/>
                </w:tcPr>
                <w:p w14:paraId="6170CDC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zh-CN" w:eastAsia="zh-CN"/>
                    </w:rPr>
                  </w:pPr>
                  <w:r>
                    <w:rPr>
                      <w:rFonts w:hint="default" w:ascii="Times New Roman" w:hAnsi="Times New Roman" w:eastAsia="宋体" w:cs="Times New Roman"/>
                      <w:color w:val="auto"/>
                      <w:kern w:val="0"/>
                      <w:sz w:val="21"/>
                      <w:szCs w:val="21"/>
                      <w:highlight w:val="none"/>
                    </w:rPr>
                    <w:t>A</w:t>
                  </w:r>
                  <w:r>
                    <w:rPr>
                      <w:rFonts w:hint="default" w:ascii="Times New Roman" w:hAnsi="Times New Roman" w:eastAsia="宋体" w:cs="Times New Roman"/>
                      <w:color w:val="auto"/>
                      <w:kern w:val="0"/>
                      <w:sz w:val="21"/>
                      <w:szCs w:val="21"/>
                      <w:highlight w:val="none"/>
                      <w:lang w:val="en-US" w:eastAsia="zh-CN"/>
                    </w:rPr>
                    <w:t>3</w:t>
                  </w:r>
                </w:p>
              </w:tc>
              <w:tc>
                <w:tcPr>
                  <w:tcW w:w="699" w:type="pct"/>
                  <w:tcBorders>
                    <w:tl2br w:val="nil"/>
                    <w:tr2bl w:val="nil"/>
                  </w:tcBorders>
                  <w:shd w:val="clear" w:color="auto" w:fill="auto"/>
                  <w:vAlign w:val="center"/>
                </w:tcPr>
                <w:p w14:paraId="367401D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zh-CN"/>
                    </w:rPr>
                  </w:pPr>
                  <w:r>
                    <w:rPr>
                      <w:rFonts w:hint="eastAsia" w:ascii="Times New Roman" w:hAnsi="Times New Roman" w:eastAsia="宋体" w:cs="Times New Roman"/>
                      <w:color w:val="auto"/>
                      <w:kern w:val="0"/>
                      <w:sz w:val="21"/>
                      <w:szCs w:val="21"/>
                      <w:highlight w:val="none"/>
                      <w:lang w:val="en-US" w:eastAsia="zh-CN"/>
                    </w:rPr>
                    <w:t>岳华村</w:t>
                  </w:r>
                </w:p>
              </w:tc>
              <w:tc>
                <w:tcPr>
                  <w:tcW w:w="418" w:type="pct"/>
                  <w:tcBorders>
                    <w:tl2br w:val="nil"/>
                    <w:tr2bl w:val="nil"/>
                  </w:tcBorders>
                  <w:shd w:val="clear" w:color="auto" w:fill="auto"/>
                  <w:vAlign w:val="center"/>
                </w:tcPr>
                <w:p w14:paraId="1C349E4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zh-CN"/>
                    </w:rPr>
                  </w:pPr>
                  <w:r>
                    <w:rPr>
                      <w:rFonts w:hint="default" w:ascii="Times New Roman" w:hAnsi="Times New Roman" w:eastAsia="宋体" w:cs="Times New Roman"/>
                      <w:color w:val="auto"/>
                      <w:kern w:val="0"/>
                      <w:sz w:val="21"/>
                      <w:szCs w:val="21"/>
                      <w:highlight w:val="none"/>
                    </w:rPr>
                    <w:t>TSP</w:t>
                  </w:r>
                </w:p>
              </w:tc>
              <w:tc>
                <w:tcPr>
                  <w:tcW w:w="821" w:type="pct"/>
                  <w:tcBorders>
                    <w:tl2br w:val="nil"/>
                    <w:tr2bl w:val="nil"/>
                  </w:tcBorders>
                  <w:shd w:val="clear" w:color="auto" w:fill="auto"/>
                  <w:vAlign w:val="center"/>
                </w:tcPr>
                <w:p w14:paraId="1068E31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0.</w:t>
                  </w:r>
                  <w:r>
                    <w:rPr>
                      <w:rFonts w:hint="default" w:ascii="Times New Roman" w:hAnsi="Times New Roman" w:eastAsia="宋体" w:cs="Times New Roman"/>
                      <w:color w:val="auto"/>
                      <w:kern w:val="0"/>
                      <w:sz w:val="21"/>
                      <w:szCs w:val="21"/>
                      <w:highlight w:val="none"/>
                      <w:lang w:val="en-US" w:eastAsia="zh-CN"/>
                    </w:rPr>
                    <w:t>125</w:t>
                  </w:r>
                  <w:r>
                    <w:rPr>
                      <w:rFonts w:hint="default" w:ascii="Times New Roman" w:hAnsi="Times New Roman" w:eastAsia="宋体" w:cs="Times New Roman"/>
                      <w:color w:val="auto"/>
                      <w:kern w:val="0"/>
                      <w:sz w:val="21"/>
                      <w:szCs w:val="21"/>
                      <w:highlight w:val="none"/>
                    </w:rPr>
                    <w:t>-0.</w:t>
                  </w:r>
                  <w:r>
                    <w:rPr>
                      <w:rFonts w:hint="default" w:ascii="Times New Roman" w:hAnsi="Times New Roman" w:eastAsia="宋体" w:cs="Times New Roman"/>
                      <w:color w:val="auto"/>
                      <w:kern w:val="0"/>
                      <w:sz w:val="21"/>
                      <w:szCs w:val="21"/>
                      <w:highlight w:val="none"/>
                      <w:lang w:val="en-US" w:eastAsia="zh-CN"/>
                    </w:rPr>
                    <w:t>143</w:t>
                  </w:r>
                </w:p>
              </w:tc>
              <w:tc>
                <w:tcPr>
                  <w:tcW w:w="754" w:type="pct"/>
                  <w:tcBorders>
                    <w:tl2br w:val="nil"/>
                    <w:tr2bl w:val="nil"/>
                  </w:tcBorders>
                  <w:shd w:val="clear" w:color="auto" w:fill="auto"/>
                  <w:vAlign w:val="center"/>
                </w:tcPr>
                <w:p w14:paraId="2F31FD4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0.3</w:t>
                  </w:r>
                </w:p>
              </w:tc>
              <w:tc>
                <w:tcPr>
                  <w:tcW w:w="614" w:type="pct"/>
                  <w:tcBorders>
                    <w:tl2br w:val="nil"/>
                    <w:tr2bl w:val="nil"/>
                  </w:tcBorders>
                  <w:shd w:val="clear" w:color="auto" w:fill="auto"/>
                  <w:vAlign w:val="center"/>
                </w:tcPr>
                <w:p w14:paraId="559F8FF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47.67</w:t>
                  </w:r>
                </w:p>
              </w:tc>
              <w:tc>
                <w:tcPr>
                  <w:tcW w:w="614" w:type="pct"/>
                  <w:tcBorders>
                    <w:tl2br w:val="nil"/>
                    <w:tr2bl w:val="nil"/>
                  </w:tcBorders>
                  <w:shd w:val="clear" w:color="auto" w:fill="auto"/>
                  <w:vAlign w:val="center"/>
                </w:tcPr>
                <w:p w14:paraId="04F53DB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w:t>
                  </w:r>
                </w:p>
              </w:tc>
              <w:tc>
                <w:tcPr>
                  <w:tcW w:w="591" w:type="pct"/>
                  <w:tcBorders>
                    <w:tl2br w:val="nil"/>
                    <w:tr2bl w:val="nil"/>
                  </w:tcBorders>
                  <w:shd w:val="clear" w:color="auto" w:fill="auto"/>
                  <w:vAlign w:val="center"/>
                </w:tcPr>
                <w:p w14:paraId="57C2BFE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达标</w:t>
                  </w:r>
                </w:p>
              </w:tc>
            </w:tr>
          </w:tbl>
          <w:p w14:paraId="382EECE4">
            <w:pPr>
              <w:pStyle w:val="32"/>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ind w:left="0" w:right="0"/>
              <w:jc w:val="both"/>
              <w:textAlignment w:val="auto"/>
              <w:rPr>
                <w:rFonts w:hint="eastAsia" w:ascii="Times New Roman" w:hAnsi="Times New Roman" w:cs="Times New Roman"/>
                <w:szCs w:val="32"/>
                <w:lang w:val="en-US" w:eastAsia="zh-CN"/>
              </w:rPr>
            </w:pPr>
            <w:r>
              <w:rPr>
                <w:rFonts w:hint="eastAsia" w:ascii="Times New Roman" w:hAnsi="Times New Roman" w:cs="Times New Roman"/>
                <w:color w:val="auto"/>
                <w:kern w:val="0"/>
                <w:sz w:val="24"/>
                <w:highlight w:val="none"/>
                <w:lang w:val="en-US" w:eastAsia="zh-CN"/>
              </w:rPr>
              <w:t>由</w:t>
            </w:r>
            <w:r>
              <w:rPr>
                <w:rFonts w:hint="default" w:ascii="Times New Roman" w:hAnsi="Times New Roman" w:eastAsia="宋体" w:cs="Times New Roman"/>
                <w:color w:val="auto"/>
                <w:kern w:val="0"/>
                <w:sz w:val="24"/>
                <w:highlight w:val="none"/>
              </w:rPr>
              <w:t>上表的结果可知，</w:t>
            </w:r>
            <w:r>
              <w:rPr>
                <w:rFonts w:hint="eastAsia" w:ascii="Times New Roman" w:hAnsi="Times New Roman" w:cs="Times New Roman"/>
                <w:color w:val="auto"/>
                <w:kern w:val="0"/>
                <w:sz w:val="24"/>
                <w:highlight w:val="none"/>
                <w:lang w:val="en-US" w:eastAsia="zh-CN"/>
              </w:rPr>
              <w:t>本项目所在区域</w:t>
            </w:r>
            <w:r>
              <w:rPr>
                <w:rFonts w:hint="default" w:ascii="Times New Roman" w:hAnsi="Times New Roman" w:eastAsia="宋体" w:cs="Times New Roman"/>
                <w:color w:val="auto"/>
                <w:kern w:val="0"/>
                <w:sz w:val="24"/>
                <w:highlight w:val="none"/>
              </w:rPr>
              <w:t>TSP日均值浓度符合《环境空气质量标准》（GB 3095-2012）二级标准。</w:t>
            </w:r>
          </w:p>
          <w:p w14:paraId="549ED141">
            <w:pPr>
              <w:keepNext w:val="0"/>
              <w:keepLines w:val="0"/>
              <w:suppressLineNumbers w:val="0"/>
              <w:adjustRightInd w:val="0"/>
              <w:snapToGrid w:val="0"/>
              <w:spacing w:before="0" w:beforeAutospacing="0" w:after="0" w:afterAutospacing="0" w:line="360" w:lineRule="auto"/>
              <w:ind w:left="0" w:right="0"/>
              <w:rPr>
                <w:rFonts w:hint="default"/>
                <w:b/>
                <w:sz w:val="28"/>
                <w:szCs w:val="28"/>
              </w:rPr>
            </w:pPr>
            <w:r>
              <w:rPr>
                <w:rFonts w:hint="default"/>
                <w:b/>
                <w:bCs/>
                <w:spacing w:val="-10"/>
                <w:sz w:val="28"/>
                <w:szCs w:val="28"/>
              </w:rPr>
              <w:t>2、地表水环境</w:t>
            </w:r>
            <w:r>
              <w:rPr>
                <w:rFonts w:hint="default"/>
                <w:b/>
                <w:sz w:val="28"/>
                <w:szCs w:val="28"/>
              </w:rPr>
              <w:t>质量现状</w:t>
            </w:r>
          </w:p>
          <w:p w14:paraId="6BADBB7C">
            <w:pPr>
              <w:keepNext w:val="0"/>
              <w:keepLines w:val="0"/>
              <w:suppressLineNumbers w:val="0"/>
              <w:spacing w:before="0" w:beforeLines="0" w:beforeAutospacing="0" w:after="0" w:afterAutospacing="0" w:line="360" w:lineRule="auto"/>
              <w:ind w:left="0" w:right="0" w:firstLine="505"/>
              <w:rPr>
                <w:rFonts w:hint="eastAsia"/>
                <w:sz w:val="24"/>
                <w:lang w:val="en-US" w:eastAsia="zh-CN"/>
              </w:rPr>
            </w:pPr>
            <w:r>
              <w:rPr>
                <w:rFonts w:hint="default"/>
                <w:sz w:val="24"/>
                <w:highlight w:val="none"/>
              </w:rPr>
              <w:t>根据</w:t>
            </w:r>
            <w:r>
              <w:rPr>
                <w:rFonts w:hint="default"/>
                <w:sz w:val="24"/>
                <w:highlight w:val="none"/>
                <w:lang w:val="en-US" w:eastAsia="zh-CN"/>
              </w:rPr>
              <w:t>湖南省生态环境厅</w:t>
            </w:r>
            <w:r>
              <w:rPr>
                <w:rFonts w:hint="eastAsia"/>
                <w:sz w:val="24"/>
                <w:highlight w:val="none"/>
                <w:lang w:val="en-US" w:eastAsia="zh-CN"/>
              </w:rPr>
              <w:t>发布的2024年1月至12月全省环境质量状况</w:t>
            </w:r>
            <w:r>
              <w:rPr>
                <w:rFonts w:hint="default"/>
                <w:sz w:val="24"/>
                <w:highlight w:val="none"/>
              </w:rPr>
              <w:t>可知，202</w:t>
            </w:r>
            <w:r>
              <w:rPr>
                <w:rFonts w:hint="eastAsia"/>
                <w:sz w:val="24"/>
                <w:highlight w:val="none"/>
                <w:lang w:val="en-US" w:eastAsia="zh-CN"/>
              </w:rPr>
              <w:t>4</w:t>
            </w:r>
            <w:r>
              <w:rPr>
                <w:rFonts w:hint="default"/>
                <w:sz w:val="24"/>
                <w:highlight w:val="none"/>
              </w:rPr>
              <w:t>年</w:t>
            </w:r>
            <w:r>
              <w:rPr>
                <w:rFonts w:hint="eastAsia"/>
                <w:sz w:val="24"/>
                <w:highlight w:val="none"/>
                <w:lang w:val="en-US" w:eastAsia="zh-CN"/>
              </w:rPr>
              <w:t>全省国家地表水考核断面水质总体为优，省考地表水考核断面水质总体为优。本项目收集湖南省生态环境厅发布的2024年1月~12月长江湖南段国控城陵矶断面及省控君山长江取水口水质状况数据。具体情况见下表。</w:t>
            </w:r>
          </w:p>
          <w:p w14:paraId="50B7C0F5">
            <w:pPr>
              <w:pStyle w:val="33"/>
              <w:keepNext w:val="0"/>
              <w:keepLines w:val="0"/>
              <w:numPr>
                <w:ilvl w:val="0"/>
                <w:numId w:val="18"/>
              </w:numPr>
              <w:suppressLineNumbers w:val="0"/>
              <w:spacing w:before="0" w:beforeLines="0" w:beforeAutospacing="0" w:after="0" w:afterAutospacing="0"/>
              <w:ind w:right="0"/>
              <w:jc w:val="center"/>
              <w:rPr>
                <w:rFonts w:hint="eastAsia"/>
                <w:b/>
                <w:bCs/>
                <w:sz w:val="24"/>
                <w:lang w:val="en-US" w:eastAsia="zh-CN"/>
              </w:rPr>
            </w:pPr>
            <w:r>
              <w:rPr>
                <w:rFonts w:hint="eastAsia"/>
                <w:b/>
                <w:bCs/>
                <w:sz w:val="24"/>
                <w:lang w:val="en-US" w:eastAsia="zh-CN"/>
              </w:rPr>
              <w:t>2024年长江湖南段城陵矶断面、君山长江取水口断面监测数据</w:t>
            </w:r>
          </w:p>
          <w:tbl>
            <w:tblPr>
              <w:tblStyle w:val="25"/>
              <w:tblW w:w="5000"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56"/>
              <w:gridCol w:w="445"/>
              <w:gridCol w:w="445"/>
              <w:gridCol w:w="473"/>
              <w:gridCol w:w="499"/>
              <w:gridCol w:w="427"/>
              <w:gridCol w:w="445"/>
              <w:gridCol w:w="437"/>
              <w:gridCol w:w="446"/>
              <w:gridCol w:w="438"/>
              <w:gridCol w:w="465"/>
              <w:gridCol w:w="464"/>
              <w:gridCol w:w="456"/>
              <w:gridCol w:w="551"/>
              <w:gridCol w:w="711"/>
            </w:tblGrid>
            <w:tr w14:paraId="6B99D5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8" w:type="pct"/>
                  <w:tcBorders>
                    <w:tl2br w:val="nil"/>
                    <w:tr2bl w:val="nil"/>
                  </w:tcBorders>
                  <w:vAlign w:val="center"/>
                </w:tcPr>
                <w:p w14:paraId="672B67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断面</w:t>
                  </w:r>
                </w:p>
              </w:tc>
              <w:tc>
                <w:tcPr>
                  <w:tcW w:w="279" w:type="pct"/>
                  <w:tcBorders>
                    <w:tl2br w:val="nil"/>
                    <w:tr2bl w:val="nil"/>
                  </w:tcBorders>
                  <w:vAlign w:val="center"/>
                </w:tcPr>
                <w:p w14:paraId="6F685E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1月</w:t>
                  </w:r>
                </w:p>
              </w:tc>
              <w:tc>
                <w:tcPr>
                  <w:tcW w:w="279" w:type="pct"/>
                  <w:tcBorders>
                    <w:tl2br w:val="nil"/>
                    <w:tr2bl w:val="nil"/>
                  </w:tcBorders>
                  <w:vAlign w:val="center"/>
                </w:tcPr>
                <w:p w14:paraId="67CD58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2月</w:t>
                  </w:r>
                </w:p>
              </w:tc>
              <w:tc>
                <w:tcPr>
                  <w:tcW w:w="297" w:type="pct"/>
                  <w:tcBorders>
                    <w:tl2br w:val="nil"/>
                    <w:tr2bl w:val="nil"/>
                  </w:tcBorders>
                  <w:vAlign w:val="center"/>
                </w:tcPr>
                <w:p w14:paraId="3EA08A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3月</w:t>
                  </w:r>
                </w:p>
              </w:tc>
              <w:tc>
                <w:tcPr>
                  <w:tcW w:w="313" w:type="pct"/>
                  <w:tcBorders>
                    <w:tl2br w:val="nil"/>
                    <w:tr2bl w:val="nil"/>
                  </w:tcBorders>
                  <w:vAlign w:val="center"/>
                </w:tcPr>
                <w:p w14:paraId="2C23BB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4月</w:t>
                  </w:r>
                </w:p>
              </w:tc>
              <w:tc>
                <w:tcPr>
                  <w:tcW w:w="268" w:type="pct"/>
                  <w:tcBorders>
                    <w:tl2br w:val="nil"/>
                    <w:tr2bl w:val="nil"/>
                  </w:tcBorders>
                  <w:vAlign w:val="center"/>
                </w:tcPr>
                <w:p w14:paraId="7EE86F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5月</w:t>
                  </w:r>
                </w:p>
              </w:tc>
              <w:tc>
                <w:tcPr>
                  <w:tcW w:w="279" w:type="pct"/>
                  <w:tcBorders>
                    <w:tl2br w:val="nil"/>
                    <w:tr2bl w:val="nil"/>
                  </w:tcBorders>
                  <w:vAlign w:val="center"/>
                </w:tcPr>
                <w:p w14:paraId="2BF659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6月</w:t>
                  </w:r>
                </w:p>
              </w:tc>
              <w:tc>
                <w:tcPr>
                  <w:tcW w:w="274" w:type="pct"/>
                  <w:tcBorders>
                    <w:tl2br w:val="nil"/>
                    <w:tr2bl w:val="nil"/>
                  </w:tcBorders>
                  <w:vAlign w:val="center"/>
                </w:tcPr>
                <w:p w14:paraId="0C0BCC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7月</w:t>
                  </w:r>
                </w:p>
              </w:tc>
              <w:tc>
                <w:tcPr>
                  <w:tcW w:w="280" w:type="pct"/>
                  <w:tcBorders>
                    <w:tl2br w:val="nil"/>
                    <w:tr2bl w:val="nil"/>
                  </w:tcBorders>
                  <w:vAlign w:val="center"/>
                </w:tcPr>
                <w:p w14:paraId="0D3F65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8月</w:t>
                  </w:r>
                </w:p>
              </w:tc>
              <w:tc>
                <w:tcPr>
                  <w:tcW w:w="275" w:type="pct"/>
                  <w:tcBorders>
                    <w:tl2br w:val="nil"/>
                    <w:tr2bl w:val="nil"/>
                  </w:tcBorders>
                  <w:vAlign w:val="center"/>
                </w:tcPr>
                <w:p w14:paraId="23A498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9月</w:t>
                  </w:r>
                </w:p>
              </w:tc>
              <w:tc>
                <w:tcPr>
                  <w:tcW w:w="292" w:type="pct"/>
                  <w:tcBorders>
                    <w:tl2br w:val="nil"/>
                    <w:tr2bl w:val="nil"/>
                  </w:tcBorders>
                  <w:vAlign w:val="center"/>
                </w:tcPr>
                <w:p w14:paraId="390ADD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10月</w:t>
                  </w:r>
                </w:p>
              </w:tc>
              <w:tc>
                <w:tcPr>
                  <w:tcW w:w="291" w:type="pct"/>
                  <w:tcBorders>
                    <w:tl2br w:val="nil"/>
                    <w:tr2bl w:val="nil"/>
                  </w:tcBorders>
                  <w:vAlign w:val="center"/>
                </w:tcPr>
                <w:p w14:paraId="7244B5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11月</w:t>
                  </w:r>
                </w:p>
              </w:tc>
              <w:tc>
                <w:tcPr>
                  <w:tcW w:w="286" w:type="pct"/>
                  <w:tcBorders>
                    <w:tl2br w:val="nil"/>
                    <w:tr2bl w:val="nil"/>
                  </w:tcBorders>
                  <w:vAlign w:val="center"/>
                </w:tcPr>
                <w:p w14:paraId="132F16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12月</w:t>
                  </w:r>
                </w:p>
              </w:tc>
              <w:tc>
                <w:tcPr>
                  <w:tcW w:w="346" w:type="pct"/>
                  <w:tcBorders>
                    <w:tl2br w:val="nil"/>
                    <w:tr2bl w:val="nil"/>
                  </w:tcBorders>
                  <w:vAlign w:val="center"/>
                </w:tcPr>
                <w:p w14:paraId="442558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标准值</w:t>
                  </w:r>
                </w:p>
              </w:tc>
              <w:tc>
                <w:tcPr>
                  <w:tcW w:w="446" w:type="pct"/>
                  <w:tcBorders>
                    <w:tl2br w:val="nil"/>
                    <w:tr2bl w:val="nil"/>
                  </w:tcBorders>
                  <w:vAlign w:val="center"/>
                </w:tcPr>
                <w:p w14:paraId="6201A1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eastAsia"/>
                      <w:b/>
                      <w:bCs/>
                      <w:sz w:val="21"/>
                      <w:szCs w:val="21"/>
                      <w:lang w:val="en-US" w:eastAsia="zh-CN"/>
                    </w:rPr>
                    <w:t>达标情况</w:t>
                  </w:r>
                </w:p>
              </w:tc>
            </w:tr>
            <w:tr w14:paraId="3CCE41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8" w:type="pct"/>
                  <w:tcBorders>
                    <w:tl2br w:val="nil"/>
                    <w:tr2bl w:val="nil"/>
                  </w:tcBorders>
                  <w:vAlign w:val="center"/>
                </w:tcPr>
                <w:p w14:paraId="298C65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城陵矶（国控）</w:t>
                  </w:r>
                </w:p>
              </w:tc>
              <w:tc>
                <w:tcPr>
                  <w:tcW w:w="279" w:type="pct"/>
                  <w:tcBorders>
                    <w:tl2br w:val="nil"/>
                    <w:tr2bl w:val="nil"/>
                  </w:tcBorders>
                  <w:vAlign w:val="center"/>
                </w:tcPr>
                <w:p w14:paraId="18866E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79" w:type="pct"/>
                  <w:tcBorders>
                    <w:tl2br w:val="nil"/>
                    <w:tr2bl w:val="nil"/>
                  </w:tcBorders>
                  <w:vAlign w:val="center"/>
                </w:tcPr>
                <w:p w14:paraId="36B305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97" w:type="pct"/>
                  <w:tcBorders>
                    <w:tl2br w:val="nil"/>
                    <w:tr2bl w:val="nil"/>
                  </w:tcBorders>
                  <w:vAlign w:val="center"/>
                </w:tcPr>
                <w:p w14:paraId="5EBFCA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313" w:type="pct"/>
                  <w:tcBorders>
                    <w:tl2br w:val="nil"/>
                    <w:tr2bl w:val="nil"/>
                  </w:tcBorders>
                  <w:vAlign w:val="center"/>
                </w:tcPr>
                <w:p w14:paraId="3DB82D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68" w:type="pct"/>
                  <w:tcBorders>
                    <w:tl2br w:val="nil"/>
                    <w:tr2bl w:val="nil"/>
                  </w:tcBorders>
                  <w:vAlign w:val="center"/>
                </w:tcPr>
                <w:p w14:paraId="17CC25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79" w:type="pct"/>
                  <w:tcBorders>
                    <w:tl2br w:val="nil"/>
                    <w:tr2bl w:val="nil"/>
                  </w:tcBorders>
                  <w:vAlign w:val="center"/>
                </w:tcPr>
                <w:p w14:paraId="6B8BB3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Ⅲ</w:t>
                  </w:r>
                </w:p>
              </w:tc>
              <w:tc>
                <w:tcPr>
                  <w:tcW w:w="274" w:type="pct"/>
                  <w:tcBorders>
                    <w:tl2br w:val="nil"/>
                    <w:tr2bl w:val="nil"/>
                  </w:tcBorders>
                  <w:vAlign w:val="center"/>
                </w:tcPr>
                <w:p w14:paraId="5682E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Ⅲ</w:t>
                  </w:r>
                </w:p>
              </w:tc>
              <w:tc>
                <w:tcPr>
                  <w:tcW w:w="280" w:type="pct"/>
                  <w:tcBorders>
                    <w:tl2br w:val="nil"/>
                    <w:tr2bl w:val="nil"/>
                  </w:tcBorders>
                  <w:vAlign w:val="center"/>
                </w:tcPr>
                <w:p w14:paraId="09D99D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75" w:type="pct"/>
                  <w:tcBorders>
                    <w:tl2br w:val="nil"/>
                    <w:tr2bl w:val="nil"/>
                  </w:tcBorders>
                  <w:vAlign w:val="center"/>
                </w:tcPr>
                <w:p w14:paraId="368678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92" w:type="pct"/>
                  <w:tcBorders>
                    <w:tl2br w:val="nil"/>
                    <w:tr2bl w:val="nil"/>
                  </w:tcBorders>
                  <w:vAlign w:val="center"/>
                </w:tcPr>
                <w:p w14:paraId="58023D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91" w:type="pct"/>
                  <w:tcBorders>
                    <w:tl2br w:val="nil"/>
                    <w:tr2bl w:val="nil"/>
                  </w:tcBorders>
                  <w:vAlign w:val="center"/>
                </w:tcPr>
                <w:p w14:paraId="43AE8D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286" w:type="pct"/>
                  <w:tcBorders>
                    <w:tl2br w:val="nil"/>
                    <w:tr2bl w:val="nil"/>
                  </w:tcBorders>
                  <w:vAlign w:val="center"/>
                </w:tcPr>
                <w:p w14:paraId="174A50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346" w:type="pct"/>
                  <w:tcBorders>
                    <w:tl2br w:val="nil"/>
                    <w:tr2bl w:val="nil"/>
                  </w:tcBorders>
                  <w:vAlign w:val="center"/>
                </w:tcPr>
                <w:p w14:paraId="0E0640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Ⅲ</w:t>
                  </w:r>
                </w:p>
              </w:tc>
              <w:tc>
                <w:tcPr>
                  <w:tcW w:w="446" w:type="pct"/>
                  <w:tcBorders>
                    <w:tl2br w:val="nil"/>
                    <w:tr2bl w:val="nil"/>
                  </w:tcBorders>
                  <w:vAlign w:val="center"/>
                </w:tcPr>
                <w:p w14:paraId="6509B2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达标</w:t>
                  </w:r>
                </w:p>
              </w:tc>
            </w:tr>
            <w:tr w14:paraId="057C9D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8" w:type="pct"/>
                  <w:tcBorders>
                    <w:tl2br w:val="nil"/>
                    <w:tr2bl w:val="nil"/>
                  </w:tcBorders>
                  <w:vAlign w:val="center"/>
                </w:tcPr>
                <w:p w14:paraId="427E6C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君山长江取水口（省控）</w:t>
                  </w:r>
                </w:p>
              </w:tc>
              <w:tc>
                <w:tcPr>
                  <w:tcW w:w="279" w:type="pct"/>
                  <w:tcBorders>
                    <w:tl2br w:val="nil"/>
                    <w:tr2bl w:val="nil"/>
                  </w:tcBorders>
                  <w:shd w:val="clear" w:color="auto" w:fill="auto"/>
                  <w:vAlign w:val="center"/>
                </w:tcPr>
                <w:p w14:paraId="6556EA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79" w:type="pct"/>
                  <w:tcBorders>
                    <w:tl2br w:val="nil"/>
                    <w:tr2bl w:val="nil"/>
                  </w:tcBorders>
                  <w:shd w:val="clear" w:color="auto" w:fill="auto"/>
                  <w:vAlign w:val="center"/>
                </w:tcPr>
                <w:p w14:paraId="27407B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97" w:type="pct"/>
                  <w:tcBorders>
                    <w:tl2br w:val="nil"/>
                    <w:tr2bl w:val="nil"/>
                  </w:tcBorders>
                  <w:shd w:val="clear" w:color="auto" w:fill="auto"/>
                  <w:vAlign w:val="center"/>
                </w:tcPr>
                <w:p w14:paraId="4BAFE5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313" w:type="pct"/>
                  <w:tcBorders>
                    <w:tl2br w:val="nil"/>
                    <w:tr2bl w:val="nil"/>
                  </w:tcBorders>
                  <w:shd w:val="clear" w:color="auto" w:fill="auto"/>
                  <w:vAlign w:val="center"/>
                </w:tcPr>
                <w:p w14:paraId="37C55D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68" w:type="pct"/>
                  <w:tcBorders>
                    <w:tl2br w:val="nil"/>
                    <w:tr2bl w:val="nil"/>
                  </w:tcBorders>
                  <w:shd w:val="clear" w:color="auto" w:fill="auto"/>
                  <w:vAlign w:val="center"/>
                </w:tcPr>
                <w:p w14:paraId="489210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79" w:type="pct"/>
                  <w:tcBorders>
                    <w:tl2br w:val="nil"/>
                    <w:tr2bl w:val="nil"/>
                  </w:tcBorders>
                  <w:shd w:val="clear" w:color="auto" w:fill="auto"/>
                  <w:vAlign w:val="center"/>
                </w:tcPr>
                <w:p w14:paraId="16CD8B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74" w:type="pct"/>
                  <w:tcBorders>
                    <w:tl2br w:val="nil"/>
                    <w:tr2bl w:val="nil"/>
                  </w:tcBorders>
                  <w:shd w:val="clear" w:color="auto" w:fill="auto"/>
                  <w:vAlign w:val="center"/>
                </w:tcPr>
                <w:p w14:paraId="37F699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80" w:type="pct"/>
                  <w:tcBorders>
                    <w:tl2br w:val="nil"/>
                    <w:tr2bl w:val="nil"/>
                  </w:tcBorders>
                  <w:shd w:val="clear" w:color="auto" w:fill="auto"/>
                  <w:vAlign w:val="center"/>
                </w:tcPr>
                <w:p w14:paraId="5F3B16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75" w:type="pct"/>
                  <w:tcBorders>
                    <w:tl2br w:val="nil"/>
                    <w:tr2bl w:val="nil"/>
                  </w:tcBorders>
                  <w:shd w:val="clear" w:color="auto" w:fill="auto"/>
                  <w:vAlign w:val="center"/>
                </w:tcPr>
                <w:p w14:paraId="737D55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92" w:type="pct"/>
                  <w:tcBorders>
                    <w:tl2br w:val="nil"/>
                    <w:tr2bl w:val="nil"/>
                  </w:tcBorders>
                  <w:shd w:val="clear" w:color="auto" w:fill="auto"/>
                  <w:vAlign w:val="center"/>
                </w:tcPr>
                <w:p w14:paraId="6E258A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91" w:type="pct"/>
                  <w:tcBorders>
                    <w:tl2br w:val="nil"/>
                    <w:tr2bl w:val="nil"/>
                  </w:tcBorders>
                  <w:shd w:val="clear" w:color="auto" w:fill="auto"/>
                  <w:vAlign w:val="center"/>
                </w:tcPr>
                <w:p w14:paraId="751EA8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286" w:type="pct"/>
                  <w:tcBorders>
                    <w:tl2br w:val="nil"/>
                    <w:tr2bl w:val="nil"/>
                  </w:tcBorders>
                  <w:shd w:val="clear" w:color="auto" w:fill="auto"/>
                  <w:vAlign w:val="center"/>
                </w:tcPr>
                <w:p w14:paraId="322B1A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sz w:val="21"/>
                      <w:szCs w:val="21"/>
                      <w:lang w:val="en-US" w:eastAsia="zh-CN"/>
                    </w:rPr>
                    <w:t>Ⅱ</w:t>
                  </w:r>
                </w:p>
              </w:tc>
              <w:tc>
                <w:tcPr>
                  <w:tcW w:w="346" w:type="pct"/>
                  <w:tcBorders>
                    <w:tl2br w:val="nil"/>
                    <w:tr2bl w:val="nil"/>
                  </w:tcBorders>
                  <w:vAlign w:val="center"/>
                </w:tcPr>
                <w:p w14:paraId="1E20E2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Ⅱ</w:t>
                  </w:r>
                </w:p>
              </w:tc>
              <w:tc>
                <w:tcPr>
                  <w:tcW w:w="446" w:type="pct"/>
                  <w:tcBorders>
                    <w:tl2br w:val="nil"/>
                    <w:tr2bl w:val="nil"/>
                  </w:tcBorders>
                  <w:vAlign w:val="center"/>
                </w:tcPr>
                <w:p w14:paraId="190998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达标</w:t>
                  </w:r>
                </w:p>
              </w:tc>
            </w:tr>
          </w:tbl>
          <w:p w14:paraId="39DE71A3">
            <w:pPr>
              <w:keepNext w:val="0"/>
              <w:keepLines w:val="0"/>
              <w:suppressLineNumbers w:val="0"/>
              <w:spacing w:before="157" w:beforeLines="50" w:beforeAutospacing="0" w:after="0" w:afterAutospacing="0" w:line="360" w:lineRule="auto"/>
              <w:ind w:left="0" w:right="0" w:firstLine="480" w:firstLineChars="200"/>
              <w:rPr>
                <w:rFonts w:hint="default"/>
                <w:sz w:val="24"/>
              </w:rPr>
            </w:pPr>
            <w:r>
              <w:rPr>
                <w:rFonts w:hint="default"/>
                <w:sz w:val="24"/>
                <w:lang w:val="en-US" w:eastAsia="zh-CN"/>
              </w:rPr>
              <w:t>由上表可知，长江湖南</w:t>
            </w:r>
            <w:r>
              <w:rPr>
                <w:rFonts w:hint="eastAsia"/>
                <w:sz w:val="24"/>
                <w:lang w:val="en-US" w:eastAsia="zh-CN"/>
              </w:rPr>
              <w:t>段</w:t>
            </w:r>
            <w:r>
              <w:rPr>
                <w:rFonts w:hint="default"/>
                <w:sz w:val="24"/>
                <w:lang w:val="en-US" w:eastAsia="zh-CN"/>
              </w:rPr>
              <w:t>城陵矶监测断面满足《地表水环境质量标准》（GB3838-2002）中Ⅲ类标准要求，君山长江取水口</w:t>
            </w:r>
            <w:r>
              <w:rPr>
                <w:rFonts w:hint="eastAsia"/>
                <w:sz w:val="24"/>
                <w:lang w:val="en-US" w:eastAsia="zh-CN"/>
              </w:rPr>
              <w:t>监测断面满足</w:t>
            </w:r>
            <w:r>
              <w:rPr>
                <w:rFonts w:hint="default"/>
                <w:sz w:val="24"/>
                <w:lang w:val="en-US" w:eastAsia="zh-CN"/>
              </w:rPr>
              <w:t>《地表水环境质量标准》（GB3838-2002）中</w:t>
            </w:r>
            <w:r>
              <w:rPr>
                <w:rFonts w:hint="default" w:ascii="Times New Roman" w:hAnsi="Times New Roman" w:cs="Times New Roman"/>
                <w:sz w:val="24"/>
                <w:lang w:val="en-US" w:eastAsia="zh-CN"/>
              </w:rPr>
              <w:t>Ⅱ</w:t>
            </w:r>
            <w:r>
              <w:rPr>
                <w:rFonts w:hint="default"/>
                <w:sz w:val="24"/>
                <w:lang w:val="en-US" w:eastAsia="zh-CN"/>
              </w:rPr>
              <w:t>类标准要求</w:t>
            </w:r>
            <w:r>
              <w:rPr>
                <w:rFonts w:hint="default"/>
                <w:sz w:val="24"/>
              </w:rPr>
              <w:t>断面水质变化幅度较小，整体较稳定</w:t>
            </w:r>
            <w:r>
              <w:rPr>
                <w:rFonts w:hint="eastAsia"/>
                <w:sz w:val="24"/>
                <w:lang w:eastAsia="zh-CN"/>
              </w:rPr>
              <w:t>。</w:t>
            </w:r>
          </w:p>
          <w:p w14:paraId="1059978A">
            <w:pPr>
              <w:keepNext w:val="0"/>
              <w:keepLines w:val="0"/>
              <w:suppressLineNumbers w:val="0"/>
              <w:adjustRightInd w:val="0"/>
              <w:snapToGrid w:val="0"/>
              <w:spacing w:before="0" w:beforeAutospacing="0" w:after="0" w:afterAutospacing="0" w:line="360" w:lineRule="auto"/>
              <w:ind w:left="0" w:right="0"/>
              <w:rPr>
                <w:rFonts w:hint="default"/>
                <w:b/>
                <w:bCs/>
                <w:spacing w:val="-10"/>
                <w:sz w:val="28"/>
                <w:szCs w:val="28"/>
              </w:rPr>
            </w:pPr>
            <w:r>
              <w:rPr>
                <w:rFonts w:hint="default"/>
                <w:b/>
                <w:bCs/>
                <w:spacing w:val="-10"/>
                <w:sz w:val="28"/>
                <w:szCs w:val="28"/>
              </w:rPr>
              <w:t>3、声环境质量</w:t>
            </w:r>
            <w:r>
              <w:rPr>
                <w:rFonts w:hint="default"/>
                <w:b/>
                <w:sz w:val="28"/>
                <w:szCs w:val="28"/>
              </w:rPr>
              <w:t>现状</w:t>
            </w:r>
          </w:p>
          <w:p w14:paraId="775BE91B">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根据《建设项目环境影响报告表技术指南（污染影响类）》（试行）中“需要监测厂界外周边50米范围内存在的声环境保护目标”</w:t>
            </w:r>
            <w:r>
              <w:rPr>
                <w:rFonts w:hint="eastAsia"/>
                <w:sz w:val="24"/>
                <w:lang w:eastAsia="zh-CN"/>
              </w:rPr>
              <w:t>，</w:t>
            </w:r>
            <w:r>
              <w:rPr>
                <w:rFonts w:hint="eastAsia"/>
                <w:sz w:val="24"/>
              </w:rPr>
              <w:t>本项目所在地厂界外周边50米范围内不存在声环境保护目标，本项目不需要对声环境质量现状进行监测。</w:t>
            </w:r>
          </w:p>
          <w:p w14:paraId="2752E987">
            <w:pPr>
              <w:keepNext w:val="0"/>
              <w:keepLines w:val="0"/>
              <w:suppressLineNumbers w:val="0"/>
              <w:adjustRightInd w:val="0"/>
              <w:snapToGrid w:val="0"/>
              <w:spacing w:before="0" w:beforeAutospacing="0" w:after="0" w:afterAutospacing="0" w:line="360" w:lineRule="auto"/>
              <w:ind w:left="0" w:right="0"/>
              <w:rPr>
                <w:rFonts w:hint="default"/>
                <w:b/>
                <w:bCs/>
                <w:spacing w:val="-10"/>
                <w:sz w:val="28"/>
                <w:szCs w:val="28"/>
              </w:rPr>
            </w:pPr>
            <w:r>
              <w:rPr>
                <w:rFonts w:hint="default"/>
                <w:b/>
                <w:bCs/>
                <w:spacing w:val="-10"/>
                <w:sz w:val="28"/>
                <w:szCs w:val="28"/>
              </w:rPr>
              <w:t>4、生态现状</w:t>
            </w:r>
          </w:p>
          <w:p w14:paraId="12B4BE84">
            <w:pPr>
              <w:keepNext w:val="0"/>
              <w:keepLines w:val="0"/>
              <w:suppressLineNumbers w:val="0"/>
              <w:spacing w:before="0" w:beforeAutospacing="0" w:after="0" w:afterAutospacing="0" w:line="360" w:lineRule="auto"/>
              <w:ind w:left="0" w:right="0" w:firstLine="480" w:firstLineChars="200"/>
              <w:rPr>
                <w:rFonts w:hint="default"/>
                <w:sz w:val="24"/>
              </w:rPr>
            </w:pPr>
            <w:r>
              <w:rPr>
                <w:rFonts w:hint="default"/>
                <w:sz w:val="24"/>
              </w:rPr>
              <w:t>根据《建设项目环境影响报告表技术指南（污染影响类）》（试行）中提到的“产业园区外建设项目新增用地且用地范围内含有生态环境保护目标时，应进行生态现状调查”</w:t>
            </w:r>
            <w:r>
              <w:rPr>
                <w:rFonts w:hint="eastAsia"/>
                <w:sz w:val="24"/>
                <w:lang w:eastAsia="zh-CN"/>
              </w:rPr>
              <w:t>，</w:t>
            </w:r>
            <w:r>
              <w:rPr>
                <w:rFonts w:hint="default"/>
                <w:sz w:val="24"/>
              </w:rPr>
              <w:t>本项目</w:t>
            </w:r>
            <w:r>
              <w:rPr>
                <w:rFonts w:hint="eastAsia"/>
                <w:sz w:val="24"/>
                <w:lang w:val="en-US" w:eastAsia="zh-CN"/>
              </w:rPr>
              <w:t>位于岳阳市君山工业园绿色食品产业园（荆江门片区）</w:t>
            </w:r>
            <w:r>
              <w:rPr>
                <w:rFonts w:hint="default"/>
                <w:sz w:val="24"/>
              </w:rPr>
              <w:t>，属于</w:t>
            </w:r>
            <w:r>
              <w:rPr>
                <w:rFonts w:hint="eastAsia"/>
                <w:sz w:val="24"/>
                <w:lang w:val="en-US" w:eastAsia="zh-CN"/>
              </w:rPr>
              <w:t>合规工业园区</w:t>
            </w:r>
            <w:r>
              <w:rPr>
                <w:rFonts w:hint="default"/>
                <w:sz w:val="24"/>
              </w:rPr>
              <w:t>，且</w:t>
            </w:r>
            <w:r>
              <w:rPr>
                <w:rFonts w:hint="eastAsia"/>
                <w:sz w:val="24"/>
                <w:lang w:val="en-US" w:eastAsia="zh-CN"/>
              </w:rPr>
              <w:t>本项目</w:t>
            </w:r>
            <w:r>
              <w:rPr>
                <w:rFonts w:hint="default"/>
                <w:sz w:val="24"/>
              </w:rPr>
              <w:t>位于</w:t>
            </w:r>
            <w:r>
              <w:rPr>
                <w:rFonts w:hint="eastAsia"/>
                <w:sz w:val="24"/>
                <w:lang w:val="en-US" w:eastAsia="zh-CN"/>
              </w:rPr>
              <w:t>湖南童记三利和食品有限公司现有厂区内</w:t>
            </w:r>
            <w:r>
              <w:rPr>
                <w:rFonts w:hint="default"/>
                <w:sz w:val="24"/>
              </w:rPr>
              <w:t>，不新增用地，厂房车间地面已硬化，故无需开展生态环境质量现状调查。</w:t>
            </w:r>
          </w:p>
          <w:p w14:paraId="49962BBD">
            <w:pPr>
              <w:pStyle w:val="5"/>
              <w:numPr>
                <w:ilvl w:val="-1"/>
                <w:numId w:val="0"/>
              </w:numPr>
              <w:suppressLineNumbers w:val="0"/>
              <w:spacing w:before="0" w:beforeAutospacing="0" w:after="0" w:afterAutospacing="0"/>
              <w:ind w:left="0" w:right="0" w:firstLine="0"/>
              <w:rPr>
                <w:rFonts w:hint="eastAsia"/>
                <w:b/>
                <w:bCs w:val="0"/>
                <w:sz w:val="28"/>
                <w:szCs w:val="28"/>
                <w:lang w:val="en-US" w:eastAsia="zh-CN"/>
              </w:rPr>
            </w:pPr>
            <w:r>
              <w:rPr>
                <w:rFonts w:hint="eastAsia"/>
                <w:b/>
                <w:bCs w:val="0"/>
                <w:sz w:val="28"/>
                <w:szCs w:val="28"/>
                <w:lang w:val="en-US" w:eastAsia="zh-CN"/>
              </w:rPr>
              <w:t>5、电磁辐射</w:t>
            </w:r>
          </w:p>
          <w:p w14:paraId="53503F27">
            <w:pPr>
              <w:pStyle w:val="32"/>
              <w:keepNext w:val="0"/>
              <w:keepLines w:val="0"/>
              <w:suppressLineNumbers w:val="0"/>
              <w:spacing w:before="0" w:beforeAutospacing="0" w:after="0" w:afterAutospacing="0"/>
              <w:ind w:left="0" w:right="0"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根据建设方提供资料，厂区现有一台型号为X34</w:t>
            </w:r>
            <w:r>
              <w:rPr>
                <w:rFonts w:hint="eastAsia" w:ascii="Times New Roman" w:hAnsi="Times New Roman" w:cs="Times New Roman"/>
                <w:lang w:val="en-US" w:eastAsia="zh-CN"/>
              </w:rPr>
              <w:t>C</w:t>
            </w:r>
            <w:r>
              <w:rPr>
                <w:rFonts w:hint="default" w:ascii="Times New Roman" w:hAnsi="Times New Roman" w:cs="Times New Roman"/>
                <w:lang w:val="en-US" w:eastAsia="zh-CN"/>
              </w:rPr>
              <w:t>的X光机，用于产品非金属检测，该设备为Ⅲ类射线设备，设备供应商已按照相关要求办理辐射安全许可证（详见附件12）。根据环境保护部及国家卫生计生委制定并发布的《射线装置分类》，Ⅲ类射线装置发生事故时一般不会使受到照射的人员产生放射损伤。因此，本项目使用的X光机在工作人员严格按照使用规范操作并做好防护的条件下，对人体的影响在可接受范围内。</w:t>
            </w:r>
          </w:p>
          <w:p w14:paraId="34223427">
            <w:pPr>
              <w:keepNext w:val="0"/>
              <w:keepLines w:val="0"/>
              <w:numPr>
                <w:ilvl w:val="0"/>
                <w:numId w:val="0"/>
              </w:numPr>
              <w:suppressLineNumbers w:val="0"/>
              <w:adjustRightInd w:val="0"/>
              <w:snapToGrid w:val="0"/>
              <w:spacing w:before="0" w:beforeAutospacing="0" w:after="0" w:afterAutospacing="0" w:line="360" w:lineRule="auto"/>
              <w:ind w:left="0" w:leftChars="0" w:right="0"/>
              <w:rPr>
                <w:rFonts w:hint="eastAsia"/>
                <w:sz w:val="28"/>
                <w:szCs w:val="28"/>
                <w:lang w:val="en-US" w:eastAsia="zh-CN"/>
              </w:rPr>
            </w:pPr>
            <w:r>
              <w:rPr>
                <w:rFonts w:hint="eastAsia"/>
                <w:b/>
                <w:bCs/>
                <w:sz w:val="28"/>
                <w:szCs w:val="28"/>
                <w:lang w:val="en-US" w:eastAsia="zh-CN"/>
              </w:rPr>
              <w:t>6、地下水、土壤质量现状调查与评价</w:t>
            </w:r>
          </w:p>
          <w:p w14:paraId="0635CF3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sz w:val="24"/>
                <w:lang w:val="en-US" w:eastAsia="zh-CN"/>
              </w:rPr>
            </w:pPr>
            <w:r>
              <w:rPr>
                <w:rFonts w:hint="eastAsia"/>
                <w:sz w:val="24"/>
                <w:lang w:val="en-US" w:eastAsia="zh-CN"/>
              </w:rPr>
              <w:t>本项目拟采取场地地面硬化，化粪池和废水处理设施采取相应的防渗措施后不存在地下水、土壤环境污染途径，故不存在地下水及土壤污染途径。厂界外500m单位内无地下水集中式饮用水水源和热水、矿泉水、温泉等特殊地下水资源，因此无需进行地下水监测。</w:t>
            </w:r>
          </w:p>
          <w:p w14:paraId="5DB0E46A">
            <w:pPr>
              <w:pStyle w:val="32"/>
              <w:keepNext w:val="0"/>
              <w:keepLines w:val="0"/>
              <w:suppressLineNumbers w:val="0"/>
              <w:spacing w:before="0" w:beforeAutospacing="0" w:after="0" w:afterAutospacing="0"/>
              <w:ind w:left="0" w:right="0" w:firstLine="0" w:firstLineChars="0"/>
              <w:rPr>
                <w:rFonts w:hint="default"/>
                <w:lang w:val="en-US" w:eastAsia="zh-CN"/>
              </w:rPr>
            </w:pPr>
          </w:p>
        </w:tc>
      </w:tr>
      <w:tr w14:paraId="099204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03" w:hRule="atLeast"/>
          <w:jc w:val="center"/>
        </w:trPr>
        <w:tc>
          <w:tcPr>
            <w:tcW w:w="444" w:type="pct"/>
            <w:vAlign w:val="center"/>
          </w:tcPr>
          <w:p w14:paraId="5EC12E9B">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环境保护目标</w:t>
            </w:r>
          </w:p>
        </w:tc>
        <w:tc>
          <w:tcPr>
            <w:tcW w:w="4555" w:type="pct"/>
            <w:vAlign w:val="center"/>
          </w:tcPr>
          <w:p w14:paraId="58DE9E11">
            <w:pPr>
              <w:pStyle w:val="33"/>
              <w:keepNext w:val="0"/>
              <w:keepLines w:val="0"/>
              <w:numPr>
                <w:ilvl w:val="-1"/>
                <w:numId w:val="0"/>
              </w:numPr>
              <w:suppressLineNumbers w:val="0"/>
              <w:tabs>
                <w:tab w:val="left" w:pos="0"/>
              </w:tabs>
              <w:spacing w:before="0" w:beforeAutospacing="0" w:after="0" w:afterAutospacing="0" w:line="360" w:lineRule="auto"/>
              <w:ind w:left="0" w:right="0" w:firstLine="480" w:firstLineChars="200"/>
              <w:jc w:val="both"/>
              <w:rPr>
                <w:rFonts w:hint="default" w:ascii="Times New Roman" w:hAnsi="Times New Roman" w:eastAsia="宋体" w:cs="Times New Roman"/>
                <w:b/>
                <w:sz w:val="24"/>
                <w:szCs w:val="24"/>
              </w:rPr>
            </w:pPr>
            <w:r>
              <w:rPr>
                <w:rFonts w:hint="default" w:ascii="Times New Roman" w:hAnsi="Times New Roman" w:eastAsia="宋体" w:cs="Times New Roman"/>
                <w:sz w:val="24"/>
              </w:rPr>
              <w:t>根据对区域的现场踏勘调查</w:t>
            </w:r>
            <w:r>
              <w:rPr>
                <w:rFonts w:hint="default" w:ascii="Times New Roman" w:hAnsi="Times New Roman" w:eastAsia="宋体" w:cs="Times New Roman"/>
                <w:sz w:val="24"/>
                <w:szCs w:val="24"/>
              </w:rPr>
              <w:t>，</w:t>
            </w:r>
            <w:r>
              <w:rPr>
                <w:rFonts w:hint="default" w:ascii="Times New Roman" w:hAnsi="Times New Roman" w:eastAsia="宋体" w:cs="Times New Roman"/>
                <w:color w:val="auto"/>
                <w:sz w:val="24"/>
                <w:szCs w:val="24"/>
              </w:rPr>
              <w:t>厂界外50米范围</w:t>
            </w:r>
            <w:r>
              <w:rPr>
                <w:rFonts w:hint="default" w:ascii="Times New Roman" w:hAnsi="Times New Roman" w:eastAsia="宋体" w:cs="Times New Roman"/>
                <w:sz w:val="24"/>
                <w:szCs w:val="24"/>
              </w:rPr>
              <w:t>内无声环境保护目标</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厂界外500米范围内无地下水集中式饮用水水源和热水、矿泉水、温泉等特殊地下水资源</w:t>
            </w:r>
            <w:r>
              <w:rPr>
                <w:rFonts w:hint="default" w:ascii="Times New Roman" w:hAnsi="Times New Roman" w:eastAsia="宋体" w:cs="Times New Roman"/>
                <w:sz w:val="24"/>
                <w:szCs w:val="24"/>
                <w:lang w:eastAsia="zh-CN"/>
              </w:rPr>
              <w:t>；项目</w:t>
            </w:r>
            <w:r>
              <w:rPr>
                <w:rFonts w:hint="default" w:ascii="Times New Roman" w:hAnsi="Times New Roman" w:eastAsia="宋体" w:cs="Times New Roman"/>
                <w:sz w:val="24"/>
                <w:szCs w:val="24"/>
                <w:lang w:val="en-US" w:eastAsia="zh-CN"/>
              </w:rPr>
              <w:t>厂界500米范围内</w:t>
            </w:r>
            <w:r>
              <w:rPr>
                <w:rFonts w:hint="default" w:ascii="Times New Roman" w:hAnsi="Times New Roman" w:eastAsia="宋体" w:cs="Times New Roman"/>
                <w:sz w:val="24"/>
                <w:szCs w:val="24"/>
                <w:lang w:eastAsia="zh-CN"/>
              </w:rPr>
              <w:t>大气环境保护目标</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t>地表水环境保护目标</w:t>
            </w:r>
            <w:r>
              <w:rPr>
                <w:rFonts w:hint="eastAsia" w:ascii="Times New Roman" w:hAnsi="Times New Roman" w:eastAsia="宋体" w:cs="Times New Roman"/>
                <w:sz w:val="24"/>
                <w:szCs w:val="24"/>
                <w:lang w:val="en-US" w:eastAsia="zh-CN"/>
              </w:rPr>
              <w:t>及生态环境保护目标</w:t>
            </w:r>
            <w:r>
              <w:rPr>
                <w:rFonts w:hint="default" w:ascii="Times New Roman" w:hAnsi="Times New Roman" w:eastAsia="宋体" w:cs="Times New Roman"/>
                <w:sz w:val="24"/>
                <w:szCs w:val="24"/>
                <w:lang w:eastAsia="zh-CN"/>
              </w:rPr>
              <w:t>见下表。</w:t>
            </w:r>
          </w:p>
          <w:p w14:paraId="437BDB81">
            <w:pPr>
              <w:pStyle w:val="33"/>
              <w:keepNext w:val="0"/>
              <w:keepLines w:val="0"/>
              <w:numPr>
                <w:ilvl w:val="0"/>
                <w:numId w:val="18"/>
              </w:numPr>
              <w:suppressLineNumbers w:val="0"/>
              <w:spacing w:before="0" w:beforeAutospacing="0" w:after="0" w:afterAutospacing="0"/>
              <w:ind w:right="0" w:firstLineChars="0"/>
              <w:jc w:val="center"/>
              <w:rPr>
                <w:rFonts w:hint="default"/>
                <w:b/>
                <w:sz w:val="24"/>
                <w:szCs w:val="24"/>
                <w:u w:val="single"/>
              </w:rPr>
            </w:pPr>
            <w:r>
              <w:rPr>
                <w:rFonts w:hint="default"/>
                <w:b/>
                <w:sz w:val="24"/>
                <w:szCs w:val="24"/>
                <w:u w:val="single"/>
              </w:rPr>
              <w:t>大气环境保护目标一览表</w:t>
            </w:r>
          </w:p>
          <w:tbl>
            <w:tblPr>
              <w:tblStyle w:val="24"/>
              <w:tblW w:w="4995"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60"/>
              <w:gridCol w:w="1206"/>
              <w:gridCol w:w="1116"/>
              <w:gridCol w:w="706"/>
              <w:gridCol w:w="819"/>
              <w:gridCol w:w="1418"/>
              <w:gridCol w:w="769"/>
              <w:gridCol w:w="956"/>
            </w:tblGrid>
            <w:tr w14:paraId="129AA6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545" w:hRule="atLeast"/>
                <w:jc w:val="center"/>
              </w:trPr>
              <w:tc>
                <w:tcPr>
                  <w:tcW w:w="621" w:type="pct"/>
                  <w:vMerge w:val="restart"/>
                  <w:vAlign w:val="center"/>
                </w:tcPr>
                <w:p w14:paraId="7C2EAC0D">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u w:val="single"/>
                    </w:rPr>
                  </w:pPr>
                  <w:r>
                    <w:rPr>
                      <w:rFonts w:hint="default"/>
                      <w:b/>
                      <w:bCs/>
                      <w:szCs w:val="21"/>
                      <w:u w:val="single"/>
                    </w:rPr>
                    <w:t>名称</w:t>
                  </w:r>
                </w:p>
              </w:tc>
              <w:tc>
                <w:tcPr>
                  <w:tcW w:w="1493" w:type="pct"/>
                  <w:gridSpan w:val="2"/>
                  <w:vAlign w:val="center"/>
                </w:tcPr>
                <w:p w14:paraId="5452C9E6">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u w:val="single"/>
                    </w:rPr>
                  </w:pPr>
                  <w:r>
                    <w:rPr>
                      <w:rFonts w:hint="default"/>
                      <w:b/>
                      <w:bCs/>
                      <w:szCs w:val="21"/>
                      <w:u w:val="single"/>
                    </w:rPr>
                    <w:t>经纬度</w:t>
                  </w:r>
                </w:p>
              </w:tc>
              <w:tc>
                <w:tcPr>
                  <w:tcW w:w="461" w:type="pct"/>
                  <w:vMerge w:val="restart"/>
                  <w:vAlign w:val="center"/>
                </w:tcPr>
                <w:p w14:paraId="40BAA185">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保护</w:t>
                  </w:r>
                </w:p>
                <w:p w14:paraId="2DAAAFC9">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对象</w:t>
                  </w:r>
                </w:p>
              </w:tc>
              <w:tc>
                <w:tcPr>
                  <w:tcW w:w="532" w:type="pct"/>
                  <w:vMerge w:val="restart"/>
                  <w:vAlign w:val="center"/>
                </w:tcPr>
                <w:p w14:paraId="50B4957C">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保护</w:t>
                  </w:r>
                </w:p>
                <w:p w14:paraId="231B1C21">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内容</w:t>
                  </w:r>
                </w:p>
              </w:tc>
              <w:tc>
                <w:tcPr>
                  <w:tcW w:w="772" w:type="pct"/>
                  <w:vMerge w:val="restart"/>
                  <w:vAlign w:val="center"/>
                </w:tcPr>
                <w:p w14:paraId="28B97CCC">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环境功能区</w:t>
                  </w:r>
                </w:p>
              </w:tc>
              <w:tc>
                <w:tcPr>
                  <w:tcW w:w="500" w:type="pct"/>
                  <w:vMerge w:val="restart"/>
                  <w:vAlign w:val="center"/>
                </w:tcPr>
                <w:p w14:paraId="3ECB2107">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相对厂址方位</w:t>
                  </w:r>
                </w:p>
              </w:tc>
              <w:tc>
                <w:tcPr>
                  <w:tcW w:w="618" w:type="pct"/>
                  <w:vMerge w:val="restart"/>
                  <w:vAlign w:val="center"/>
                </w:tcPr>
                <w:p w14:paraId="16861492">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相对厂界距离</w:t>
                  </w:r>
                  <w:r>
                    <w:rPr>
                      <w:rFonts w:hint="eastAsia"/>
                      <w:b/>
                      <w:bCs/>
                      <w:szCs w:val="21"/>
                      <w:u w:val="single"/>
                      <w:lang w:eastAsia="zh-CN"/>
                    </w:rPr>
                    <w:t>（</w:t>
                  </w:r>
                  <w:r>
                    <w:rPr>
                      <w:rFonts w:hint="eastAsia"/>
                      <w:b/>
                      <w:bCs/>
                      <w:szCs w:val="21"/>
                      <w:u w:val="single"/>
                      <w:lang w:val="en-US" w:eastAsia="zh-CN"/>
                    </w:rPr>
                    <w:t>最近</w:t>
                  </w:r>
                  <w:r>
                    <w:rPr>
                      <w:rFonts w:hint="eastAsia"/>
                      <w:b/>
                      <w:bCs/>
                      <w:szCs w:val="21"/>
                      <w:u w:val="single"/>
                      <w:lang w:eastAsia="zh-CN"/>
                    </w:rPr>
                    <w:t>）</w:t>
                  </w:r>
                  <w:r>
                    <w:rPr>
                      <w:rFonts w:hint="default"/>
                      <w:b/>
                      <w:bCs/>
                      <w:szCs w:val="21"/>
                      <w:u w:val="single"/>
                    </w:rPr>
                    <w:t>/m</w:t>
                  </w:r>
                </w:p>
              </w:tc>
            </w:tr>
            <w:tr w14:paraId="1FA55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12" w:hRule="atLeast"/>
                <w:jc w:val="center"/>
              </w:trPr>
              <w:tc>
                <w:tcPr>
                  <w:tcW w:w="621" w:type="pct"/>
                  <w:vMerge w:val="continue"/>
                  <w:vAlign w:val="center"/>
                </w:tcPr>
                <w:p w14:paraId="5888BD36">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p>
              </w:tc>
              <w:tc>
                <w:tcPr>
                  <w:tcW w:w="759" w:type="pct"/>
                  <w:vAlign w:val="center"/>
                </w:tcPr>
                <w:p w14:paraId="06B1897C">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经度</w:t>
                  </w:r>
                </w:p>
              </w:tc>
              <w:tc>
                <w:tcPr>
                  <w:tcW w:w="734" w:type="pct"/>
                  <w:vAlign w:val="center"/>
                </w:tcPr>
                <w:p w14:paraId="44618979">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r>
                    <w:rPr>
                      <w:rFonts w:hint="default"/>
                      <w:b/>
                      <w:bCs/>
                      <w:szCs w:val="21"/>
                      <w:u w:val="single"/>
                    </w:rPr>
                    <w:t>纬度</w:t>
                  </w:r>
                </w:p>
              </w:tc>
              <w:tc>
                <w:tcPr>
                  <w:tcW w:w="461" w:type="pct"/>
                  <w:vMerge w:val="continue"/>
                  <w:vAlign w:val="center"/>
                </w:tcPr>
                <w:p w14:paraId="031601E6">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p>
              </w:tc>
              <w:tc>
                <w:tcPr>
                  <w:tcW w:w="532" w:type="pct"/>
                  <w:vMerge w:val="continue"/>
                  <w:vAlign w:val="center"/>
                </w:tcPr>
                <w:p w14:paraId="0BC8AC13">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p>
              </w:tc>
              <w:tc>
                <w:tcPr>
                  <w:tcW w:w="772" w:type="pct"/>
                  <w:vMerge w:val="continue"/>
                  <w:vAlign w:val="center"/>
                </w:tcPr>
                <w:p w14:paraId="5B01607B">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p>
              </w:tc>
              <w:tc>
                <w:tcPr>
                  <w:tcW w:w="500" w:type="pct"/>
                  <w:vMerge w:val="continue"/>
                  <w:vAlign w:val="center"/>
                </w:tcPr>
                <w:p w14:paraId="04DF1DBE">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p>
              </w:tc>
              <w:tc>
                <w:tcPr>
                  <w:tcW w:w="618" w:type="pct"/>
                  <w:vMerge w:val="continue"/>
                  <w:vAlign w:val="center"/>
                </w:tcPr>
                <w:p w14:paraId="5B009705">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b/>
                      <w:bCs/>
                      <w:szCs w:val="21"/>
                      <w:u w:val="single"/>
                    </w:rPr>
                  </w:pPr>
                </w:p>
              </w:tc>
            </w:tr>
            <w:tr w14:paraId="76E314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21" w:type="pct"/>
                  <w:vAlign w:val="center"/>
                </w:tcPr>
                <w:p w14:paraId="11922BBB">
                  <w:pPr>
                    <w:keepNext w:val="0"/>
                    <w:keepLines w:val="0"/>
                    <w:suppressLineNumbers w:val="0"/>
                    <w:spacing w:before="0" w:beforeAutospacing="0" w:after="0" w:afterAutospacing="0"/>
                    <w:ind w:left="0" w:leftChars="0" w:right="0" w:rightChars="0" w:firstLine="0" w:firstLineChars="0"/>
                    <w:jc w:val="center"/>
                    <w:rPr>
                      <w:rFonts w:hint="default" w:eastAsia="宋体"/>
                      <w:szCs w:val="21"/>
                      <w:u w:val="single"/>
                      <w:lang w:val="en-US" w:eastAsia="zh-CN"/>
                    </w:rPr>
                  </w:pPr>
                  <w:r>
                    <w:rPr>
                      <w:rFonts w:hint="eastAsia"/>
                      <w:szCs w:val="21"/>
                      <w:u w:val="single"/>
                      <w:lang w:val="en-US" w:eastAsia="zh-CN"/>
                    </w:rPr>
                    <w:t>岳华村丁字组</w:t>
                  </w:r>
                </w:p>
              </w:tc>
              <w:tc>
                <w:tcPr>
                  <w:tcW w:w="759" w:type="pct"/>
                  <w:vAlign w:val="center"/>
                </w:tcPr>
                <w:p w14:paraId="214023FC">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u w:val="single"/>
                    </w:rPr>
                  </w:pPr>
                  <w:r>
                    <w:rPr>
                      <w:rFonts w:hint="eastAsia"/>
                      <w:szCs w:val="21"/>
                      <w:u w:val="single"/>
                    </w:rPr>
                    <w:t>112.948142</w:t>
                  </w:r>
                </w:p>
              </w:tc>
              <w:tc>
                <w:tcPr>
                  <w:tcW w:w="734" w:type="pct"/>
                  <w:vAlign w:val="center"/>
                </w:tcPr>
                <w:p w14:paraId="75C513EF">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u w:val="single"/>
                    </w:rPr>
                  </w:pPr>
                  <w:r>
                    <w:rPr>
                      <w:rFonts w:hint="eastAsia"/>
                      <w:szCs w:val="21"/>
                      <w:u w:val="single"/>
                    </w:rPr>
                    <w:t>29.446199</w:t>
                  </w:r>
                </w:p>
              </w:tc>
              <w:tc>
                <w:tcPr>
                  <w:tcW w:w="461" w:type="pct"/>
                  <w:vAlign w:val="center"/>
                </w:tcPr>
                <w:p w14:paraId="1AEB3E7A">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eastAsia" w:eastAsia="宋体"/>
                      <w:szCs w:val="21"/>
                      <w:u w:val="single"/>
                      <w:lang w:val="en-US" w:eastAsia="zh-CN"/>
                    </w:rPr>
                  </w:pPr>
                  <w:r>
                    <w:rPr>
                      <w:rFonts w:hint="eastAsia"/>
                      <w:szCs w:val="21"/>
                      <w:u w:val="single"/>
                      <w:lang w:val="en-US" w:eastAsia="zh-CN"/>
                    </w:rPr>
                    <w:t>居民</w:t>
                  </w:r>
                </w:p>
              </w:tc>
              <w:tc>
                <w:tcPr>
                  <w:tcW w:w="532" w:type="pct"/>
                  <w:vAlign w:val="center"/>
                </w:tcPr>
                <w:p w14:paraId="7BE8D1D2">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eastAsia="宋体"/>
                      <w:szCs w:val="21"/>
                      <w:u w:val="single"/>
                      <w:lang w:val="en-US" w:eastAsia="zh-CN"/>
                    </w:rPr>
                  </w:pPr>
                  <w:r>
                    <w:rPr>
                      <w:rFonts w:hint="eastAsia"/>
                      <w:szCs w:val="21"/>
                      <w:u w:val="single"/>
                      <w:lang w:val="en-US" w:eastAsia="zh-CN"/>
                    </w:rPr>
                    <w:t>30户，约100人</w:t>
                  </w:r>
                </w:p>
              </w:tc>
              <w:tc>
                <w:tcPr>
                  <w:tcW w:w="772" w:type="pct"/>
                  <w:vMerge w:val="restart"/>
                  <w:vAlign w:val="center"/>
                </w:tcPr>
                <w:p w14:paraId="6EC35F2D">
                  <w:pPr>
                    <w:keepNext w:val="0"/>
                    <w:keepLines w:val="0"/>
                    <w:suppressLineNumbers w:val="0"/>
                    <w:adjustRightInd w:val="0"/>
                    <w:snapToGrid w:val="0"/>
                    <w:spacing w:before="0" w:beforeAutospacing="0" w:after="0" w:afterAutospacing="0"/>
                    <w:ind w:left="0" w:leftChars="0" w:right="0" w:rightChars="0" w:firstLine="0" w:firstLineChars="0"/>
                    <w:jc w:val="both"/>
                    <w:rPr>
                      <w:rFonts w:hint="default"/>
                      <w:szCs w:val="21"/>
                      <w:u w:val="single"/>
                    </w:rPr>
                  </w:pPr>
                  <w:r>
                    <w:rPr>
                      <w:rFonts w:hint="default"/>
                      <w:szCs w:val="21"/>
                      <w:u w:val="single"/>
                    </w:rPr>
                    <w:t>《环境空气质量标准》GB3095-2012中的二级标准</w:t>
                  </w:r>
                </w:p>
              </w:tc>
              <w:tc>
                <w:tcPr>
                  <w:tcW w:w="500" w:type="pct"/>
                  <w:vAlign w:val="center"/>
                </w:tcPr>
                <w:p w14:paraId="3D8907CB">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eastAsia="宋体"/>
                      <w:szCs w:val="21"/>
                      <w:u w:val="single"/>
                      <w:lang w:val="en-US" w:eastAsia="zh-CN"/>
                    </w:rPr>
                  </w:pPr>
                  <w:r>
                    <w:rPr>
                      <w:rFonts w:hint="eastAsia"/>
                      <w:szCs w:val="21"/>
                      <w:u w:val="single"/>
                      <w:lang w:val="en-US" w:eastAsia="zh-CN"/>
                    </w:rPr>
                    <w:t>WN</w:t>
                  </w:r>
                </w:p>
              </w:tc>
              <w:tc>
                <w:tcPr>
                  <w:tcW w:w="618" w:type="pct"/>
                  <w:vAlign w:val="center"/>
                </w:tcPr>
                <w:p w14:paraId="4B7D4C01">
                  <w:pPr>
                    <w:keepNext w:val="0"/>
                    <w:keepLines w:val="0"/>
                    <w:suppressLineNumbers w:val="0"/>
                    <w:spacing w:before="0" w:beforeAutospacing="0" w:after="0" w:afterAutospacing="0"/>
                    <w:ind w:left="0" w:leftChars="0" w:right="0" w:rightChars="0" w:firstLine="0" w:firstLineChars="0"/>
                    <w:jc w:val="center"/>
                    <w:rPr>
                      <w:rFonts w:hint="default" w:eastAsia="宋体"/>
                      <w:szCs w:val="21"/>
                      <w:u w:val="single"/>
                      <w:lang w:val="en-US" w:eastAsia="zh-CN"/>
                    </w:rPr>
                  </w:pPr>
                  <w:r>
                    <w:rPr>
                      <w:rFonts w:hint="eastAsia"/>
                      <w:szCs w:val="21"/>
                      <w:u w:val="single"/>
                      <w:lang w:val="en-US" w:eastAsia="zh-CN"/>
                    </w:rPr>
                    <w:t>215</w:t>
                  </w:r>
                </w:p>
              </w:tc>
            </w:tr>
            <w:tr w14:paraId="43D8BD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21" w:type="pct"/>
                  <w:vAlign w:val="center"/>
                </w:tcPr>
                <w:p w14:paraId="7968EA54">
                  <w:pPr>
                    <w:keepNext w:val="0"/>
                    <w:keepLines w:val="0"/>
                    <w:suppressLineNumbers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君山区管委会</w:t>
                  </w:r>
                </w:p>
              </w:tc>
              <w:tc>
                <w:tcPr>
                  <w:tcW w:w="759" w:type="pct"/>
                  <w:vAlign w:val="center"/>
                </w:tcPr>
                <w:p w14:paraId="7623C5BA">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szCs w:val="21"/>
                      <w:u w:val="single"/>
                    </w:rPr>
                  </w:pPr>
                  <w:r>
                    <w:rPr>
                      <w:rFonts w:hint="eastAsia"/>
                      <w:szCs w:val="21"/>
                      <w:u w:val="single"/>
                      <w:lang w:val="en-US" w:eastAsia="zh-CN"/>
                    </w:rPr>
                    <w:t>112.955831</w:t>
                  </w:r>
                </w:p>
              </w:tc>
              <w:tc>
                <w:tcPr>
                  <w:tcW w:w="734" w:type="pct"/>
                  <w:vAlign w:val="center"/>
                </w:tcPr>
                <w:p w14:paraId="0A6C9BD7">
                  <w:pPr>
                    <w:keepNext w:val="0"/>
                    <w:keepLines w:val="0"/>
                    <w:suppressLineNumbers w:val="0"/>
                    <w:adjustRightInd w:val="0"/>
                    <w:snapToGrid w:val="0"/>
                    <w:spacing w:before="0" w:beforeAutospacing="0" w:after="0" w:afterAutospacing="0"/>
                    <w:ind w:left="0" w:leftChars="0" w:right="0" w:rightChars="0" w:firstLine="0" w:firstLineChars="0"/>
                    <w:jc w:val="center"/>
                    <w:rPr>
                      <w:rFonts w:hint="eastAsia"/>
                      <w:szCs w:val="21"/>
                      <w:u w:val="single"/>
                    </w:rPr>
                  </w:pPr>
                  <w:r>
                    <w:rPr>
                      <w:rFonts w:hint="eastAsia"/>
                      <w:szCs w:val="21"/>
                      <w:u w:val="single"/>
                      <w:lang w:val="en-US" w:eastAsia="zh-CN"/>
                    </w:rPr>
                    <w:t>29.446322</w:t>
                  </w:r>
                </w:p>
              </w:tc>
              <w:tc>
                <w:tcPr>
                  <w:tcW w:w="461" w:type="pct"/>
                  <w:vAlign w:val="center"/>
                </w:tcPr>
                <w:p w14:paraId="70F19A97">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居民</w:t>
                  </w:r>
                </w:p>
              </w:tc>
              <w:tc>
                <w:tcPr>
                  <w:tcW w:w="532" w:type="pct"/>
                  <w:vAlign w:val="center"/>
                </w:tcPr>
                <w:p w14:paraId="2AC1F132">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约200人</w:t>
                  </w:r>
                </w:p>
              </w:tc>
              <w:tc>
                <w:tcPr>
                  <w:tcW w:w="772" w:type="pct"/>
                  <w:vMerge w:val="continue"/>
                  <w:vAlign w:val="center"/>
                </w:tcPr>
                <w:p w14:paraId="5652E1C8">
                  <w:pPr>
                    <w:keepNext w:val="0"/>
                    <w:keepLines w:val="0"/>
                    <w:suppressLineNumbers w:val="0"/>
                    <w:adjustRightInd w:val="0"/>
                    <w:snapToGrid w:val="0"/>
                    <w:spacing w:before="0" w:beforeAutospacing="0" w:after="0" w:afterAutospacing="0"/>
                    <w:ind w:left="0" w:leftChars="0" w:right="0" w:rightChars="0" w:firstLine="0" w:firstLineChars="0"/>
                    <w:jc w:val="both"/>
                    <w:rPr>
                      <w:rFonts w:hint="default"/>
                      <w:szCs w:val="21"/>
                      <w:u w:val="single"/>
                    </w:rPr>
                  </w:pPr>
                </w:p>
              </w:tc>
              <w:tc>
                <w:tcPr>
                  <w:tcW w:w="500" w:type="pct"/>
                  <w:vAlign w:val="center"/>
                </w:tcPr>
                <w:p w14:paraId="3AA07DB6">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EN</w:t>
                  </w:r>
                </w:p>
              </w:tc>
              <w:tc>
                <w:tcPr>
                  <w:tcW w:w="618" w:type="pct"/>
                  <w:vAlign w:val="center"/>
                </w:tcPr>
                <w:p w14:paraId="205FE54B">
                  <w:pPr>
                    <w:keepNext w:val="0"/>
                    <w:keepLines w:val="0"/>
                    <w:suppressLineNumbers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112</w:t>
                  </w:r>
                </w:p>
              </w:tc>
            </w:tr>
            <w:tr w14:paraId="2F6063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621" w:type="pct"/>
                  <w:vAlign w:val="center"/>
                </w:tcPr>
                <w:p w14:paraId="222622B6">
                  <w:pPr>
                    <w:keepNext w:val="0"/>
                    <w:keepLines w:val="0"/>
                    <w:suppressLineNumbers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岳华村居民点</w:t>
                  </w:r>
                </w:p>
              </w:tc>
              <w:tc>
                <w:tcPr>
                  <w:tcW w:w="759" w:type="pct"/>
                  <w:vAlign w:val="center"/>
                </w:tcPr>
                <w:p w14:paraId="0A0E7EF0">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112.957917</w:t>
                  </w:r>
                </w:p>
              </w:tc>
              <w:tc>
                <w:tcPr>
                  <w:tcW w:w="734" w:type="pct"/>
                  <w:vAlign w:val="center"/>
                </w:tcPr>
                <w:p w14:paraId="441B3C50">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29.444701</w:t>
                  </w:r>
                </w:p>
              </w:tc>
              <w:tc>
                <w:tcPr>
                  <w:tcW w:w="461" w:type="pct"/>
                  <w:vAlign w:val="center"/>
                </w:tcPr>
                <w:p w14:paraId="64F9A704">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居民</w:t>
                  </w:r>
                </w:p>
              </w:tc>
              <w:tc>
                <w:tcPr>
                  <w:tcW w:w="532" w:type="pct"/>
                  <w:vAlign w:val="center"/>
                </w:tcPr>
                <w:p w14:paraId="63C04B8B">
                  <w:pPr>
                    <w:keepNext w:val="0"/>
                    <w:keepLines w:val="0"/>
                    <w:suppressLineNumbers w:val="0"/>
                    <w:autoSpaceDE w:val="0"/>
                    <w:autoSpaceDN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4户，约10人</w:t>
                  </w:r>
                </w:p>
              </w:tc>
              <w:tc>
                <w:tcPr>
                  <w:tcW w:w="772" w:type="pct"/>
                  <w:vMerge w:val="continue"/>
                  <w:vAlign w:val="center"/>
                </w:tcPr>
                <w:p w14:paraId="2F47609A">
                  <w:pPr>
                    <w:keepNext w:val="0"/>
                    <w:keepLines w:val="0"/>
                    <w:suppressLineNumbers w:val="0"/>
                    <w:adjustRightInd w:val="0"/>
                    <w:snapToGrid w:val="0"/>
                    <w:spacing w:before="0" w:beforeAutospacing="0" w:after="0" w:afterAutospacing="0"/>
                    <w:ind w:left="0" w:leftChars="0" w:right="0" w:rightChars="0" w:firstLine="0" w:firstLineChars="0"/>
                    <w:jc w:val="both"/>
                    <w:rPr>
                      <w:rFonts w:hint="default"/>
                      <w:szCs w:val="21"/>
                      <w:u w:val="single"/>
                    </w:rPr>
                  </w:pPr>
                </w:p>
              </w:tc>
              <w:tc>
                <w:tcPr>
                  <w:tcW w:w="500" w:type="pct"/>
                  <w:vAlign w:val="center"/>
                </w:tcPr>
                <w:p w14:paraId="456DB36A">
                  <w:pPr>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E</w:t>
                  </w:r>
                </w:p>
              </w:tc>
              <w:tc>
                <w:tcPr>
                  <w:tcW w:w="618" w:type="pct"/>
                  <w:vAlign w:val="center"/>
                </w:tcPr>
                <w:p w14:paraId="4D684D0A">
                  <w:pPr>
                    <w:keepNext w:val="0"/>
                    <w:keepLines w:val="0"/>
                    <w:suppressLineNumbers w:val="0"/>
                    <w:spacing w:before="0" w:beforeAutospacing="0" w:after="0" w:afterAutospacing="0"/>
                    <w:ind w:left="0" w:leftChars="0" w:right="0" w:rightChars="0" w:firstLine="0" w:firstLineChars="0"/>
                    <w:jc w:val="center"/>
                    <w:rPr>
                      <w:rFonts w:hint="default"/>
                      <w:szCs w:val="21"/>
                      <w:u w:val="single"/>
                      <w:lang w:val="en-US" w:eastAsia="zh-CN"/>
                    </w:rPr>
                  </w:pPr>
                  <w:r>
                    <w:rPr>
                      <w:rFonts w:hint="eastAsia"/>
                      <w:szCs w:val="21"/>
                      <w:u w:val="single"/>
                      <w:lang w:val="en-US" w:eastAsia="zh-CN"/>
                    </w:rPr>
                    <w:t>347</w:t>
                  </w:r>
                </w:p>
              </w:tc>
            </w:tr>
          </w:tbl>
          <w:p w14:paraId="092D872E">
            <w:pPr>
              <w:pStyle w:val="33"/>
              <w:keepNext w:val="0"/>
              <w:keepLines w:val="0"/>
              <w:numPr>
                <w:ilvl w:val="0"/>
                <w:numId w:val="18"/>
              </w:numPr>
              <w:suppressLineNumbers w:val="0"/>
              <w:spacing w:before="120" w:beforeLines="50" w:beforeAutospacing="0" w:after="0" w:afterAutospacing="0"/>
              <w:ind w:right="0" w:firstLineChars="0"/>
              <w:jc w:val="center"/>
              <w:rPr>
                <w:rFonts w:hint="default"/>
                <w:b/>
                <w:sz w:val="24"/>
                <w:szCs w:val="24"/>
              </w:rPr>
            </w:pPr>
            <w:r>
              <w:rPr>
                <w:rFonts w:hint="default"/>
                <w:b/>
                <w:sz w:val="24"/>
                <w:szCs w:val="24"/>
              </w:rPr>
              <w:t>水环境保护目标一览表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8"/>
              <w:gridCol w:w="952"/>
              <w:gridCol w:w="1558"/>
              <w:gridCol w:w="1197"/>
              <w:gridCol w:w="2800"/>
            </w:tblGrid>
            <w:tr w14:paraId="6A38E0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803" w:hRule="atLeast"/>
                <w:jc w:val="center"/>
              </w:trPr>
              <w:tc>
                <w:tcPr>
                  <w:tcW w:w="910" w:type="pct"/>
                  <w:vAlign w:val="center"/>
                </w:tcPr>
                <w:p w14:paraId="7E6524CA">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rPr>
                  </w:pPr>
                  <w:r>
                    <w:rPr>
                      <w:rFonts w:hint="default"/>
                      <w:b/>
                      <w:bCs/>
                    </w:rPr>
                    <w:t>保护目标</w:t>
                  </w:r>
                </w:p>
              </w:tc>
              <w:tc>
                <w:tcPr>
                  <w:tcW w:w="598" w:type="pct"/>
                  <w:vAlign w:val="center"/>
                </w:tcPr>
                <w:p w14:paraId="72A69C32">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szCs w:val="21"/>
                    </w:rPr>
                  </w:pPr>
                  <w:r>
                    <w:rPr>
                      <w:rFonts w:hint="default"/>
                      <w:b/>
                      <w:bCs/>
                      <w:szCs w:val="21"/>
                    </w:rPr>
                    <w:t>相对厂址方位</w:t>
                  </w:r>
                </w:p>
              </w:tc>
              <w:tc>
                <w:tcPr>
                  <w:tcW w:w="979" w:type="pct"/>
                  <w:vAlign w:val="center"/>
                </w:tcPr>
                <w:p w14:paraId="0A049CCF">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rPr>
                  </w:pPr>
                  <w:r>
                    <w:rPr>
                      <w:rFonts w:hint="default"/>
                      <w:b/>
                      <w:bCs/>
                      <w:szCs w:val="21"/>
                    </w:rPr>
                    <w:t>相对厂界距离</w:t>
                  </w:r>
                </w:p>
              </w:tc>
              <w:tc>
                <w:tcPr>
                  <w:tcW w:w="752" w:type="pct"/>
                  <w:vAlign w:val="center"/>
                </w:tcPr>
                <w:p w14:paraId="2CD7FFD2">
                  <w:pPr>
                    <w:pStyle w:val="48"/>
                    <w:keepNext w:val="0"/>
                    <w:keepLines w:val="0"/>
                    <w:widowControl w:val="0"/>
                    <w:suppressLineNumbers w:val="0"/>
                    <w:adjustRightInd/>
                    <w:snapToGrid/>
                    <w:spacing w:before="24" w:beforeAutospacing="0" w:after="24" w:afterAutospacing="0"/>
                    <w:ind w:left="0" w:leftChars="0" w:right="0" w:rightChars="0" w:firstLine="0" w:firstLineChars="0"/>
                    <w:jc w:val="center"/>
                    <w:rPr>
                      <w:rFonts w:hint="default" w:ascii="Times New Roman"/>
                      <w:b/>
                      <w:bCs/>
                      <w:sz w:val="21"/>
                      <w:szCs w:val="21"/>
                    </w:rPr>
                  </w:pPr>
                  <w:r>
                    <w:rPr>
                      <w:rFonts w:hint="default" w:ascii="Times New Roman"/>
                      <w:b/>
                      <w:bCs/>
                      <w:sz w:val="21"/>
                      <w:szCs w:val="21"/>
                    </w:rPr>
                    <w:t>规模、功能</w:t>
                  </w:r>
                </w:p>
              </w:tc>
              <w:tc>
                <w:tcPr>
                  <w:tcW w:w="1759" w:type="pct"/>
                  <w:vAlign w:val="center"/>
                </w:tcPr>
                <w:p w14:paraId="2524EF27">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rPr>
                  </w:pPr>
                  <w:r>
                    <w:rPr>
                      <w:rFonts w:hint="default"/>
                      <w:b/>
                      <w:bCs/>
                    </w:rPr>
                    <w:t>保护级别</w:t>
                  </w:r>
                </w:p>
              </w:tc>
            </w:tr>
            <w:tr w14:paraId="469AD0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0" w:type="pct"/>
                  <w:vAlign w:val="center"/>
                </w:tcPr>
                <w:p w14:paraId="64855AD6">
                  <w:pPr>
                    <w:keepNext w:val="0"/>
                    <w:keepLines w:val="0"/>
                    <w:suppressLineNumbers w:val="0"/>
                    <w:spacing w:before="0" w:beforeAutospacing="0" w:after="0" w:afterAutospacing="0"/>
                    <w:ind w:left="0" w:leftChars="0" w:right="0" w:rightChars="0" w:firstLine="0" w:firstLineChars="0"/>
                    <w:jc w:val="center"/>
                    <w:rPr>
                      <w:rFonts w:hint="default"/>
                      <w:szCs w:val="21"/>
                    </w:rPr>
                  </w:pPr>
                  <w:r>
                    <w:rPr>
                      <w:rFonts w:hint="default"/>
                      <w:szCs w:val="21"/>
                    </w:rPr>
                    <w:t>长江</w:t>
                  </w:r>
                </w:p>
              </w:tc>
              <w:tc>
                <w:tcPr>
                  <w:tcW w:w="598" w:type="pct"/>
                  <w:vAlign w:val="center"/>
                </w:tcPr>
                <w:p w14:paraId="509D3906">
                  <w:pPr>
                    <w:keepNext w:val="0"/>
                    <w:keepLines w:val="0"/>
                    <w:suppressLineNumbers w:val="0"/>
                    <w:spacing w:before="0" w:beforeAutospacing="0" w:after="0" w:afterAutospacing="0"/>
                    <w:ind w:left="0" w:leftChars="0" w:right="0" w:rightChars="0" w:firstLine="0" w:firstLineChars="0"/>
                    <w:jc w:val="center"/>
                    <w:rPr>
                      <w:rFonts w:hint="eastAsia" w:eastAsia="宋体"/>
                      <w:szCs w:val="21"/>
                      <w:lang w:val="en-US" w:eastAsia="zh-CN"/>
                    </w:rPr>
                  </w:pPr>
                  <w:r>
                    <w:rPr>
                      <w:rFonts w:hint="eastAsia"/>
                      <w:szCs w:val="21"/>
                      <w:lang w:val="en-US" w:eastAsia="zh-CN"/>
                    </w:rPr>
                    <w:t>N</w:t>
                  </w:r>
                </w:p>
              </w:tc>
              <w:tc>
                <w:tcPr>
                  <w:tcW w:w="979" w:type="pct"/>
                  <w:vAlign w:val="center"/>
                </w:tcPr>
                <w:p w14:paraId="19055BA7">
                  <w:pPr>
                    <w:keepNext w:val="0"/>
                    <w:keepLines w:val="0"/>
                    <w:suppressLineNumbers w:val="0"/>
                    <w:spacing w:before="0" w:beforeAutospacing="0" w:after="0" w:afterAutospacing="0"/>
                    <w:ind w:left="0" w:leftChars="0" w:right="0" w:rightChars="0" w:firstLine="0" w:firstLineChars="0"/>
                    <w:jc w:val="center"/>
                    <w:rPr>
                      <w:rFonts w:hint="default" w:eastAsia="宋体"/>
                      <w:szCs w:val="21"/>
                      <w:lang w:val="en-US" w:eastAsia="zh-CN"/>
                    </w:rPr>
                  </w:pPr>
                  <w:r>
                    <w:rPr>
                      <w:rFonts w:hint="eastAsia"/>
                      <w:szCs w:val="21"/>
                      <w:lang w:val="en-US" w:eastAsia="zh-CN"/>
                    </w:rPr>
                    <w:t>约2300m</w:t>
                  </w:r>
                </w:p>
              </w:tc>
              <w:tc>
                <w:tcPr>
                  <w:tcW w:w="752" w:type="pct"/>
                  <w:vAlign w:val="center"/>
                </w:tcPr>
                <w:p w14:paraId="28F5CFEE">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szCs w:val="21"/>
                    </w:rPr>
                  </w:pPr>
                  <w:r>
                    <w:rPr>
                      <w:rFonts w:hint="default"/>
                      <w:szCs w:val="21"/>
                    </w:rPr>
                    <w:t>大河</w:t>
                  </w:r>
                  <w:r>
                    <w:rPr>
                      <w:rFonts w:hint="eastAsia"/>
                      <w:szCs w:val="21"/>
                      <w:lang w:eastAsia="zh-CN"/>
                    </w:rPr>
                    <w:t>、</w:t>
                  </w:r>
                  <w:r>
                    <w:rPr>
                      <w:rFonts w:hint="default"/>
                      <w:szCs w:val="21"/>
                    </w:rPr>
                    <w:t>渔业用水区</w:t>
                  </w:r>
                </w:p>
              </w:tc>
              <w:tc>
                <w:tcPr>
                  <w:tcW w:w="1759" w:type="pct"/>
                  <w:vAlign w:val="center"/>
                </w:tcPr>
                <w:p w14:paraId="44C5DB2C">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szCs w:val="21"/>
                    </w:rPr>
                  </w:pPr>
                  <w:r>
                    <w:rPr>
                      <w:rFonts w:hint="default"/>
                    </w:rPr>
                    <w:t>《地表水环境质量标准》（GB3838-2002）Ⅲ类标准</w:t>
                  </w:r>
                </w:p>
              </w:tc>
            </w:tr>
            <w:tr w14:paraId="555A85D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10" w:type="pct"/>
                  <w:vAlign w:val="center"/>
                </w:tcPr>
                <w:p w14:paraId="013287E8">
                  <w:pPr>
                    <w:keepNext w:val="0"/>
                    <w:keepLines w:val="0"/>
                    <w:suppressLineNumbers w:val="0"/>
                    <w:spacing w:before="0" w:beforeAutospacing="0" w:after="0" w:afterAutospacing="0"/>
                    <w:ind w:left="0" w:leftChars="0" w:right="0" w:rightChars="0" w:firstLine="0" w:firstLineChars="0"/>
                    <w:jc w:val="center"/>
                    <w:rPr>
                      <w:rFonts w:hint="eastAsia"/>
                      <w:szCs w:val="21"/>
                      <w:lang w:val="en-US" w:eastAsia="zh-CN"/>
                    </w:rPr>
                  </w:pPr>
                  <w:r>
                    <w:rPr>
                      <w:rFonts w:hint="eastAsia"/>
                      <w:szCs w:val="21"/>
                      <w:lang w:val="en-US" w:eastAsia="zh-CN"/>
                    </w:rPr>
                    <w:t>君山垸</w:t>
                  </w:r>
                </w:p>
                <w:p w14:paraId="3A696B8A">
                  <w:pPr>
                    <w:keepNext w:val="0"/>
                    <w:keepLines w:val="0"/>
                    <w:suppressLineNumbers w:val="0"/>
                    <w:spacing w:before="0" w:beforeAutospacing="0" w:after="0" w:afterAutospacing="0"/>
                    <w:ind w:left="0" w:leftChars="0" w:right="0" w:rightChars="0" w:firstLine="0" w:firstLineChars="0"/>
                    <w:jc w:val="center"/>
                    <w:rPr>
                      <w:rFonts w:hint="default" w:eastAsia="宋体"/>
                      <w:szCs w:val="21"/>
                      <w:lang w:val="en-US" w:eastAsia="zh-CN"/>
                    </w:rPr>
                  </w:pPr>
                  <w:r>
                    <w:rPr>
                      <w:rFonts w:hint="eastAsia"/>
                      <w:szCs w:val="21"/>
                      <w:lang w:val="en-US" w:eastAsia="zh-CN"/>
                    </w:rPr>
                    <w:t>西干渠</w:t>
                  </w:r>
                </w:p>
              </w:tc>
              <w:tc>
                <w:tcPr>
                  <w:tcW w:w="598" w:type="pct"/>
                  <w:vAlign w:val="center"/>
                </w:tcPr>
                <w:p w14:paraId="1C9952C7">
                  <w:pPr>
                    <w:keepNext w:val="0"/>
                    <w:keepLines w:val="0"/>
                    <w:suppressLineNumbers w:val="0"/>
                    <w:spacing w:before="0" w:beforeAutospacing="0" w:after="0" w:afterAutospacing="0"/>
                    <w:ind w:left="0" w:leftChars="0" w:right="0" w:rightChars="0" w:firstLine="0" w:firstLineChars="0"/>
                    <w:jc w:val="center"/>
                    <w:rPr>
                      <w:rFonts w:hint="eastAsia" w:eastAsia="宋体"/>
                      <w:szCs w:val="21"/>
                      <w:lang w:val="en-US" w:eastAsia="zh-CN"/>
                    </w:rPr>
                  </w:pPr>
                  <w:r>
                    <w:rPr>
                      <w:rFonts w:hint="eastAsia"/>
                      <w:szCs w:val="21"/>
                      <w:lang w:val="en-US" w:eastAsia="zh-CN"/>
                    </w:rPr>
                    <w:t>N</w:t>
                  </w:r>
                </w:p>
              </w:tc>
              <w:tc>
                <w:tcPr>
                  <w:tcW w:w="979" w:type="pct"/>
                  <w:vAlign w:val="center"/>
                </w:tcPr>
                <w:p w14:paraId="4A6E286F">
                  <w:pPr>
                    <w:keepNext w:val="0"/>
                    <w:keepLines w:val="0"/>
                    <w:suppressLineNumbers w:val="0"/>
                    <w:spacing w:before="0" w:beforeAutospacing="0" w:after="0" w:afterAutospacing="0"/>
                    <w:ind w:left="0" w:leftChars="0" w:right="0" w:rightChars="0" w:firstLine="0" w:firstLineChars="0"/>
                    <w:jc w:val="center"/>
                    <w:rPr>
                      <w:rFonts w:hint="default" w:eastAsia="宋体"/>
                      <w:szCs w:val="21"/>
                      <w:lang w:val="en-US" w:eastAsia="zh-CN"/>
                    </w:rPr>
                  </w:pPr>
                  <w:r>
                    <w:rPr>
                      <w:rFonts w:hint="eastAsia"/>
                      <w:szCs w:val="21"/>
                      <w:lang w:val="en-US" w:eastAsia="zh-CN"/>
                    </w:rPr>
                    <w:t>约29m</w:t>
                  </w:r>
                </w:p>
              </w:tc>
              <w:tc>
                <w:tcPr>
                  <w:tcW w:w="752" w:type="pct"/>
                  <w:shd w:val="clear" w:color="auto" w:fill="auto"/>
                  <w:vAlign w:val="center"/>
                </w:tcPr>
                <w:p w14:paraId="45A149E7">
                  <w:pPr>
                    <w:keepNext w:val="0"/>
                    <w:keepLines w:val="0"/>
                    <w:suppressLineNumbers w:val="0"/>
                    <w:autoSpaceDE w:val="0"/>
                    <w:autoSpaceDN w:val="0"/>
                    <w:spacing w:before="0" w:beforeAutospacing="0" w:after="0" w:afterAutospacing="0"/>
                    <w:ind w:left="0" w:right="0"/>
                    <w:jc w:val="center"/>
                    <w:rPr>
                      <w:rFonts w:hint="eastAsia" w:ascii="Times New Roman" w:hAnsi="Times New Roman" w:cs="Times New Roman" w:eastAsiaTheme="minorEastAsia"/>
                      <w:caps w:val="0"/>
                      <w:color w:val="000000" w:themeColor="text1"/>
                      <w:kern w:val="2"/>
                      <w:sz w:val="21"/>
                      <w:szCs w:val="24"/>
                      <w:u w:val="none" w:color="auto"/>
                      <w:lang w:val="en-US" w:eastAsia="zh-CN" w:bidi="ar-SA"/>
                      <w14:textFill>
                        <w14:solidFill>
                          <w14:schemeClr w14:val="tx1"/>
                        </w14:solidFill>
                      </w14:textFill>
                    </w:rPr>
                  </w:pPr>
                  <w:r>
                    <w:rPr>
                      <w:rFonts w:hint="eastAsia" w:eastAsiaTheme="minorEastAsia"/>
                      <w:caps w:val="0"/>
                      <w:color w:val="000000" w:themeColor="text1"/>
                      <w:szCs w:val="21"/>
                      <w:u w:val="none" w:color="auto"/>
                      <w:lang w:val="en-US" w:eastAsia="zh-CN"/>
                      <w14:textFill>
                        <w14:solidFill>
                          <w14:schemeClr w14:val="tx1"/>
                        </w14:solidFill>
                      </w14:textFill>
                    </w:rPr>
                    <w:t>调蓄、</w:t>
                  </w:r>
                  <w:r>
                    <w:rPr>
                      <w:rFonts w:hint="eastAsia" w:ascii="Times New Roman" w:hAnsi="Times New Roman" w:eastAsiaTheme="minorEastAsia"/>
                      <w:caps w:val="0"/>
                      <w:color w:val="000000" w:themeColor="text1"/>
                      <w:szCs w:val="21"/>
                      <w:u w:val="none" w:color="auto"/>
                      <w:lang w:eastAsia="zh-CN"/>
                      <w14:textFill>
                        <w14:solidFill>
                          <w14:schemeClr w14:val="tx1"/>
                        </w14:solidFill>
                      </w14:textFill>
                    </w:rPr>
                    <w:t>灌溉</w:t>
                  </w:r>
                </w:p>
              </w:tc>
              <w:tc>
                <w:tcPr>
                  <w:tcW w:w="1759" w:type="pct"/>
                  <w:shd w:val="clear" w:color="auto" w:fill="auto"/>
                  <w:vAlign w:val="center"/>
                </w:tcPr>
                <w:p w14:paraId="6E9E7C0A">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eastAsiaTheme="minorEastAsia"/>
                      <w:caps w:val="0"/>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eastAsiaTheme="minorEastAsia"/>
                      <w:caps w:val="0"/>
                      <w:color w:val="000000" w:themeColor="text1"/>
                      <w:szCs w:val="21"/>
                      <w:u w:val="none" w:color="auto"/>
                      <w14:textFill>
                        <w14:solidFill>
                          <w14:schemeClr w14:val="tx1"/>
                        </w14:solidFill>
                      </w14:textFill>
                    </w:rPr>
                    <w:t>《农田灌溉水质标准》（GB5084-2005）</w:t>
                  </w:r>
                </w:p>
              </w:tc>
            </w:tr>
          </w:tbl>
          <w:p w14:paraId="7232F9A0">
            <w:pPr>
              <w:pStyle w:val="33"/>
              <w:keepNext w:val="0"/>
              <w:keepLines w:val="0"/>
              <w:numPr>
                <w:ilvl w:val="0"/>
                <w:numId w:val="18"/>
              </w:numPr>
              <w:suppressLineNumbers w:val="0"/>
              <w:spacing w:before="120" w:beforeLines="50" w:beforeAutospacing="0" w:after="0" w:afterAutospacing="0"/>
              <w:ind w:right="0" w:firstLineChars="0"/>
              <w:jc w:val="center"/>
              <w:rPr>
                <w:rFonts w:hint="eastAsia"/>
                <w:b/>
                <w:bCs w:val="0"/>
                <w:sz w:val="24"/>
                <w:szCs w:val="24"/>
                <w:lang w:val="en-US" w:eastAsia="zh-CN"/>
              </w:rPr>
            </w:pPr>
            <w:r>
              <w:rPr>
                <w:rFonts w:hint="eastAsia"/>
                <w:b/>
                <w:bCs w:val="0"/>
                <w:sz w:val="24"/>
                <w:szCs w:val="24"/>
                <w:lang w:val="en-US" w:eastAsia="zh-CN"/>
              </w:rPr>
              <w:t>生态环境保护目标</w:t>
            </w:r>
          </w:p>
          <w:tbl>
            <w:tblPr>
              <w:tblStyle w:val="24"/>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447"/>
              <w:gridCol w:w="954"/>
              <w:gridCol w:w="1538"/>
              <w:gridCol w:w="1219"/>
              <w:gridCol w:w="2800"/>
            </w:tblGrid>
            <w:tr w14:paraId="414E98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803" w:hRule="atLeast"/>
                <w:jc w:val="center"/>
              </w:trPr>
              <w:tc>
                <w:tcPr>
                  <w:tcW w:w="909" w:type="pct"/>
                  <w:vAlign w:val="center"/>
                </w:tcPr>
                <w:p w14:paraId="4FAE7254">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rPr>
                  </w:pPr>
                  <w:r>
                    <w:rPr>
                      <w:rFonts w:hint="default"/>
                      <w:b/>
                      <w:bCs/>
                    </w:rPr>
                    <w:t>保护目标</w:t>
                  </w:r>
                </w:p>
              </w:tc>
              <w:tc>
                <w:tcPr>
                  <w:tcW w:w="599" w:type="pct"/>
                  <w:vAlign w:val="center"/>
                </w:tcPr>
                <w:p w14:paraId="0E2647C3">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rPr>
                  </w:pPr>
                  <w:r>
                    <w:rPr>
                      <w:rFonts w:hint="default"/>
                      <w:b/>
                      <w:bCs/>
                      <w:szCs w:val="21"/>
                    </w:rPr>
                    <w:t>相对厂址方位</w:t>
                  </w:r>
                </w:p>
              </w:tc>
              <w:tc>
                <w:tcPr>
                  <w:tcW w:w="966" w:type="pct"/>
                  <w:vAlign w:val="center"/>
                </w:tcPr>
                <w:p w14:paraId="5187918D">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rPr>
                  </w:pPr>
                  <w:r>
                    <w:rPr>
                      <w:rFonts w:hint="default"/>
                      <w:b/>
                      <w:bCs/>
                      <w:szCs w:val="21"/>
                    </w:rPr>
                    <w:t>相对厂界距离</w:t>
                  </w:r>
                </w:p>
              </w:tc>
              <w:tc>
                <w:tcPr>
                  <w:tcW w:w="766" w:type="pct"/>
                  <w:vAlign w:val="center"/>
                </w:tcPr>
                <w:p w14:paraId="273D271B">
                  <w:pPr>
                    <w:pStyle w:val="48"/>
                    <w:keepNext w:val="0"/>
                    <w:keepLines w:val="0"/>
                    <w:widowControl w:val="0"/>
                    <w:suppressLineNumbers w:val="0"/>
                    <w:adjustRightInd/>
                    <w:snapToGrid/>
                    <w:spacing w:before="24" w:beforeAutospacing="0" w:after="24" w:afterAutospacing="0"/>
                    <w:ind w:left="0" w:leftChars="0" w:right="0" w:rightChars="0" w:firstLine="0" w:firstLineChars="0"/>
                    <w:jc w:val="center"/>
                    <w:rPr>
                      <w:rFonts w:hint="default" w:ascii="Times New Roman"/>
                      <w:b/>
                      <w:bCs/>
                      <w:sz w:val="21"/>
                      <w:szCs w:val="21"/>
                    </w:rPr>
                  </w:pPr>
                  <w:r>
                    <w:rPr>
                      <w:rFonts w:hint="default" w:ascii="Times New Roman"/>
                      <w:b/>
                      <w:bCs/>
                      <w:sz w:val="21"/>
                      <w:szCs w:val="21"/>
                    </w:rPr>
                    <w:t>功能</w:t>
                  </w:r>
                </w:p>
              </w:tc>
              <w:tc>
                <w:tcPr>
                  <w:tcW w:w="1759" w:type="pct"/>
                  <w:vAlign w:val="center"/>
                </w:tcPr>
                <w:p w14:paraId="48D86619">
                  <w:pPr>
                    <w:keepNext w:val="0"/>
                    <w:keepLines w:val="0"/>
                    <w:suppressLineNumbers w:val="0"/>
                    <w:autoSpaceDE w:val="0"/>
                    <w:autoSpaceDN w:val="0"/>
                    <w:adjustRightInd w:val="0"/>
                    <w:snapToGrid w:val="0"/>
                    <w:spacing w:before="48" w:beforeLines="20" w:beforeAutospacing="0" w:after="48" w:afterLines="20" w:afterAutospacing="0"/>
                    <w:ind w:left="0" w:leftChars="0" w:right="0" w:rightChars="0" w:firstLine="0" w:firstLineChars="0"/>
                    <w:jc w:val="center"/>
                    <w:rPr>
                      <w:rFonts w:hint="default"/>
                      <w:b/>
                      <w:bCs/>
                      <w:szCs w:val="21"/>
                    </w:rPr>
                  </w:pPr>
                  <w:r>
                    <w:rPr>
                      <w:rFonts w:hint="default"/>
                      <w:b/>
                      <w:bCs/>
                    </w:rPr>
                    <w:t>保护级别</w:t>
                  </w:r>
                </w:p>
              </w:tc>
            </w:tr>
            <w:tr w14:paraId="55D924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09" w:type="pct"/>
                  <w:vAlign w:val="center"/>
                </w:tcPr>
                <w:p w14:paraId="377566D5">
                  <w:pPr>
                    <w:keepNext w:val="0"/>
                    <w:keepLines w:val="0"/>
                    <w:suppressLineNumbers w:val="0"/>
                    <w:spacing w:before="0" w:beforeAutospacing="0" w:after="0" w:afterAutospacing="0"/>
                    <w:ind w:left="0" w:leftChars="0" w:right="0" w:rightChars="0" w:firstLine="0" w:firstLineChars="0"/>
                    <w:jc w:val="center"/>
                    <w:rPr>
                      <w:rFonts w:hint="default"/>
                      <w:szCs w:val="21"/>
                      <w:lang w:val="en-US" w:eastAsia="zh-CN"/>
                    </w:rPr>
                  </w:pPr>
                  <w:r>
                    <w:rPr>
                      <w:rFonts w:hint="eastAsia"/>
                      <w:szCs w:val="21"/>
                      <w:lang w:val="en-US" w:eastAsia="zh-CN"/>
                    </w:rPr>
                    <w:t>东洞庭湖自然保护区</w:t>
                  </w:r>
                </w:p>
              </w:tc>
              <w:tc>
                <w:tcPr>
                  <w:tcW w:w="599" w:type="pct"/>
                  <w:vAlign w:val="center"/>
                </w:tcPr>
                <w:p w14:paraId="491D9CF8">
                  <w:pPr>
                    <w:keepNext w:val="0"/>
                    <w:keepLines w:val="0"/>
                    <w:suppressLineNumbers w:val="0"/>
                    <w:spacing w:before="0" w:beforeAutospacing="0" w:after="0" w:afterAutospacing="0"/>
                    <w:ind w:left="0" w:leftChars="0" w:right="0" w:rightChars="0" w:firstLine="0" w:firstLineChars="0"/>
                    <w:jc w:val="center"/>
                    <w:rPr>
                      <w:rFonts w:hint="default"/>
                      <w:szCs w:val="21"/>
                      <w:lang w:val="en-US" w:eastAsia="zh-CN"/>
                    </w:rPr>
                  </w:pPr>
                  <w:r>
                    <w:rPr>
                      <w:rFonts w:hint="eastAsia"/>
                      <w:szCs w:val="21"/>
                      <w:lang w:val="en-US" w:eastAsia="zh-CN"/>
                    </w:rPr>
                    <w:t>WS</w:t>
                  </w:r>
                </w:p>
              </w:tc>
              <w:tc>
                <w:tcPr>
                  <w:tcW w:w="966" w:type="pct"/>
                  <w:vAlign w:val="center"/>
                </w:tcPr>
                <w:p w14:paraId="2AA7846E">
                  <w:pPr>
                    <w:keepNext w:val="0"/>
                    <w:keepLines w:val="0"/>
                    <w:suppressLineNumbers w:val="0"/>
                    <w:spacing w:before="0" w:beforeAutospacing="0" w:after="0" w:afterAutospacing="0"/>
                    <w:ind w:left="0" w:leftChars="0" w:right="0" w:rightChars="0" w:firstLine="0" w:firstLineChars="0"/>
                    <w:jc w:val="center"/>
                    <w:rPr>
                      <w:rFonts w:hint="eastAsia"/>
                      <w:szCs w:val="21"/>
                      <w:lang w:val="en-US" w:eastAsia="zh-CN"/>
                    </w:rPr>
                  </w:pPr>
                  <w:r>
                    <w:rPr>
                      <w:rFonts w:hint="eastAsia"/>
                      <w:szCs w:val="21"/>
                      <w:lang w:val="en-US" w:eastAsia="zh-CN"/>
                    </w:rPr>
                    <w:t>约110m</w:t>
                  </w:r>
                </w:p>
              </w:tc>
              <w:tc>
                <w:tcPr>
                  <w:tcW w:w="766" w:type="pct"/>
                  <w:shd w:val="clear" w:color="auto" w:fill="auto"/>
                  <w:vAlign w:val="center"/>
                </w:tcPr>
                <w:p w14:paraId="58EC3978">
                  <w:pPr>
                    <w:keepNext w:val="0"/>
                    <w:keepLines w:val="0"/>
                    <w:suppressLineNumbers w:val="0"/>
                    <w:autoSpaceDE w:val="0"/>
                    <w:autoSpaceDN w:val="0"/>
                    <w:spacing w:before="0" w:beforeAutospacing="0" w:after="0" w:afterAutospacing="0"/>
                    <w:ind w:left="0" w:right="0"/>
                    <w:jc w:val="center"/>
                    <w:rPr>
                      <w:rFonts w:hint="default" w:eastAsiaTheme="minorEastAsia"/>
                      <w:caps w:val="0"/>
                      <w:color w:val="000000" w:themeColor="text1"/>
                      <w:szCs w:val="21"/>
                      <w:u w:val="none" w:color="auto"/>
                      <w:lang w:val="en-US" w:eastAsia="zh-CN"/>
                      <w14:textFill>
                        <w14:solidFill>
                          <w14:schemeClr w14:val="tx1"/>
                        </w14:solidFill>
                      </w14:textFill>
                    </w:rPr>
                  </w:pPr>
                  <w:r>
                    <w:rPr>
                      <w:rFonts w:hint="eastAsia" w:eastAsiaTheme="minorEastAsia"/>
                      <w:caps w:val="0"/>
                      <w:color w:val="000000" w:themeColor="text1"/>
                      <w:szCs w:val="21"/>
                      <w:u w:val="none" w:color="auto"/>
                      <w:lang w:val="en-US" w:eastAsia="zh-CN"/>
                      <w14:textFill>
                        <w14:solidFill>
                          <w14:schemeClr w14:val="tx1"/>
                        </w14:solidFill>
                      </w14:textFill>
                    </w:rPr>
                    <w:t>国家级自然保护区</w:t>
                  </w:r>
                </w:p>
              </w:tc>
              <w:tc>
                <w:tcPr>
                  <w:tcW w:w="1759" w:type="pct"/>
                  <w:shd w:val="clear" w:color="auto" w:fill="auto"/>
                  <w:vAlign w:val="center"/>
                </w:tcPr>
                <w:p w14:paraId="34A196D2">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Theme="minorEastAsia"/>
                      <w:caps w:val="0"/>
                      <w:color w:val="000000" w:themeColor="text1"/>
                      <w:szCs w:val="21"/>
                      <w:u w:val="none" w:color="auto"/>
                      <w:lang w:val="en-US" w:eastAsia="zh-CN"/>
                      <w14:textFill>
                        <w14:solidFill>
                          <w14:schemeClr w14:val="tx1"/>
                        </w14:solidFill>
                      </w14:textFill>
                    </w:rPr>
                  </w:pPr>
                  <w:r>
                    <w:rPr>
                      <w:rFonts w:hint="eastAsia" w:eastAsiaTheme="minorEastAsia"/>
                      <w:caps w:val="0"/>
                      <w:color w:val="000000" w:themeColor="text1"/>
                      <w:szCs w:val="21"/>
                      <w:u w:val="none" w:color="auto"/>
                      <w:lang w:val="en-US" w:eastAsia="zh-CN"/>
                      <w14:textFill>
                        <w14:solidFill>
                          <w14:schemeClr w14:val="tx1"/>
                        </w14:solidFill>
                      </w14:textFill>
                    </w:rPr>
                    <w:t>不影响湿地环境、越冬水禽及其栖息地</w:t>
                  </w:r>
                </w:p>
              </w:tc>
            </w:tr>
          </w:tbl>
          <w:p w14:paraId="4A6D6CFF">
            <w:pPr>
              <w:pStyle w:val="11"/>
              <w:keepNext w:val="0"/>
              <w:keepLines w:val="0"/>
              <w:suppressLineNumbers w:val="0"/>
              <w:spacing w:before="0" w:beforeAutospacing="0" w:after="0" w:afterAutospacing="0"/>
              <w:ind w:left="0"/>
              <w:rPr>
                <w:rFonts w:hint="default"/>
                <w:lang w:val="en-US" w:eastAsia="zh-CN"/>
              </w:rPr>
            </w:pPr>
          </w:p>
        </w:tc>
      </w:tr>
      <w:tr w14:paraId="158520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44" w:type="pct"/>
            <w:tcMar>
              <w:left w:w="28" w:type="dxa"/>
              <w:right w:w="28" w:type="dxa"/>
            </w:tcMar>
            <w:vAlign w:val="center"/>
          </w:tcPr>
          <w:p w14:paraId="68B6715E">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污染物排放控制标准</w:t>
            </w:r>
          </w:p>
        </w:tc>
        <w:tc>
          <w:tcPr>
            <w:tcW w:w="4555" w:type="pct"/>
            <w:vAlign w:val="center"/>
          </w:tcPr>
          <w:p w14:paraId="455DAA78">
            <w:pPr>
              <w:keepNext w:val="0"/>
              <w:keepLines w:val="0"/>
              <w:suppressLineNumbers w:val="0"/>
              <w:adjustRightInd w:val="0"/>
              <w:snapToGrid w:val="0"/>
              <w:spacing w:before="120" w:beforeLines="50" w:beforeAutospacing="0" w:after="0" w:afterAutospacing="0" w:line="360" w:lineRule="auto"/>
              <w:ind w:left="0" w:right="0"/>
              <w:rPr>
                <w:rFonts w:hint="default"/>
                <w:b/>
                <w:bCs/>
                <w:spacing w:val="-10"/>
                <w:sz w:val="24"/>
              </w:rPr>
            </w:pPr>
            <w:r>
              <w:rPr>
                <w:rFonts w:hint="default"/>
                <w:b/>
                <w:bCs/>
                <w:spacing w:val="-10"/>
                <w:sz w:val="24"/>
              </w:rPr>
              <w:t>1、废气排放标准</w:t>
            </w:r>
          </w:p>
          <w:p w14:paraId="203297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sz w:val="24"/>
                <w:lang w:val="en-US" w:eastAsia="zh-CN"/>
              </w:rPr>
            </w:pPr>
            <w:r>
              <w:rPr>
                <w:rFonts w:hint="eastAsia"/>
                <w:sz w:val="24"/>
                <w:lang w:val="en-US" w:eastAsia="zh-CN"/>
              </w:rPr>
              <w:t>油烟执行《饮食业油烟排放标准》（GB8483-2001）中表2的要求；恶臭排放执行《恶臭污染物排放标准》（GB14554-93）表1中二级新改扩建标准，锅炉废气排放执行《锅炉大气污染物排放标准》（GB13271-2014）表3大气污染物特别排放限值中燃煤锅炉标准要求，生物质燃料转运废气排放《大气污染物综合排放标准》（GB16297-1996）中表2无组织排放限值详见下表。</w:t>
            </w:r>
          </w:p>
          <w:p w14:paraId="697130F5">
            <w:pPr>
              <w:pStyle w:val="33"/>
              <w:keepNext w:val="0"/>
              <w:keepLines w:val="0"/>
              <w:pageBreakBefore w:val="0"/>
              <w:widowControl w:val="0"/>
              <w:numPr>
                <w:ilvl w:val="0"/>
                <w:numId w:val="18"/>
              </w:numPr>
              <w:suppressLineNumbers w:val="0"/>
              <w:kinsoku/>
              <w:wordWrap/>
              <w:overflowPunct/>
              <w:topLinePunct w:val="0"/>
              <w:autoSpaceDE/>
              <w:autoSpaceDN/>
              <w:bidi w:val="0"/>
              <w:adjustRightInd/>
              <w:snapToGrid/>
              <w:spacing w:before="0" w:beforeAutospacing="0" w:after="0" w:afterAutospacing="0"/>
              <w:ind w:right="0" w:firstLineChars="0"/>
              <w:jc w:val="center"/>
              <w:textAlignment w:val="auto"/>
              <w:rPr>
                <w:rFonts w:hint="eastAsia"/>
                <w:b/>
                <w:bCs/>
                <w:sz w:val="24"/>
                <w:szCs w:val="24"/>
                <w:lang w:val="en-US" w:eastAsia="zh-CN"/>
              </w:rPr>
            </w:pPr>
            <w:r>
              <w:rPr>
                <w:rFonts w:hint="eastAsia"/>
                <w:b/>
                <w:bCs/>
                <w:sz w:val="24"/>
                <w:szCs w:val="24"/>
                <w:lang w:val="en-US" w:eastAsia="zh-CN"/>
              </w:rPr>
              <w:t>饮食业油烟排放标准</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27"/>
              <w:gridCol w:w="1674"/>
              <w:gridCol w:w="1672"/>
              <w:gridCol w:w="1682"/>
            </w:tblGrid>
            <w:tr w14:paraId="1050BE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tblHeader/>
                <w:jc w:val="center"/>
              </w:trPr>
              <w:tc>
                <w:tcPr>
                  <w:tcW w:w="1840" w:type="pct"/>
                  <w:tcBorders>
                    <w:tl2br w:val="nil"/>
                    <w:tr2bl w:val="nil"/>
                  </w:tcBorders>
                  <w:vAlign w:val="center"/>
                </w:tcPr>
                <w:p w14:paraId="46EEAF71">
                  <w:pPr>
                    <w:pStyle w:val="62"/>
                    <w:keepNext w:val="0"/>
                    <w:keepLines w:val="0"/>
                    <w:suppressLineNumbers w:val="0"/>
                    <w:spacing w:before="0" w:beforeAutospacing="0" w:after="0" w:afterAutospacing="0" w:line="240" w:lineRule="auto"/>
                    <w:ind w:left="0" w:right="0"/>
                    <w:rPr>
                      <w:rFonts w:hint="default" w:ascii="Times New Roman" w:hAnsi="Times New Roman"/>
                      <w:b/>
                      <w:bCs/>
                      <w:caps w:val="0"/>
                      <w:color w:val="000000" w:themeColor="text1"/>
                      <w:sz w:val="21"/>
                      <w:u w:val="none" w:color="auto"/>
                      <w14:textFill>
                        <w14:solidFill>
                          <w14:schemeClr w14:val="tx1"/>
                        </w14:solidFill>
                      </w14:textFill>
                    </w:rPr>
                  </w:pPr>
                  <w:r>
                    <w:rPr>
                      <w:rFonts w:hint="default" w:ascii="Times New Roman" w:hAnsi="Times New Roman"/>
                      <w:b/>
                      <w:bCs/>
                      <w:caps w:val="0"/>
                      <w:color w:val="000000" w:themeColor="text1"/>
                      <w:sz w:val="21"/>
                      <w:u w:val="none" w:color="auto"/>
                      <w14:textFill>
                        <w14:solidFill>
                          <w14:schemeClr w14:val="tx1"/>
                        </w14:solidFill>
                      </w14:textFill>
                    </w:rPr>
                    <w:t>规模</w:t>
                  </w:r>
                </w:p>
              </w:tc>
              <w:tc>
                <w:tcPr>
                  <w:tcW w:w="1052" w:type="pct"/>
                  <w:tcBorders>
                    <w:tl2br w:val="nil"/>
                    <w:tr2bl w:val="nil"/>
                  </w:tcBorders>
                  <w:vAlign w:val="center"/>
                </w:tcPr>
                <w:p w14:paraId="6E5CBF84">
                  <w:pPr>
                    <w:pStyle w:val="62"/>
                    <w:keepNext w:val="0"/>
                    <w:keepLines w:val="0"/>
                    <w:suppressLineNumbers w:val="0"/>
                    <w:spacing w:before="0" w:beforeAutospacing="0" w:after="0" w:afterAutospacing="0" w:line="240" w:lineRule="auto"/>
                    <w:ind w:left="0" w:right="0"/>
                    <w:rPr>
                      <w:rFonts w:hint="default" w:ascii="Times New Roman" w:hAnsi="Times New Roman"/>
                      <w:b/>
                      <w:bCs/>
                      <w:caps w:val="0"/>
                      <w:color w:val="000000" w:themeColor="text1"/>
                      <w:sz w:val="21"/>
                      <w:u w:val="none" w:color="auto"/>
                      <w14:textFill>
                        <w14:solidFill>
                          <w14:schemeClr w14:val="tx1"/>
                        </w14:solidFill>
                      </w14:textFill>
                    </w:rPr>
                  </w:pPr>
                  <w:r>
                    <w:rPr>
                      <w:rFonts w:hint="default" w:ascii="Times New Roman" w:hAnsi="Times New Roman"/>
                      <w:b/>
                      <w:bCs/>
                      <w:caps w:val="0"/>
                      <w:color w:val="000000" w:themeColor="text1"/>
                      <w:sz w:val="21"/>
                      <w:u w:val="none" w:color="auto"/>
                      <w14:textFill>
                        <w14:solidFill>
                          <w14:schemeClr w14:val="tx1"/>
                        </w14:solidFill>
                      </w14:textFill>
                    </w:rPr>
                    <w:t>小型</w:t>
                  </w:r>
                </w:p>
              </w:tc>
              <w:tc>
                <w:tcPr>
                  <w:tcW w:w="1051" w:type="pct"/>
                  <w:tcBorders>
                    <w:tl2br w:val="nil"/>
                    <w:tr2bl w:val="nil"/>
                  </w:tcBorders>
                  <w:vAlign w:val="center"/>
                </w:tcPr>
                <w:p w14:paraId="71305339">
                  <w:pPr>
                    <w:pStyle w:val="62"/>
                    <w:keepNext w:val="0"/>
                    <w:keepLines w:val="0"/>
                    <w:suppressLineNumbers w:val="0"/>
                    <w:spacing w:before="0" w:beforeAutospacing="0" w:after="0" w:afterAutospacing="0" w:line="240" w:lineRule="auto"/>
                    <w:ind w:left="0" w:right="0"/>
                    <w:rPr>
                      <w:rFonts w:hint="default" w:ascii="Times New Roman" w:hAnsi="Times New Roman"/>
                      <w:b/>
                      <w:bCs/>
                      <w:caps w:val="0"/>
                      <w:color w:val="000000" w:themeColor="text1"/>
                      <w:sz w:val="21"/>
                      <w:u w:val="none" w:color="auto"/>
                      <w14:textFill>
                        <w14:solidFill>
                          <w14:schemeClr w14:val="tx1"/>
                        </w14:solidFill>
                      </w14:textFill>
                    </w:rPr>
                  </w:pPr>
                  <w:r>
                    <w:rPr>
                      <w:rFonts w:hint="default" w:ascii="Times New Roman" w:hAnsi="Times New Roman"/>
                      <w:b/>
                      <w:bCs/>
                      <w:caps w:val="0"/>
                      <w:color w:val="000000" w:themeColor="text1"/>
                      <w:sz w:val="21"/>
                      <w:u w:val="none" w:color="auto"/>
                      <w14:textFill>
                        <w14:solidFill>
                          <w14:schemeClr w14:val="tx1"/>
                        </w14:solidFill>
                      </w14:textFill>
                    </w:rPr>
                    <w:t>中型</w:t>
                  </w:r>
                </w:p>
              </w:tc>
              <w:tc>
                <w:tcPr>
                  <w:tcW w:w="1055" w:type="pct"/>
                  <w:tcBorders>
                    <w:tl2br w:val="nil"/>
                    <w:tr2bl w:val="nil"/>
                  </w:tcBorders>
                  <w:vAlign w:val="center"/>
                </w:tcPr>
                <w:p w14:paraId="0F45C2EC">
                  <w:pPr>
                    <w:pStyle w:val="62"/>
                    <w:keepNext w:val="0"/>
                    <w:keepLines w:val="0"/>
                    <w:suppressLineNumbers w:val="0"/>
                    <w:spacing w:before="0" w:beforeAutospacing="0" w:after="0" w:afterAutospacing="0" w:line="240" w:lineRule="auto"/>
                    <w:ind w:left="0" w:right="0"/>
                    <w:rPr>
                      <w:rFonts w:hint="default" w:ascii="Times New Roman" w:hAnsi="Times New Roman"/>
                      <w:b/>
                      <w:bCs/>
                      <w:caps w:val="0"/>
                      <w:color w:val="000000" w:themeColor="text1"/>
                      <w:sz w:val="21"/>
                      <w:u w:val="none" w:color="auto"/>
                      <w14:textFill>
                        <w14:solidFill>
                          <w14:schemeClr w14:val="tx1"/>
                        </w14:solidFill>
                      </w14:textFill>
                    </w:rPr>
                  </w:pPr>
                  <w:r>
                    <w:rPr>
                      <w:rFonts w:hint="default" w:ascii="Times New Roman" w:hAnsi="Times New Roman"/>
                      <w:b/>
                      <w:bCs/>
                      <w:caps w:val="0"/>
                      <w:color w:val="000000" w:themeColor="text1"/>
                      <w:sz w:val="21"/>
                      <w:u w:val="none" w:color="auto"/>
                      <w14:textFill>
                        <w14:solidFill>
                          <w14:schemeClr w14:val="tx1"/>
                        </w14:solidFill>
                      </w14:textFill>
                    </w:rPr>
                    <w:t>大型</w:t>
                  </w:r>
                </w:p>
              </w:tc>
            </w:tr>
            <w:tr w14:paraId="431F35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40" w:type="pct"/>
                  <w:tcBorders>
                    <w:tl2br w:val="nil"/>
                    <w:tr2bl w:val="nil"/>
                  </w:tcBorders>
                  <w:vAlign w:val="center"/>
                </w:tcPr>
                <w:p w14:paraId="0BEC4B94">
                  <w:pPr>
                    <w:pStyle w:val="62"/>
                    <w:keepNext w:val="0"/>
                    <w:keepLines w:val="0"/>
                    <w:suppressLineNumbers w:val="0"/>
                    <w:spacing w:before="0" w:beforeAutospacing="0" w:after="0" w:afterAutospacing="0" w:line="240" w:lineRule="auto"/>
                    <w:ind w:left="0" w:right="0"/>
                    <w:rPr>
                      <w:rFonts w:hint="default" w:ascii="Times New Roman" w:hAnsi="Times New Roman"/>
                      <w:caps w:val="0"/>
                      <w:color w:val="000000" w:themeColor="text1"/>
                      <w:sz w:val="21"/>
                      <w:u w:val="none" w:color="auto"/>
                      <w14:textFill>
                        <w14:solidFill>
                          <w14:schemeClr w14:val="tx1"/>
                        </w14:solidFill>
                      </w14:textFill>
                    </w:rPr>
                  </w:pPr>
                  <w:r>
                    <w:rPr>
                      <w:rFonts w:hint="default" w:ascii="Times New Roman" w:hAnsi="Times New Roman"/>
                      <w:caps w:val="0"/>
                      <w:color w:val="000000" w:themeColor="text1"/>
                      <w:sz w:val="21"/>
                      <w:u w:val="none" w:color="auto"/>
                      <w14:textFill>
                        <w14:solidFill>
                          <w14:schemeClr w14:val="tx1"/>
                        </w14:solidFill>
                      </w14:textFill>
                    </w:rPr>
                    <w:t>最高允许排放浓度（mg/m</w:t>
                  </w:r>
                  <w:r>
                    <w:rPr>
                      <w:rFonts w:hint="default" w:ascii="Times New Roman" w:hAnsi="Times New Roman"/>
                      <w:caps w:val="0"/>
                      <w:color w:val="000000" w:themeColor="text1"/>
                      <w:sz w:val="21"/>
                      <w:u w:val="none" w:color="auto"/>
                      <w:vertAlign w:val="superscript"/>
                      <w14:textFill>
                        <w14:solidFill>
                          <w14:schemeClr w14:val="tx1"/>
                        </w14:solidFill>
                      </w14:textFill>
                    </w:rPr>
                    <w:t>3</w:t>
                  </w:r>
                  <w:r>
                    <w:rPr>
                      <w:rFonts w:hint="default" w:ascii="Times New Roman" w:hAnsi="Times New Roman"/>
                      <w:caps w:val="0"/>
                      <w:color w:val="000000" w:themeColor="text1"/>
                      <w:sz w:val="21"/>
                      <w:u w:val="none" w:color="auto"/>
                      <w14:textFill>
                        <w14:solidFill>
                          <w14:schemeClr w14:val="tx1"/>
                        </w14:solidFill>
                      </w14:textFill>
                    </w:rPr>
                    <w:t>）</w:t>
                  </w:r>
                </w:p>
              </w:tc>
              <w:tc>
                <w:tcPr>
                  <w:tcW w:w="3159" w:type="pct"/>
                  <w:gridSpan w:val="3"/>
                  <w:tcBorders>
                    <w:tl2br w:val="nil"/>
                    <w:tr2bl w:val="nil"/>
                  </w:tcBorders>
                  <w:vAlign w:val="center"/>
                </w:tcPr>
                <w:p w14:paraId="7F13DD43">
                  <w:pPr>
                    <w:pStyle w:val="62"/>
                    <w:keepNext w:val="0"/>
                    <w:keepLines w:val="0"/>
                    <w:suppressLineNumbers w:val="0"/>
                    <w:spacing w:before="0" w:beforeAutospacing="0" w:after="0" w:afterAutospacing="0" w:line="240" w:lineRule="auto"/>
                    <w:ind w:left="0" w:right="0"/>
                    <w:rPr>
                      <w:rFonts w:hint="default" w:ascii="Times New Roman" w:hAnsi="Times New Roman"/>
                      <w:caps w:val="0"/>
                      <w:color w:val="000000" w:themeColor="text1"/>
                      <w:sz w:val="21"/>
                      <w:u w:val="none" w:color="auto"/>
                      <w14:textFill>
                        <w14:solidFill>
                          <w14:schemeClr w14:val="tx1"/>
                        </w14:solidFill>
                      </w14:textFill>
                    </w:rPr>
                  </w:pPr>
                  <w:r>
                    <w:rPr>
                      <w:rFonts w:hint="default" w:ascii="Times New Roman" w:hAnsi="Times New Roman"/>
                      <w:caps w:val="0"/>
                      <w:color w:val="000000" w:themeColor="text1"/>
                      <w:sz w:val="21"/>
                      <w:u w:val="none" w:color="auto"/>
                      <w14:textFill>
                        <w14:solidFill>
                          <w14:schemeClr w14:val="tx1"/>
                        </w14:solidFill>
                      </w14:textFill>
                    </w:rPr>
                    <w:t>2.0</w:t>
                  </w:r>
                </w:p>
              </w:tc>
            </w:tr>
            <w:tr w14:paraId="6385C9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840" w:type="pct"/>
                  <w:tcBorders>
                    <w:tl2br w:val="nil"/>
                    <w:tr2bl w:val="nil"/>
                  </w:tcBorders>
                  <w:vAlign w:val="center"/>
                </w:tcPr>
                <w:p w14:paraId="10901FB7">
                  <w:pPr>
                    <w:pStyle w:val="62"/>
                    <w:keepNext w:val="0"/>
                    <w:keepLines w:val="0"/>
                    <w:suppressLineNumbers w:val="0"/>
                    <w:spacing w:before="0" w:beforeAutospacing="0" w:after="0" w:afterAutospacing="0" w:line="240" w:lineRule="auto"/>
                    <w:ind w:left="0" w:right="0"/>
                    <w:rPr>
                      <w:rFonts w:hint="default" w:ascii="Times New Roman" w:hAnsi="Times New Roman"/>
                      <w:caps w:val="0"/>
                      <w:color w:val="000000" w:themeColor="text1"/>
                      <w:sz w:val="21"/>
                      <w:u w:val="none" w:color="auto"/>
                      <w14:textFill>
                        <w14:solidFill>
                          <w14:schemeClr w14:val="tx1"/>
                        </w14:solidFill>
                      </w14:textFill>
                    </w:rPr>
                  </w:pPr>
                  <w:r>
                    <w:rPr>
                      <w:rFonts w:hint="default" w:ascii="Times New Roman" w:hAnsi="Times New Roman"/>
                      <w:caps w:val="0"/>
                      <w:color w:val="000000" w:themeColor="text1"/>
                      <w:sz w:val="21"/>
                      <w:u w:val="none" w:color="auto"/>
                      <w14:textFill>
                        <w14:solidFill>
                          <w14:schemeClr w14:val="tx1"/>
                        </w14:solidFill>
                      </w14:textFill>
                    </w:rPr>
                    <w:t>净化设施最低去除效率（%）</w:t>
                  </w:r>
                </w:p>
              </w:tc>
              <w:tc>
                <w:tcPr>
                  <w:tcW w:w="1052" w:type="pct"/>
                  <w:tcBorders>
                    <w:tl2br w:val="nil"/>
                    <w:tr2bl w:val="nil"/>
                  </w:tcBorders>
                  <w:vAlign w:val="center"/>
                </w:tcPr>
                <w:p w14:paraId="6F87D446">
                  <w:pPr>
                    <w:pStyle w:val="62"/>
                    <w:keepNext w:val="0"/>
                    <w:keepLines w:val="0"/>
                    <w:suppressLineNumbers w:val="0"/>
                    <w:spacing w:before="0" w:beforeAutospacing="0" w:after="0" w:afterAutospacing="0" w:line="240" w:lineRule="auto"/>
                    <w:ind w:left="0" w:right="0"/>
                    <w:rPr>
                      <w:rFonts w:hint="default" w:ascii="Times New Roman" w:hAnsi="Times New Roman"/>
                      <w:caps w:val="0"/>
                      <w:color w:val="000000" w:themeColor="text1"/>
                      <w:sz w:val="21"/>
                      <w:u w:val="none" w:color="auto"/>
                      <w14:textFill>
                        <w14:solidFill>
                          <w14:schemeClr w14:val="tx1"/>
                        </w14:solidFill>
                      </w14:textFill>
                    </w:rPr>
                  </w:pPr>
                  <w:r>
                    <w:rPr>
                      <w:rFonts w:hint="default" w:ascii="Times New Roman" w:hAnsi="Times New Roman"/>
                      <w:caps w:val="0"/>
                      <w:color w:val="000000" w:themeColor="text1"/>
                      <w:sz w:val="21"/>
                      <w:u w:val="none" w:color="auto"/>
                      <w14:textFill>
                        <w14:solidFill>
                          <w14:schemeClr w14:val="tx1"/>
                        </w14:solidFill>
                      </w14:textFill>
                    </w:rPr>
                    <w:t>60</w:t>
                  </w:r>
                </w:p>
              </w:tc>
              <w:tc>
                <w:tcPr>
                  <w:tcW w:w="1051" w:type="pct"/>
                  <w:tcBorders>
                    <w:tl2br w:val="nil"/>
                    <w:tr2bl w:val="nil"/>
                  </w:tcBorders>
                  <w:vAlign w:val="center"/>
                </w:tcPr>
                <w:p w14:paraId="04B920A2">
                  <w:pPr>
                    <w:pStyle w:val="62"/>
                    <w:keepNext w:val="0"/>
                    <w:keepLines w:val="0"/>
                    <w:suppressLineNumbers w:val="0"/>
                    <w:spacing w:before="0" w:beforeAutospacing="0" w:after="0" w:afterAutospacing="0" w:line="240" w:lineRule="auto"/>
                    <w:ind w:left="0" w:right="0"/>
                    <w:rPr>
                      <w:rFonts w:hint="default" w:ascii="Times New Roman" w:hAnsi="Times New Roman"/>
                      <w:caps w:val="0"/>
                      <w:color w:val="000000" w:themeColor="text1"/>
                      <w:sz w:val="21"/>
                      <w:u w:val="none" w:color="auto"/>
                      <w14:textFill>
                        <w14:solidFill>
                          <w14:schemeClr w14:val="tx1"/>
                        </w14:solidFill>
                      </w14:textFill>
                    </w:rPr>
                  </w:pPr>
                  <w:r>
                    <w:rPr>
                      <w:rFonts w:hint="default" w:ascii="Times New Roman" w:hAnsi="Times New Roman"/>
                      <w:caps w:val="0"/>
                      <w:color w:val="000000" w:themeColor="text1"/>
                      <w:sz w:val="21"/>
                      <w:u w:val="none" w:color="auto"/>
                      <w14:textFill>
                        <w14:solidFill>
                          <w14:schemeClr w14:val="tx1"/>
                        </w14:solidFill>
                      </w14:textFill>
                    </w:rPr>
                    <w:t>75</w:t>
                  </w:r>
                </w:p>
              </w:tc>
              <w:tc>
                <w:tcPr>
                  <w:tcW w:w="1055" w:type="pct"/>
                  <w:tcBorders>
                    <w:tl2br w:val="nil"/>
                    <w:tr2bl w:val="nil"/>
                  </w:tcBorders>
                  <w:vAlign w:val="center"/>
                </w:tcPr>
                <w:p w14:paraId="1E2E4374">
                  <w:pPr>
                    <w:pStyle w:val="62"/>
                    <w:keepNext w:val="0"/>
                    <w:keepLines w:val="0"/>
                    <w:suppressLineNumbers w:val="0"/>
                    <w:spacing w:before="0" w:beforeAutospacing="0" w:after="0" w:afterAutospacing="0" w:line="240" w:lineRule="auto"/>
                    <w:ind w:left="0" w:right="0"/>
                    <w:rPr>
                      <w:rFonts w:hint="default" w:ascii="Times New Roman" w:hAnsi="Times New Roman"/>
                      <w:caps w:val="0"/>
                      <w:color w:val="000000" w:themeColor="text1"/>
                      <w:sz w:val="21"/>
                      <w:u w:val="none" w:color="auto"/>
                      <w14:textFill>
                        <w14:solidFill>
                          <w14:schemeClr w14:val="tx1"/>
                        </w14:solidFill>
                      </w14:textFill>
                    </w:rPr>
                  </w:pPr>
                  <w:r>
                    <w:rPr>
                      <w:rFonts w:hint="default" w:ascii="Times New Roman" w:hAnsi="Times New Roman"/>
                      <w:caps w:val="0"/>
                      <w:color w:val="000000" w:themeColor="text1"/>
                      <w:sz w:val="21"/>
                      <w:u w:val="none" w:color="auto"/>
                      <w14:textFill>
                        <w14:solidFill>
                          <w14:schemeClr w14:val="tx1"/>
                        </w14:solidFill>
                      </w14:textFill>
                    </w:rPr>
                    <w:t>85</w:t>
                  </w:r>
                </w:p>
              </w:tc>
            </w:tr>
            <w:tr w14:paraId="0709A1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5000" w:type="pct"/>
                  <w:gridSpan w:val="4"/>
                  <w:tcBorders>
                    <w:tl2br w:val="nil"/>
                    <w:tr2bl w:val="nil"/>
                  </w:tcBorders>
                  <w:vAlign w:val="center"/>
                </w:tcPr>
                <w:p w14:paraId="7248DA9F">
                  <w:pPr>
                    <w:pStyle w:val="62"/>
                    <w:keepNext w:val="0"/>
                    <w:keepLines w:val="0"/>
                    <w:suppressLineNumbers w:val="0"/>
                    <w:spacing w:before="0" w:beforeAutospacing="0" w:after="0" w:afterAutospacing="0" w:line="240" w:lineRule="auto"/>
                    <w:ind w:left="0" w:right="0"/>
                    <w:rPr>
                      <w:rFonts w:hint="default" w:ascii="Times New Roman" w:hAnsi="Times New Roman"/>
                      <w:caps w:val="0"/>
                      <w:color w:val="000000" w:themeColor="text1"/>
                      <w:sz w:val="21"/>
                      <w:u w:val="none" w:color="auto"/>
                      <w14:textFill>
                        <w14:solidFill>
                          <w14:schemeClr w14:val="tx1"/>
                        </w14:solidFill>
                      </w14:textFill>
                    </w:rPr>
                  </w:pPr>
                  <w:r>
                    <w:rPr>
                      <w:rFonts w:hint="default" w:ascii="Times New Roman" w:hAnsi="Times New Roman"/>
                      <w:caps w:val="0"/>
                      <w:color w:val="000000" w:themeColor="text1"/>
                      <w:kern w:val="2"/>
                      <w:sz w:val="21"/>
                      <w:u w:val="none" w:color="auto"/>
                      <w14:textFill>
                        <w14:solidFill>
                          <w14:schemeClr w14:val="tx1"/>
                        </w14:solidFill>
                      </w14:textFill>
                    </w:rPr>
                    <w:t>依据：《饮食业油烟排放标准》GB8483-2001</w:t>
                  </w:r>
                </w:p>
              </w:tc>
            </w:tr>
          </w:tbl>
          <w:p w14:paraId="6AE60E73">
            <w:pPr>
              <w:pStyle w:val="33"/>
              <w:keepNext w:val="0"/>
              <w:keepLines w:val="0"/>
              <w:pageBreakBefore w:val="0"/>
              <w:widowControl w:val="0"/>
              <w:numPr>
                <w:ilvl w:val="0"/>
                <w:numId w:val="18"/>
              </w:numPr>
              <w:suppressLineNumbers w:val="0"/>
              <w:kinsoku/>
              <w:wordWrap/>
              <w:overflowPunct/>
              <w:topLinePunct w:val="0"/>
              <w:autoSpaceDE/>
              <w:autoSpaceDN/>
              <w:bidi w:val="0"/>
              <w:adjustRightInd/>
              <w:snapToGrid/>
              <w:spacing w:before="157" w:beforeLines="50" w:beforeAutospacing="0" w:after="0" w:afterAutospacing="0"/>
              <w:ind w:right="0" w:firstLineChars="0"/>
              <w:jc w:val="center"/>
              <w:textAlignment w:val="auto"/>
              <w:rPr>
                <w:rFonts w:hint="eastAsia"/>
                <w:sz w:val="24"/>
                <w:lang w:val="en-US" w:eastAsia="zh-CN"/>
              </w:rPr>
            </w:pPr>
            <w:r>
              <w:rPr>
                <w:rFonts w:hint="eastAsia"/>
                <w:b/>
                <w:bCs/>
                <w:sz w:val="24"/>
                <w:szCs w:val="24"/>
                <w:lang w:val="en-US" w:eastAsia="zh-CN"/>
              </w:rPr>
              <w:t>锅炉大气污染物排放标准</w:t>
            </w:r>
          </w:p>
          <w:tbl>
            <w:tblPr>
              <w:tblStyle w:val="2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50"/>
              <w:gridCol w:w="2652"/>
              <w:gridCol w:w="2653"/>
            </w:tblGrid>
            <w:tr w14:paraId="66DAB3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665" w:type="pct"/>
                  <w:tcBorders>
                    <w:tl2br w:val="nil"/>
                    <w:tr2bl w:val="nil"/>
                  </w:tcBorders>
                  <w:vAlign w:val="center"/>
                </w:tcPr>
                <w:p w14:paraId="38DCC95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污染物项目</w:t>
                  </w:r>
                </w:p>
              </w:tc>
              <w:tc>
                <w:tcPr>
                  <w:tcW w:w="1666" w:type="pct"/>
                  <w:tcBorders>
                    <w:tl2br w:val="nil"/>
                    <w:tr2bl w:val="nil"/>
                  </w:tcBorders>
                  <w:vAlign w:val="center"/>
                </w:tcPr>
                <w:p w14:paraId="3ADBA169">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限值  单位：mg/m</w:t>
                  </w:r>
                  <w:r>
                    <w:rPr>
                      <w:rFonts w:hint="eastAsia"/>
                      <w:b/>
                      <w:bCs/>
                      <w:sz w:val="21"/>
                      <w:szCs w:val="21"/>
                      <w:vertAlign w:val="superscript"/>
                      <w:lang w:val="en-US" w:eastAsia="zh-CN"/>
                    </w:rPr>
                    <w:t>3</w:t>
                  </w:r>
                </w:p>
              </w:tc>
              <w:tc>
                <w:tcPr>
                  <w:tcW w:w="1667" w:type="pct"/>
                  <w:tcBorders>
                    <w:tl2br w:val="nil"/>
                    <w:tr2bl w:val="nil"/>
                  </w:tcBorders>
                  <w:vAlign w:val="center"/>
                </w:tcPr>
                <w:p w14:paraId="2FB8A61F">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污染物排放监测位置</w:t>
                  </w:r>
                </w:p>
              </w:tc>
            </w:tr>
            <w:tr w14:paraId="139CE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4D00EF16">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颗粒物</w:t>
                  </w:r>
                </w:p>
              </w:tc>
              <w:tc>
                <w:tcPr>
                  <w:tcW w:w="1666" w:type="pct"/>
                  <w:tcBorders>
                    <w:tl2br w:val="nil"/>
                    <w:tr2bl w:val="nil"/>
                  </w:tcBorders>
                  <w:vAlign w:val="center"/>
                </w:tcPr>
                <w:p w14:paraId="32D2D27E">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30</w:t>
                  </w:r>
                </w:p>
              </w:tc>
              <w:tc>
                <w:tcPr>
                  <w:tcW w:w="1667" w:type="pct"/>
                  <w:vMerge w:val="restart"/>
                  <w:tcBorders>
                    <w:tl2br w:val="nil"/>
                    <w:tr2bl w:val="nil"/>
                  </w:tcBorders>
                  <w:vAlign w:val="center"/>
                </w:tcPr>
                <w:p w14:paraId="5A4A1EE8">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烟囱或烟道</w:t>
                  </w:r>
                </w:p>
              </w:tc>
            </w:tr>
            <w:tr w14:paraId="38C0B4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69DF5C8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二氧化硫</w:t>
                  </w:r>
                </w:p>
              </w:tc>
              <w:tc>
                <w:tcPr>
                  <w:tcW w:w="1666" w:type="pct"/>
                  <w:tcBorders>
                    <w:tl2br w:val="nil"/>
                    <w:tr2bl w:val="nil"/>
                  </w:tcBorders>
                  <w:vAlign w:val="center"/>
                </w:tcPr>
                <w:p w14:paraId="568EC356">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200</w:t>
                  </w:r>
                </w:p>
              </w:tc>
              <w:tc>
                <w:tcPr>
                  <w:tcW w:w="1667" w:type="pct"/>
                  <w:vMerge w:val="continue"/>
                  <w:tcBorders>
                    <w:tl2br w:val="nil"/>
                    <w:tr2bl w:val="nil"/>
                  </w:tcBorders>
                  <w:vAlign w:val="center"/>
                </w:tcPr>
                <w:p w14:paraId="717EF201">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p>
              </w:tc>
            </w:tr>
            <w:tr w14:paraId="42B1B8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662883BF">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氮氧化物</w:t>
                  </w:r>
                </w:p>
              </w:tc>
              <w:tc>
                <w:tcPr>
                  <w:tcW w:w="1666" w:type="pct"/>
                  <w:tcBorders>
                    <w:tl2br w:val="nil"/>
                    <w:tr2bl w:val="nil"/>
                  </w:tcBorders>
                  <w:vAlign w:val="center"/>
                </w:tcPr>
                <w:p w14:paraId="3C12FEDD">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200</w:t>
                  </w:r>
                </w:p>
              </w:tc>
              <w:tc>
                <w:tcPr>
                  <w:tcW w:w="1667" w:type="pct"/>
                  <w:vMerge w:val="continue"/>
                  <w:tcBorders>
                    <w:tl2br w:val="nil"/>
                    <w:tr2bl w:val="nil"/>
                  </w:tcBorders>
                  <w:vAlign w:val="center"/>
                </w:tcPr>
                <w:p w14:paraId="29BD6B28">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p>
              </w:tc>
            </w:tr>
            <w:tr w14:paraId="088D26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6E40AE97">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烟气黑度（林格曼黑度，级）</w:t>
                  </w:r>
                </w:p>
              </w:tc>
              <w:tc>
                <w:tcPr>
                  <w:tcW w:w="1666" w:type="pct"/>
                  <w:tcBorders>
                    <w:tl2br w:val="nil"/>
                    <w:tr2bl w:val="nil"/>
                  </w:tcBorders>
                  <w:vAlign w:val="center"/>
                </w:tcPr>
                <w:p w14:paraId="15F19D57">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1667" w:type="pct"/>
                  <w:tcBorders>
                    <w:tl2br w:val="nil"/>
                    <w:tr2bl w:val="nil"/>
                  </w:tcBorders>
                  <w:vAlign w:val="center"/>
                </w:tcPr>
                <w:p w14:paraId="6FAC33C0">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烟囱排放口</w:t>
                  </w:r>
                </w:p>
              </w:tc>
            </w:tr>
          </w:tbl>
          <w:p w14:paraId="5CD37C92">
            <w:pPr>
              <w:pStyle w:val="33"/>
              <w:keepNext w:val="0"/>
              <w:keepLines w:val="0"/>
              <w:pageBreakBefore w:val="0"/>
              <w:widowControl w:val="0"/>
              <w:numPr>
                <w:ilvl w:val="0"/>
                <w:numId w:val="18"/>
              </w:numPr>
              <w:suppressLineNumbers w:val="0"/>
              <w:kinsoku/>
              <w:wordWrap/>
              <w:overflowPunct/>
              <w:topLinePunct w:val="0"/>
              <w:autoSpaceDE/>
              <w:autoSpaceDN/>
              <w:bidi w:val="0"/>
              <w:adjustRightInd/>
              <w:snapToGrid/>
              <w:spacing w:before="157" w:beforeLines="50" w:beforeAutospacing="0" w:after="0" w:afterAutospacing="0"/>
              <w:ind w:right="0" w:firstLineChars="0"/>
              <w:jc w:val="center"/>
              <w:textAlignment w:val="auto"/>
              <w:rPr>
                <w:rFonts w:hint="default"/>
                <w:sz w:val="24"/>
                <w:lang w:val="en-US" w:eastAsia="zh-CN"/>
              </w:rPr>
            </w:pPr>
            <w:r>
              <w:rPr>
                <w:rFonts w:hint="eastAsia"/>
                <w:b/>
                <w:bCs/>
                <w:sz w:val="24"/>
                <w:szCs w:val="24"/>
                <w:lang w:val="en-US" w:eastAsia="zh-CN"/>
              </w:rPr>
              <w:t>恶臭污染物排放标准</w:t>
            </w:r>
          </w:p>
          <w:tbl>
            <w:tblPr>
              <w:tblStyle w:val="24"/>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517"/>
              <w:gridCol w:w="4439"/>
            </w:tblGrid>
            <w:tr w14:paraId="3B55D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3446B993">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污染物</w:t>
                  </w:r>
                </w:p>
              </w:tc>
              <w:tc>
                <w:tcPr>
                  <w:tcW w:w="2789" w:type="pct"/>
                  <w:tcBorders>
                    <w:tl2br w:val="nil"/>
                    <w:tr2bl w:val="nil"/>
                  </w:tcBorders>
                  <w:vAlign w:val="center"/>
                </w:tcPr>
                <w:p w14:paraId="4E73FDEB">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b/>
                      <w:bCs/>
                      <w:caps w:val="0"/>
                      <w:color w:val="000000" w:themeColor="text1"/>
                      <w:szCs w:val="21"/>
                      <w:u w:val="none" w:color="auto"/>
                      <w14:textFill>
                        <w14:solidFill>
                          <w14:schemeClr w14:val="tx1"/>
                        </w14:solidFill>
                      </w14:textFill>
                    </w:rPr>
                    <w:t>无组织排放监控浓度限制（mg/m</w:t>
                  </w:r>
                  <w:r>
                    <w:rPr>
                      <w:rFonts w:hint="default" w:ascii="Times New Roman" w:hAnsi="Times New Roman"/>
                      <w:b/>
                      <w:bCs/>
                      <w:caps w:val="0"/>
                      <w:color w:val="000000" w:themeColor="text1"/>
                      <w:szCs w:val="21"/>
                      <w:u w:val="none" w:color="auto"/>
                      <w:vertAlign w:val="superscript"/>
                      <w14:textFill>
                        <w14:solidFill>
                          <w14:schemeClr w14:val="tx1"/>
                        </w14:solidFill>
                      </w14:textFill>
                    </w:rPr>
                    <w:t>3</w:t>
                  </w:r>
                  <w:r>
                    <w:rPr>
                      <w:rFonts w:hint="default" w:ascii="Times New Roman" w:hAnsi="Times New Roman"/>
                      <w:b/>
                      <w:bCs/>
                      <w:caps w:val="0"/>
                      <w:color w:val="000000" w:themeColor="text1"/>
                      <w:szCs w:val="21"/>
                      <w:u w:val="none" w:color="auto"/>
                      <w14:textFill>
                        <w14:solidFill>
                          <w14:schemeClr w14:val="tx1"/>
                        </w14:solidFill>
                      </w14:textFill>
                    </w:rPr>
                    <w:t>）</w:t>
                  </w:r>
                </w:p>
              </w:tc>
            </w:tr>
            <w:tr w14:paraId="25ACCA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4904F1B6">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臭气浓度</w:t>
                  </w:r>
                </w:p>
              </w:tc>
              <w:tc>
                <w:tcPr>
                  <w:tcW w:w="2789" w:type="pct"/>
                  <w:tcBorders>
                    <w:tl2br w:val="nil"/>
                    <w:tr2bl w:val="nil"/>
                  </w:tcBorders>
                  <w:vAlign w:val="center"/>
                </w:tcPr>
                <w:p w14:paraId="51173D8E">
                  <w:pPr>
                    <w:keepNext w:val="0"/>
                    <w:keepLines w:val="0"/>
                    <w:suppressLineNumbers w:val="0"/>
                    <w:spacing w:before="0" w:beforeAutospacing="0" w:after="0" w:afterAutospacing="0"/>
                    <w:ind w:left="0" w:right="0"/>
                    <w:jc w:val="center"/>
                    <w:rPr>
                      <w:rFonts w:hint="eastAsia" w:ascii="Times New Roman" w:hAnsi="Times New Roman" w:eastAsia="宋体"/>
                      <w:caps w:val="0"/>
                      <w:color w:val="000000" w:themeColor="text1"/>
                      <w:szCs w:val="21"/>
                      <w:u w:val="none" w:color="auto"/>
                      <w:lang w:eastAsia="zh-CN"/>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20</w:t>
                  </w:r>
                  <w:r>
                    <w:rPr>
                      <w:rFonts w:hint="eastAsia"/>
                      <w:caps w:val="0"/>
                      <w:color w:val="000000" w:themeColor="text1"/>
                      <w:szCs w:val="21"/>
                      <w:u w:val="none" w:color="auto"/>
                      <w:lang w:eastAsia="zh-CN"/>
                      <w14:textFill>
                        <w14:solidFill>
                          <w14:schemeClr w14:val="tx1"/>
                        </w14:solidFill>
                      </w14:textFill>
                    </w:rPr>
                    <w:t>（</w:t>
                  </w:r>
                  <w:r>
                    <w:rPr>
                      <w:rFonts w:hint="eastAsia"/>
                      <w:caps w:val="0"/>
                      <w:color w:val="000000" w:themeColor="text1"/>
                      <w:szCs w:val="21"/>
                      <w:u w:val="none" w:color="auto"/>
                      <w:lang w:val="en-US" w:eastAsia="zh-CN"/>
                      <w14:textFill>
                        <w14:solidFill>
                          <w14:schemeClr w14:val="tx1"/>
                        </w14:solidFill>
                      </w14:textFill>
                    </w:rPr>
                    <w:t>无量纲</w:t>
                  </w:r>
                  <w:r>
                    <w:rPr>
                      <w:rFonts w:hint="eastAsia"/>
                      <w:caps w:val="0"/>
                      <w:color w:val="000000" w:themeColor="text1"/>
                      <w:szCs w:val="21"/>
                      <w:u w:val="none" w:color="auto"/>
                      <w:lang w:eastAsia="zh-CN"/>
                      <w14:textFill>
                        <w14:solidFill>
                          <w14:schemeClr w14:val="tx1"/>
                        </w14:solidFill>
                      </w14:textFill>
                    </w:rPr>
                    <w:t>）</w:t>
                  </w:r>
                </w:p>
              </w:tc>
            </w:tr>
            <w:tr w14:paraId="626BCF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41C14A2A">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硫化氢</w:t>
                  </w:r>
                </w:p>
              </w:tc>
              <w:tc>
                <w:tcPr>
                  <w:tcW w:w="2789" w:type="pct"/>
                  <w:tcBorders>
                    <w:tl2br w:val="nil"/>
                    <w:tr2bl w:val="nil"/>
                  </w:tcBorders>
                  <w:vAlign w:val="center"/>
                </w:tcPr>
                <w:p w14:paraId="02193EBC">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0.06</w:t>
                  </w:r>
                </w:p>
              </w:tc>
            </w:tr>
            <w:tr w14:paraId="78A2A8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210" w:type="pct"/>
                  <w:tcBorders>
                    <w:tl2br w:val="nil"/>
                    <w:tr2bl w:val="nil"/>
                  </w:tcBorders>
                  <w:vAlign w:val="center"/>
                </w:tcPr>
                <w:p w14:paraId="7100B536">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氨</w:t>
                  </w:r>
                </w:p>
              </w:tc>
              <w:tc>
                <w:tcPr>
                  <w:tcW w:w="2789" w:type="pct"/>
                  <w:tcBorders>
                    <w:tl2br w:val="nil"/>
                    <w:tr2bl w:val="nil"/>
                  </w:tcBorders>
                  <w:vAlign w:val="center"/>
                </w:tcPr>
                <w:p w14:paraId="500DA799">
                  <w:pPr>
                    <w:keepNext w:val="0"/>
                    <w:keepLines w:val="0"/>
                    <w:suppressLineNumbers w:val="0"/>
                    <w:spacing w:before="0" w:beforeAutospacing="0" w:after="0" w:afterAutospacing="0"/>
                    <w:ind w:left="0" w:right="0"/>
                    <w:jc w:val="center"/>
                    <w:rPr>
                      <w:rFonts w:hint="default" w:ascii="Times New Roman" w:hAnsi="Times New Roman"/>
                      <w:caps w:val="0"/>
                      <w:color w:val="000000" w:themeColor="text1"/>
                      <w:szCs w:val="21"/>
                      <w:u w:val="none" w:color="auto"/>
                      <w14:textFill>
                        <w14:solidFill>
                          <w14:schemeClr w14:val="tx1"/>
                        </w14:solidFill>
                      </w14:textFill>
                    </w:rPr>
                  </w:pPr>
                  <w:r>
                    <w:rPr>
                      <w:rFonts w:hint="default" w:ascii="Times New Roman" w:hAnsi="Times New Roman"/>
                      <w:caps w:val="0"/>
                      <w:color w:val="000000" w:themeColor="text1"/>
                      <w:szCs w:val="21"/>
                      <w:u w:val="none" w:color="auto"/>
                      <w14:textFill>
                        <w14:solidFill>
                          <w14:schemeClr w14:val="tx1"/>
                        </w14:solidFill>
                      </w14:textFill>
                    </w:rPr>
                    <w:t>1.5</w:t>
                  </w:r>
                </w:p>
              </w:tc>
            </w:tr>
          </w:tbl>
          <w:p w14:paraId="4A40CB04">
            <w:pPr>
              <w:pStyle w:val="33"/>
              <w:keepNext w:val="0"/>
              <w:keepLines w:val="0"/>
              <w:pageBreakBefore w:val="0"/>
              <w:widowControl w:val="0"/>
              <w:numPr>
                <w:ilvl w:val="0"/>
                <w:numId w:val="18"/>
              </w:numPr>
              <w:suppressLineNumbers w:val="0"/>
              <w:kinsoku/>
              <w:wordWrap/>
              <w:overflowPunct/>
              <w:topLinePunct w:val="0"/>
              <w:autoSpaceDE/>
              <w:autoSpaceDN/>
              <w:bidi w:val="0"/>
              <w:adjustRightInd/>
              <w:snapToGrid/>
              <w:spacing w:before="157" w:beforeLines="50" w:beforeAutospacing="0" w:after="0" w:afterAutospacing="0"/>
              <w:ind w:right="0" w:firstLineChars="0"/>
              <w:jc w:val="center"/>
              <w:textAlignment w:val="auto"/>
              <w:rPr>
                <w:rFonts w:hint="default"/>
                <w:b/>
                <w:bCs/>
                <w:sz w:val="24"/>
                <w:szCs w:val="24"/>
                <w:lang w:val="en-US" w:eastAsia="zh-CN"/>
              </w:rPr>
            </w:pPr>
            <w:r>
              <w:rPr>
                <w:rFonts w:hint="default"/>
                <w:b/>
                <w:bCs/>
                <w:sz w:val="24"/>
                <w:szCs w:val="24"/>
                <w:lang w:val="en-US" w:eastAsia="zh-CN"/>
              </w:rPr>
              <w:t>大气污染物综合排放标准</w:t>
            </w:r>
          </w:p>
          <w:tbl>
            <w:tblPr>
              <w:tblStyle w:val="25"/>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649"/>
              <w:gridCol w:w="2651"/>
              <w:gridCol w:w="2655"/>
            </w:tblGrid>
            <w:tr w14:paraId="60BD96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665" w:type="pct"/>
                  <w:tcBorders>
                    <w:tl2br w:val="nil"/>
                    <w:tr2bl w:val="nil"/>
                  </w:tcBorders>
                  <w:vAlign w:val="center"/>
                </w:tcPr>
                <w:p w14:paraId="026B5B14">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污染物项目</w:t>
                  </w:r>
                </w:p>
              </w:tc>
              <w:tc>
                <w:tcPr>
                  <w:tcW w:w="1666" w:type="pct"/>
                  <w:tcBorders>
                    <w:tl2br w:val="nil"/>
                    <w:tr2bl w:val="nil"/>
                  </w:tcBorders>
                  <w:vAlign w:val="center"/>
                </w:tcPr>
                <w:p w14:paraId="41F58C1A">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限值  单位：mg/m</w:t>
                  </w:r>
                  <w:r>
                    <w:rPr>
                      <w:rFonts w:hint="eastAsia"/>
                      <w:b/>
                      <w:bCs/>
                      <w:sz w:val="21"/>
                      <w:szCs w:val="21"/>
                      <w:vertAlign w:val="superscript"/>
                      <w:lang w:val="en-US" w:eastAsia="zh-CN"/>
                    </w:rPr>
                    <w:t>3</w:t>
                  </w:r>
                </w:p>
              </w:tc>
              <w:tc>
                <w:tcPr>
                  <w:tcW w:w="1667" w:type="pct"/>
                  <w:tcBorders>
                    <w:tl2br w:val="nil"/>
                    <w:tr2bl w:val="nil"/>
                  </w:tcBorders>
                  <w:vAlign w:val="center"/>
                </w:tcPr>
                <w:p w14:paraId="56BA3B2B">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vertAlign w:val="baseline"/>
                      <w:lang w:val="en-US" w:eastAsia="zh-CN"/>
                    </w:rPr>
                  </w:pPr>
                  <w:r>
                    <w:rPr>
                      <w:rFonts w:hint="eastAsia"/>
                      <w:b/>
                      <w:bCs/>
                      <w:sz w:val="21"/>
                      <w:szCs w:val="21"/>
                      <w:vertAlign w:val="baseline"/>
                      <w:lang w:val="en-US" w:eastAsia="zh-CN"/>
                    </w:rPr>
                    <w:t>污染物排放监测位置</w:t>
                  </w:r>
                </w:p>
              </w:tc>
            </w:tr>
            <w:tr w14:paraId="6AEE45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631FD5E3">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颗粒物</w:t>
                  </w:r>
                </w:p>
              </w:tc>
              <w:tc>
                <w:tcPr>
                  <w:tcW w:w="1666" w:type="pct"/>
                  <w:tcBorders>
                    <w:tl2br w:val="nil"/>
                    <w:tr2bl w:val="nil"/>
                  </w:tcBorders>
                  <w:vAlign w:val="center"/>
                </w:tcPr>
                <w:p w14:paraId="5A520F03">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1667" w:type="pct"/>
                  <w:tcBorders>
                    <w:tl2br w:val="nil"/>
                    <w:tr2bl w:val="nil"/>
                  </w:tcBorders>
                  <w:vAlign w:val="center"/>
                </w:tcPr>
                <w:p w14:paraId="3DF42E40">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厂界</w:t>
                  </w:r>
                </w:p>
              </w:tc>
            </w:tr>
            <w:tr w14:paraId="0DDBE9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5000" w:type="pct"/>
                  <w:gridSpan w:val="3"/>
                  <w:tcBorders>
                    <w:tl2br w:val="nil"/>
                    <w:tr2bl w:val="nil"/>
                  </w:tcBorders>
                  <w:vAlign w:val="center"/>
                </w:tcPr>
                <w:p w14:paraId="657DB230">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《大气污染物综合排放标准》（GB16297-1996）中表2无组织排放限值</w:t>
                  </w:r>
                </w:p>
              </w:tc>
            </w:tr>
          </w:tbl>
          <w:p w14:paraId="60CF0ACC">
            <w:pPr>
              <w:keepNext w:val="0"/>
              <w:keepLines w:val="0"/>
              <w:suppressLineNumbers w:val="0"/>
              <w:adjustRightInd w:val="0"/>
              <w:snapToGrid w:val="0"/>
              <w:spacing w:before="120" w:beforeLines="50" w:beforeAutospacing="0" w:after="0" w:afterAutospacing="0" w:line="360" w:lineRule="auto"/>
              <w:ind w:left="0" w:right="0"/>
              <w:rPr>
                <w:rFonts w:hint="default"/>
                <w:b/>
                <w:bCs/>
                <w:spacing w:val="-10"/>
                <w:sz w:val="24"/>
              </w:rPr>
            </w:pPr>
            <w:r>
              <w:rPr>
                <w:rFonts w:hint="default"/>
                <w:b/>
                <w:bCs/>
                <w:spacing w:val="-10"/>
                <w:sz w:val="24"/>
              </w:rPr>
              <w:t>2、废水排放标准</w:t>
            </w:r>
          </w:p>
          <w:p w14:paraId="1134E491">
            <w:pPr>
              <w:pStyle w:val="22"/>
              <w:keepNext w:val="0"/>
              <w:keepLines w:val="0"/>
              <w:widowControl w:val="0"/>
              <w:suppressLineNumbers w:val="0"/>
              <w:spacing w:before="0" w:beforeAutospacing="0" w:after="0" w:afterAutospacing="0" w:line="360" w:lineRule="auto"/>
              <w:ind w:left="0" w:firstLine="480" w:firstLineChars="200"/>
              <w:rPr>
                <w:rFonts w:hint="eastAsia" w:ascii="Times New Roman" w:hAnsi="Times New Roman"/>
                <w:szCs w:val="24"/>
                <w:lang w:val="en-US" w:eastAsia="zh-CN"/>
              </w:rPr>
            </w:pPr>
            <w:r>
              <w:rPr>
                <w:rFonts w:hint="default" w:ascii="Times New Roman" w:hAnsi="Times New Roman"/>
                <w:szCs w:val="24"/>
              </w:rPr>
              <w:t>本项目</w:t>
            </w:r>
            <w:r>
              <w:rPr>
                <w:rFonts w:hint="eastAsia" w:ascii="Times New Roman" w:hAnsi="Times New Roman"/>
                <w:szCs w:val="24"/>
                <w:lang w:val="en-US" w:eastAsia="zh-CN"/>
              </w:rPr>
              <w:t>生产废水经厂区隔油沉淀池沉淀处理后与和经化粪池预处理的生活污水达到君山第二污水处理厂预处理中心废水接纳标准后排入园区污水管网，</w:t>
            </w:r>
            <w:r>
              <w:rPr>
                <w:rFonts w:hint="eastAsia" w:ascii="Times New Roman" w:hAnsi="Times New Roman"/>
                <w:szCs w:val="24"/>
                <w:highlight w:val="none"/>
                <w:lang w:val="en-US" w:eastAsia="zh-CN"/>
              </w:rPr>
              <w:t>进入君山区第二污水处理厂预处理中心处理</w:t>
            </w:r>
            <w:r>
              <w:rPr>
                <w:rFonts w:hint="eastAsia" w:ascii="Times New Roman" w:hAnsi="Times New Roman"/>
                <w:szCs w:val="24"/>
                <w:lang w:val="en-US" w:eastAsia="zh-CN"/>
              </w:rPr>
              <w:t>，再排入君山区第二污水处理厂进行深度处理，水质达到《城镇污水处理厂污染物排放标准》（GB18918-2002）及其修改单一级A标准后，通过沿柳毅西路铺设的污水管网排入长江。</w:t>
            </w:r>
          </w:p>
          <w:p w14:paraId="7A0720FC">
            <w:pPr>
              <w:pStyle w:val="22"/>
              <w:keepNext w:val="0"/>
              <w:keepLines w:val="0"/>
              <w:widowControl w:val="0"/>
              <w:suppressLineNumbers w:val="0"/>
              <w:spacing w:before="0" w:beforeAutospacing="0" w:after="0" w:afterAutospacing="0" w:line="360" w:lineRule="auto"/>
              <w:ind w:left="0" w:firstLine="480" w:firstLineChars="200"/>
              <w:rPr>
                <w:rFonts w:hint="default" w:ascii="Times New Roman" w:hAnsi="Times New Roman"/>
                <w:spacing w:val="6"/>
              </w:rPr>
            </w:pPr>
            <w:r>
              <w:rPr>
                <w:rFonts w:hint="eastAsia" w:ascii="Times New Roman" w:hAnsi="Times New Roman"/>
                <w:szCs w:val="24"/>
                <w:lang w:val="en-US" w:eastAsia="zh-CN"/>
              </w:rPr>
              <w:t>本项目废水执行君山区第二污水处理厂前端预处理工程进水水质标准；君山区第二污水处理厂出水水质执行《城镇污水处理厂污染物排放标准》（GB18918-2002）表1中一级A标准，相应标准限值见下表。</w:t>
            </w:r>
            <w:r>
              <w:rPr>
                <w:rFonts w:hint="default" w:ascii="Times New Roman" w:hAnsi="Times New Roman"/>
                <w:spacing w:val="6"/>
              </w:rPr>
              <w:t>详见下表：</w:t>
            </w:r>
          </w:p>
          <w:p w14:paraId="47759B04">
            <w:pPr>
              <w:pStyle w:val="33"/>
              <w:keepNext w:val="0"/>
              <w:keepLines w:val="0"/>
              <w:pageBreakBefore w:val="0"/>
              <w:widowControl w:val="0"/>
              <w:numPr>
                <w:ilvl w:val="0"/>
                <w:numId w:val="18"/>
              </w:numPr>
              <w:suppressLineNumbers w:val="0"/>
              <w:kinsoku/>
              <w:wordWrap/>
              <w:overflowPunct/>
              <w:topLinePunct w:val="0"/>
              <w:autoSpaceDE/>
              <w:autoSpaceDN/>
              <w:bidi w:val="0"/>
              <w:adjustRightInd/>
              <w:snapToGrid/>
              <w:spacing w:before="0" w:beforeAutospacing="0" w:after="0" w:afterAutospacing="0"/>
              <w:ind w:right="0" w:firstLineChars="0"/>
              <w:jc w:val="right"/>
              <w:textAlignment w:val="auto"/>
              <w:rPr>
                <w:rFonts w:hint="eastAsia"/>
                <w:b/>
                <w:bCs/>
                <w:sz w:val="21"/>
                <w:szCs w:val="21"/>
                <w:lang w:val="en-US" w:eastAsia="zh-CN"/>
              </w:rPr>
            </w:pPr>
            <w:r>
              <w:rPr>
                <w:rFonts w:hint="eastAsia"/>
                <w:b/>
                <w:bCs/>
                <w:sz w:val="24"/>
                <w:szCs w:val="24"/>
                <w:lang w:val="en-US" w:eastAsia="zh-CN"/>
              </w:rPr>
              <w:t>废水排放标准      单位：PH无量纲，其他mg/L</w:t>
            </w:r>
          </w:p>
          <w:tbl>
            <w:tblPr>
              <w:tblStyle w:val="24"/>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922"/>
              <w:gridCol w:w="580"/>
              <w:gridCol w:w="755"/>
              <w:gridCol w:w="767"/>
              <w:gridCol w:w="807"/>
              <w:gridCol w:w="647"/>
              <w:gridCol w:w="761"/>
              <w:gridCol w:w="717"/>
            </w:tblGrid>
            <w:tr w14:paraId="2C4ED1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38" w:type="pct"/>
                  <w:vMerge w:val="restart"/>
                  <w:vAlign w:val="center"/>
                </w:tcPr>
                <w:p w14:paraId="55C93FB2">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排放标准</w:t>
                  </w:r>
                </w:p>
              </w:tc>
              <w:tc>
                <w:tcPr>
                  <w:tcW w:w="3161" w:type="pct"/>
                  <w:gridSpan w:val="7"/>
                  <w:vAlign w:val="center"/>
                </w:tcPr>
                <w:p w14:paraId="1523A3D1">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评价因子及标准限值</w:t>
                  </w:r>
                </w:p>
              </w:tc>
            </w:tr>
            <w:tr w14:paraId="1159AE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38" w:type="pct"/>
                  <w:vMerge w:val="continue"/>
                  <w:vAlign w:val="center"/>
                </w:tcPr>
                <w:p w14:paraId="6DFF2ADD">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p>
              </w:tc>
              <w:tc>
                <w:tcPr>
                  <w:tcW w:w="366" w:type="pct"/>
                  <w:vAlign w:val="center"/>
                </w:tcPr>
                <w:p w14:paraId="360E5044">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pH</w:t>
                  </w:r>
                </w:p>
              </w:tc>
              <w:tc>
                <w:tcPr>
                  <w:tcW w:w="476" w:type="pct"/>
                  <w:vAlign w:val="center"/>
                </w:tcPr>
                <w:p w14:paraId="3EC78498">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COD</w:t>
                  </w:r>
                </w:p>
              </w:tc>
              <w:tc>
                <w:tcPr>
                  <w:tcW w:w="484" w:type="pct"/>
                  <w:vAlign w:val="center"/>
                </w:tcPr>
                <w:p w14:paraId="3EEBAC93">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BOD</w:t>
                  </w:r>
                  <w:r>
                    <w:rPr>
                      <w:rFonts w:hint="default" w:ascii="Times New Roman" w:hAnsi="Times New Roman"/>
                      <w:b/>
                      <w:bCs/>
                      <w:caps w:val="0"/>
                      <w:color w:val="000000" w:themeColor="text1"/>
                      <w:sz w:val="21"/>
                      <w:szCs w:val="21"/>
                      <w:u w:val="none" w:color="auto"/>
                      <w:vertAlign w:val="subscript"/>
                      <w14:textFill>
                        <w14:solidFill>
                          <w14:schemeClr w14:val="tx1"/>
                        </w14:solidFill>
                      </w14:textFill>
                    </w:rPr>
                    <w:t>5</w:t>
                  </w:r>
                </w:p>
              </w:tc>
              <w:tc>
                <w:tcPr>
                  <w:tcW w:w="509" w:type="pct"/>
                  <w:vAlign w:val="center"/>
                </w:tcPr>
                <w:p w14:paraId="04D8BC88">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氨氮</w:t>
                  </w:r>
                </w:p>
              </w:tc>
              <w:tc>
                <w:tcPr>
                  <w:tcW w:w="394" w:type="pct"/>
                  <w:vAlign w:val="center"/>
                </w:tcPr>
                <w:p w14:paraId="1A67A97A">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SS</w:t>
                  </w:r>
                </w:p>
              </w:tc>
              <w:tc>
                <w:tcPr>
                  <w:tcW w:w="480" w:type="pct"/>
                  <w:vAlign w:val="center"/>
                </w:tcPr>
                <w:p w14:paraId="3499D014">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Cl-</w:t>
                  </w:r>
                </w:p>
              </w:tc>
              <w:tc>
                <w:tcPr>
                  <w:tcW w:w="450" w:type="pct"/>
                  <w:vAlign w:val="center"/>
                </w:tcPr>
                <w:p w14:paraId="2E25194C">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b/>
                      <w:bCs/>
                      <w:caps w:val="0"/>
                      <w:color w:val="000000" w:themeColor="text1"/>
                      <w:sz w:val="21"/>
                      <w:szCs w:val="21"/>
                      <w:u w:val="none" w:color="auto"/>
                      <w14:textFill>
                        <w14:solidFill>
                          <w14:schemeClr w14:val="tx1"/>
                        </w14:solidFill>
                      </w14:textFill>
                    </w:rPr>
                  </w:pPr>
                  <w:r>
                    <w:rPr>
                      <w:rFonts w:hint="default" w:ascii="Times New Roman" w:hAnsi="Times New Roman"/>
                      <w:b/>
                      <w:bCs/>
                      <w:caps w:val="0"/>
                      <w:color w:val="000000" w:themeColor="text1"/>
                      <w:sz w:val="21"/>
                      <w:szCs w:val="21"/>
                      <w:u w:val="none" w:color="auto"/>
                      <w14:textFill>
                        <w14:solidFill>
                          <w14:schemeClr w14:val="tx1"/>
                        </w14:solidFill>
                      </w14:textFill>
                    </w:rPr>
                    <w:t>动植物油</w:t>
                  </w:r>
                </w:p>
              </w:tc>
            </w:tr>
            <w:tr w14:paraId="19277B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38" w:type="pct"/>
                  <w:vAlign w:val="center"/>
                </w:tcPr>
                <w:p w14:paraId="0AE8C518">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君山区第二污水处理厂前端预处理工程进水水质标准</w:t>
                  </w:r>
                </w:p>
              </w:tc>
              <w:tc>
                <w:tcPr>
                  <w:tcW w:w="366" w:type="pct"/>
                  <w:vAlign w:val="center"/>
                </w:tcPr>
                <w:p w14:paraId="651812A6">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6~9</w:t>
                  </w:r>
                </w:p>
              </w:tc>
              <w:tc>
                <w:tcPr>
                  <w:tcW w:w="476" w:type="pct"/>
                  <w:vAlign w:val="center"/>
                </w:tcPr>
                <w:p w14:paraId="110EBD75">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≤3500</w:t>
                  </w:r>
                </w:p>
              </w:tc>
              <w:tc>
                <w:tcPr>
                  <w:tcW w:w="484" w:type="pct"/>
                  <w:vAlign w:val="center"/>
                </w:tcPr>
                <w:p w14:paraId="20752025">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≤1500</w:t>
                  </w:r>
                </w:p>
              </w:tc>
              <w:tc>
                <w:tcPr>
                  <w:tcW w:w="509" w:type="pct"/>
                  <w:vAlign w:val="center"/>
                </w:tcPr>
                <w:p w14:paraId="65AA7208">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≤120</w:t>
                  </w:r>
                </w:p>
              </w:tc>
              <w:tc>
                <w:tcPr>
                  <w:tcW w:w="394" w:type="pct"/>
                  <w:vAlign w:val="center"/>
                </w:tcPr>
                <w:p w14:paraId="55A4965C">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≤400</w:t>
                  </w:r>
                </w:p>
              </w:tc>
              <w:tc>
                <w:tcPr>
                  <w:tcW w:w="480" w:type="pct"/>
                  <w:vAlign w:val="center"/>
                </w:tcPr>
                <w:p w14:paraId="03A4F58A">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≤4000</w:t>
                  </w:r>
                </w:p>
              </w:tc>
              <w:tc>
                <w:tcPr>
                  <w:tcW w:w="450" w:type="pct"/>
                  <w:vAlign w:val="center"/>
                </w:tcPr>
                <w:p w14:paraId="7BB1ADE8">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≤100</w:t>
                  </w:r>
                </w:p>
              </w:tc>
            </w:tr>
            <w:tr w14:paraId="0FCD0C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838" w:type="pct"/>
                  <w:vAlign w:val="center"/>
                </w:tcPr>
                <w:p w14:paraId="356BB24C">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君山区第二污水处理厂执行的标准《城镇污水处理厂污染物排放标准》（GB18918-2002）</w:t>
                  </w:r>
                  <w:r>
                    <w:rPr>
                      <w:rFonts w:hint="eastAsia" w:ascii="Times New Roman" w:hAnsi="Times New Roman"/>
                      <w:caps w:val="0"/>
                      <w:color w:val="000000" w:themeColor="text1"/>
                      <w:sz w:val="21"/>
                      <w:szCs w:val="21"/>
                      <w:u w:val="none" w:color="auto"/>
                      <w:lang w:eastAsia="zh-CN"/>
                      <w14:textFill>
                        <w14:solidFill>
                          <w14:schemeClr w14:val="tx1"/>
                        </w14:solidFill>
                      </w14:textFill>
                    </w:rPr>
                    <w:t>一级A</w:t>
                  </w:r>
                  <w:r>
                    <w:rPr>
                      <w:rFonts w:hint="default" w:ascii="Times New Roman" w:hAnsi="Times New Roman"/>
                      <w:caps w:val="0"/>
                      <w:color w:val="000000" w:themeColor="text1"/>
                      <w:sz w:val="21"/>
                      <w:szCs w:val="21"/>
                      <w:u w:val="none" w:color="auto"/>
                      <w14:textFill>
                        <w14:solidFill>
                          <w14:schemeClr w14:val="tx1"/>
                        </w14:solidFill>
                      </w14:textFill>
                    </w:rPr>
                    <w:t>标准</w:t>
                  </w:r>
                </w:p>
              </w:tc>
              <w:tc>
                <w:tcPr>
                  <w:tcW w:w="366" w:type="pct"/>
                  <w:vAlign w:val="center"/>
                </w:tcPr>
                <w:p w14:paraId="2A2ADD31">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6~9</w:t>
                  </w:r>
                </w:p>
              </w:tc>
              <w:tc>
                <w:tcPr>
                  <w:tcW w:w="476" w:type="pct"/>
                  <w:vAlign w:val="center"/>
                </w:tcPr>
                <w:p w14:paraId="1F5004DB">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aps w:val="0"/>
                      <w:color w:val="000000" w:themeColor="text1"/>
                      <w:sz w:val="21"/>
                      <w:szCs w:val="21"/>
                      <w:u w:val="none" w:color="auto"/>
                      <w:lang w:val="en-US" w:eastAsia="zh-CN"/>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w:t>
                  </w:r>
                  <w:r>
                    <w:rPr>
                      <w:rFonts w:hint="eastAsia" w:ascii="Times New Roman" w:hAnsi="Times New Roman"/>
                      <w:caps w:val="0"/>
                      <w:color w:val="000000" w:themeColor="text1"/>
                      <w:sz w:val="21"/>
                      <w:szCs w:val="21"/>
                      <w:u w:val="none" w:color="auto"/>
                      <w:lang w:val="en-US" w:eastAsia="zh-CN"/>
                      <w14:textFill>
                        <w14:solidFill>
                          <w14:schemeClr w14:val="tx1"/>
                        </w14:solidFill>
                      </w14:textFill>
                    </w:rPr>
                    <w:t>50</w:t>
                  </w:r>
                </w:p>
              </w:tc>
              <w:tc>
                <w:tcPr>
                  <w:tcW w:w="484" w:type="pct"/>
                  <w:vAlign w:val="center"/>
                </w:tcPr>
                <w:p w14:paraId="4247537D">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aps w:val="0"/>
                      <w:color w:val="000000" w:themeColor="text1"/>
                      <w:sz w:val="21"/>
                      <w:szCs w:val="21"/>
                      <w:u w:val="none" w:color="auto"/>
                      <w:lang w:val="en-US" w:eastAsia="zh-CN"/>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w:t>
                  </w:r>
                  <w:r>
                    <w:rPr>
                      <w:rFonts w:hint="eastAsia" w:ascii="Times New Roman" w:hAnsi="Times New Roman"/>
                      <w:caps w:val="0"/>
                      <w:color w:val="000000" w:themeColor="text1"/>
                      <w:sz w:val="21"/>
                      <w:szCs w:val="21"/>
                      <w:u w:val="none" w:color="auto"/>
                      <w:lang w:val="en-US" w:eastAsia="zh-CN"/>
                      <w14:textFill>
                        <w14:solidFill>
                          <w14:schemeClr w14:val="tx1"/>
                        </w14:solidFill>
                      </w14:textFill>
                    </w:rPr>
                    <w:t>10</w:t>
                  </w:r>
                </w:p>
              </w:tc>
              <w:tc>
                <w:tcPr>
                  <w:tcW w:w="509" w:type="pct"/>
                  <w:vAlign w:val="center"/>
                </w:tcPr>
                <w:p w14:paraId="1338F241">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w:t>
                  </w:r>
                  <w:r>
                    <w:rPr>
                      <w:rFonts w:hint="eastAsia" w:ascii="Times New Roman" w:hAnsi="Times New Roman"/>
                      <w:caps w:val="0"/>
                      <w:color w:val="000000" w:themeColor="text1"/>
                      <w:sz w:val="21"/>
                      <w:szCs w:val="21"/>
                      <w:u w:val="none" w:color="auto"/>
                      <w:lang w:val="en-US" w:eastAsia="zh-CN"/>
                      <w14:textFill>
                        <w14:solidFill>
                          <w14:schemeClr w14:val="tx1"/>
                        </w14:solidFill>
                      </w14:textFill>
                    </w:rPr>
                    <w:t>5</w:t>
                  </w:r>
                </w:p>
              </w:tc>
              <w:tc>
                <w:tcPr>
                  <w:tcW w:w="394" w:type="pct"/>
                  <w:vAlign w:val="center"/>
                </w:tcPr>
                <w:p w14:paraId="72B86CF8">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aps w:val="0"/>
                      <w:color w:val="000000" w:themeColor="text1"/>
                      <w:sz w:val="21"/>
                      <w:szCs w:val="21"/>
                      <w:u w:val="none" w:color="auto"/>
                      <w:lang w:val="en-US" w:eastAsia="zh-CN"/>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w:t>
                  </w:r>
                  <w:r>
                    <w:rPr>
                      <w:rFonts w:hint="eastAsia" w:ascii="Times New Roman" w:hAnsi="Times New Roman"/>
                      <w:caps w:val="0"/>
                      <w:color w:val="000000" w:themeColor="text1"/>
                      <w:sz w:val="21"/>
                      <w:szCs w:val="21"/>
                      <w:u w:val="none" w:color="auto"/>
                      <w:lang w:val="en-US" w:eastAsia="zh-CN"/>
                      <w14:textFill>
                        <w14:solidFill>
                          <w14:schemeClr w14:val="tx1"/>
                        </w14:solidFill>
                      </w14:textFill>
                    </w:rPr>
                    <w:t>10</w:t>
                  </w:r>
                </w:p>
              </w:tc>
              <w:tc>
                <w:tcPr>
                  <w:tcW w:w="480" w:type="pct"/>
                  <w:vAlign w:val="center"/>
                </w:tcPr>
                <w:p w14:paraId="01FAD411">
                  <w:pPr>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caps w:val="0"/>
                      <w:color w:val="000000" w:themeColor="text1"/>
                      <w:sz w:val="21"/>
                      <w:szCs w:val="21"/>
                      <w:u w:val="none" w:color="auto"/>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w:t>
                  </w:r>
                </w:p>
              </w:tc>
              <w:tc>
                <w:tcPr>
                  <w:tcW w:w="450" w:type="pct"/>
                  <w:vAlign w:val="center"/>
                </w:tcPr>
                <w:p w14:paraId="26A130D6">
                  <w:pPr>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aps w:val="0"/>
                      <w:color w:val="000000" w:themeColor="text1"/>
                      <w:sz w:val="21"/>
                      <w:szCs w:val="21"/>
                      <w:u w:val="none" w:color="auto"/>
                      <w:lang w:val="en-US" w:eastAsia="zh-CN"/>
                      <w14:textFill>
                        <w14:solidFill>
                          <w14:schemeClr w14:val="tx1"/>
                        </w14:solidFill>
                      </w14:textFill>
                    </w:rPr>
                  </w:pPr>
                  <w:r>
                    <w:rPr>
                      <w:rFonts w:hint="default" w:ascii="Times New Roman" w:hAnsi="Times New Roman"/>
                      <w:caps w:val="0"/>
                      <w:color w:val="000000" w:themeColor="text1"/>
                      <w:sz w:val="21"/>
                      <w:szCs w:val="21"/>
                      <w:u w:val="none" w:color="auto"/>
                      <w14:textFill>
                        <w14:solidFill>
                          <w14:schemeClr w14:val="tx1"/>
                        </w14:solidFill>
                      </w14:textFill>
                    </w:rPr>
                    <w:t>≤</w:t>
                  </w:r>
                  <w:r>
                    <w:rPr>
                      <w:rFonts w:hint="eastAsia" w:ascii="Times New Roman" w:hAnsi="Times New Roman"/>
                      <w:caps w:val="0"/>
                      <w:color w:val="000000" w:themeColor="text1"/>
                      <w:sz w:val="21"/>
                      <w:szCs w:val="21"/>
                      <w:u w:val="none" w:color="auto"/>
                      <w:lang w:val="en-US" w:eastAsia="zh-CN"/>
                      <w14:textFill>
                        <w14:solidFill>
                          <w14:schemeClr w14:val="tx1"/>
                        </w14:solidFill>
                      </w14:textFill>
                    </w:rPr>
                    <w:t>1</w:t>
                  </w:r>
                </w:p>
              </w:tc>
            </w:tr>
          </w:tbl>
          <w:p w14:paraId="23D2E274">
            <w:pPr>
              <w:keepNext w:val="0"/>
              <w:keepLines w:val="0"/>
              <w:suppressLineNumbers w:val="0"/>
              <w:adjustRightInd w:val="0"/>
              <w:snapToGrid w:val="0"/>
              <w:spacing w:before="120" w:beforeLines="50" w:beforeAutospacing="0" w:after="0" w:afterAutospacing="0" w:line="360" w:lineRule="auto"/>
              <w:ind w:left="0" w:right="0"/>
              <w:rPr>
                <w:rFonts w:hint="default"/>
                <w:b/>
                <w:bCs/>
                <w:spacing w:val="-10"/>
                <w:sz w:val="24"/>
              </w:rPr>
            </w:pPr>
            <w:r>
              <w:rPr>
                <w:rFonts w:hint="default"/>
                <w:b/>
                <w:bCs/>
                <w:spacing w:val="-10"/>
                <w:sz w:val="24"/>
              </w:rPr>
              <w:t>3、噪声排放标准</w:t>
            </w:r>
          </w:p>
          <w:p w14:paraId="7A245283">
            <w:pPr>
              <w:pStyle w:val="22"/>
              <w:keepNext w:val="0"/>
              <w:keepLines w:val="0"/>
              <w:widowControl w:val="0"/>
              <w:suppressLineNumbers w:val="0"/>
              <w:spacing w:before="0" w:beforeAutospacing="0" w:after="0" w:afterAutospacing="0" w:line="360" w:lineRule="auto"/>
              <w:ind w:left="0" w:firstLine="504" w:firstLineChars="200"/>
              <w:rPr>
                <w:rFonts w:hint="eastAsia"/>
                <w:lang w:eastAsia="zh-CN"/>
              </w:rPr>
            </w:pPr>
            <w:r>
              <w:rPr>
                <w:rFonts w:hint="eastAsia" w:ascii="Times New Roman" w:hAnsi="Times New Roman"/>
                <w:spacing w:val="6"/>
                <w:lang w:val="en-US" w:eastAsia="zh-CN"/>
              </w:rPr>
              <w:t>本</w:t>
            </w:r>
            <w:r>
              <w:rPr>
                <w:rFonts w:hint="default" w:ascii="Times New Roman" w:hAnsi="Times New Roman"/>
                <w:spacing w:val="6"/>
              </w:rPr>
              <w:t>项目位于</w:t>
            </w:r>
            <w:r>
              <w:rPr>
                <w:rFonts w:hint="eastAsia" w:ascii="Times New Roman" w:hAnsi="Times New Roman"/>
                <w:spacing w:val="6"/>
                <w:lang w:val="en-US" w:eastAsia="zh-CN"/>
              </w:rPr>
              <w:t>湖南岳阳君山产业开发区</w:t>
            </w:r>
            <w:r>
              <w:rPr>
                <w:rFonts w:hint="eastAsia" w:ascii="Times New Roman" w:hAnsi="Times New Roman"/>
                <w:spacing w:val="6"/>
                <w:highlight w:val="none"/>
                <w:lang w:val="en-US" w:eastAsia="zh-CN"/>
              </w:rPr>
              <w:t>荆江门片区</w:t>
            </w:r>
            <w:r>
              <w:rPr>
                <w:rFonts w:hint="default" w:ascii="Times New Roman" w:hAnsi="Times New Roman"/>
                <w:spacing w:val="6"/>
              </w:rPr>
              <w:t>，项目施工期执行《建筑施工场界环境噪声排放标准》（GB12523-2011），营运期厂界噪声排放执行《工业企业厂界环境噪声排放标准》（GB12348-2008）3类标准</w:t>
            </w:r>
            <w:r>
              <w:rPr>
                <w:rFonts w:hint="eastAsia" w:ascii="Times New Roman" w:hAnsi="Times New Roman"/>
                <w:spacing w:val="6"/>
                <w:lang w:eastAsia="zh-CN"/>
              </w:rPr>
              <w:t>。</w:t>
            </w:r>
          </w:p>
          <w:p w14:paraId="3C0EC48C">
            <w:pPr>
              <w:pStyle w:val="33"/>
              <w:keepNext w:val="0"/>
              <w:keepLines w:val="0"/>
              <w:numPr>
                <w:ilvl w:val="0"/>
                <w:numId w:val="18"/>
              </w:numPr>
              <w:suppressLineNumbers w:val="0"/>
              <w:spacing w:before="0" w:beforeAutospacing="0" w:after="0" w:afterAutospacing="0"/>
              <w:ind w:right="0" w:firstLineChars="0"/>
              <w:jc w:val="right"/>
              <w:rPr>
                <w:rFonts w:hint="default"/>
                <w:b/>
                <w:sz w:val="24"/>
              </w:rPr>
            </w:pPr>
            <w:r>
              <w:rPr>
                <w:rFonts w:hint="default"/>
                <w:b/>
                <w:sz w:val="24"/>
                <w:szCs w:val="24"/>
              </w:rPr>
              <w:t xml:space="preserve">声环境质量标准 </w:t>
            </w:r>
            <w:r>
              <w:rPr>
                <w:rFonts w:hint="eastAsia"/>
                <w:b/>
                <w:sz w:val="24"/>
                <w:szCs w:val="24"/>
                <w:lang w:val="en-US" w:eastAsia="zh-CN"/>
              </w:rPr>
              <w:t xml:space="preserve">         </w:t>
            </w:r>
            <w:r>
              <w:rPr>
                <w:rFonts w:hint="default"/>
                <w:b/>
                <w:sz w:val="24"/>
                <w:szCs w:val="24"/>
              </w:rPr>
              <w:t xml:space="preserve">     单位：dB（A</w:t>
            </w:r>
            <w:r>
              <w:rPr>
                <w:rFonts w:hint="default"/>
                <w:b/>
                <w:sz w:val="21"/>
                <w:szCs w:val="21"/>
              </w:rPr>
              <w:t>）</w:t>
            </w:r>
          </w:p>
          <w:tbl>
            <w:tblPr>
              <w:tblStyle w:val="61"/>
              <w:tblW w:w="4999"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0" w:type="dxa"/>
                <w:bottom w:w="0" w:type="dxa"/>
                <w:right w:w="0" w:type="dxa"/>
              </w:tblCellMar>
            </w:tblPr>
            <w:tblGrid>
              <w:gridCol w:w="1208"/>
              <w:gridCol w:w="3741"/>
              <w:gridCol w:w="1460"/>
              <w:gridCol w:w="1547"/>
            </w:tblGrid>
            <w:tr w14:paraId="5356459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759" w:type="pct"/>
                  <w:vMerge w:val="restart"/>
                  <w:tcBorders>
                    <w:tl2br w:val="nil"/>
                    <w:tr2bl w:val="nil"/>
                  </w:tcBorders>
                  <w:noWrap w:val="0"/>
                  <w:vAlign w:val="center"/>
                </w:tcPr>
                <w:p w14:paraId="67ACBFE4">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阶段</w:t>
                  </w:r>
                </w:p>
              </w:tc>
              <w:tc>
                <w:tcPr>
                  <w:tcW w:w="2350" w:type="pct"/>
                  <w:vMerge w:val="restart"/>
                  <w:tcBorders>
                    <w:tl2br w:val="nil"/>
                    <w:tr2bl w:val="nil"/>
                  </w:tcBorders>
                  <w:noWrap w:val="0"/>
                  <w:vAlign w:val="center"/>
                </w:tcPr>
                <w:p w14:paraId="6FF0B5AD">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b/>
                      <w:bCs/>
                      <w:sz w:val="21"/>
                      <w:szCs w:val="21"/>
                      <w:lang w:eastAsia="en-US"/>
                    </w:rPr>
                  </w:pPr>
                  <w:r>
                    <w:rPr>
                      <w:rFonts w:hint="default" w:ascii="Times New Roman" w:hAnsi="Times New Roman" w:eastAsia="宋体" w:cs="Times New Roman"/>
                      <w:b/>
                      <w:bCs/>
                      <w:sz w:val="21"/>
                      <w:szCs w:val="21"/>
                      <w:lang w:eastAsia="en-US"/>
                    </w:rPr>
                    <w:t>执行标准</w:t>
                  </w:r>
                </w:p>
              </w:tc>
              <w:tc>
                <w:tcPr>
                  <w:tcW w:w="1889" w:type="pct"/>
                  <w:gridSpan w:val="2"/>
                  <w:tcBorders>
                    <w:tl2br w:val="nil"/>
                    <w:tr2bl w:val="nil"/>
                  </w:tcBorders>
                  <w:noWrap w:val="0"/>
                  <w:vAlign w:val="center"/>
                </w:tcPr>
                <w:p w14:paraId="64FB53D3">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b/>
                      <w:bCs/>
                      <w:sz w:val="21"/>
                      <w:szCs w:val="21"/>
                      <w:lang w:eastAsia="en-US"/>
                    </w:rPr>
                  </w:pPr>
                  <w:r>
                    <w:rPr>
                      <w:rFonts w:hint="default" w:ascii="Times New Roman" w:hAnsi="Times New Roman" w:eastAsia="宋体" w:cs="Times New Roman"/>
                      <w:b/>
                      <w:bCs/>
                      <w:sz w:val="21"/>
                      <w:szCs w:val="21"/>
                      <w:lang w:eastAsia="en-US"/>
                    </w:rPr>
                    <w:t>时段</w:t>
                  </w:r>
                </w:p>
              </w:tc>
            </w:tr>
            <w:tr w14:paraId="4F77548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2" w:hRule="atLeast"/>
                <w:jc w:val="center"/>
              </w:trPr>
              <w:tc>
                <w:tcPr>
                  <w:tcW w:w="759" w:type="pct"/>
                  <w:vMerge w:val="continue"/>
                  <w:tcBorders>
                    <w:tl2br w:val="nil"/>
                    <w:tr2bl w:val="nil"/>
                  </w:tcBorders>
                  <w:noWrap w:val="0"/>
                  <w:vAlign w:val="center"/>
                </w:tcPr>
                <w:p w14:paraId="57421836">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b/>
                      <w:bCs/>
                      <w:sz w:val="21"/>
                      <w:szCs w:val="21"/>
                      <w:lang w:eastAsia="en-US"/>
                    </w:rPr>
                  </w:pPr>
                </w:p>
              </w:tc>
              <w:tc>
                <w:tcPr>
                  <w:tcW w:w="2350" w:type="pct"/>
                  <w:vMerge w:val="continue"/>
                  <w:tcBorders>
                    <w:tl2br w:val="nil"/>
                    <w:tr2bl w:val="nil"/>
                  </w:tcBorders>
                  <w:noWrap w:val="0"/>
                  <w:vAlign w:val="center"/>
                </w:tcPr>
                <w:p w14:paraId="3565B28B">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b/>
                      <w:bCs/>
                      <w:sz w:val="21"/>
                      <w:szCs w:val="21"/>
                      <w:lang w:eastAsia="en-US"/>
                    </w:rPr>
                  </w:pPr>
                </w:p>
              </w:tc>
              <w:tc>
                <w:tcPr>
                  <w:tcW w:w="917" w:type="pct"/>
                  <w:tcBorders>
                    <w:tl2br w:val="nil"/>
                    <w:tr2bl w:val="nil"/>
                  </w:tcBorders>
                  <w:noWrap w:val="0"/>
                  <w:vAlign w:val="center"/>
                </w:tcPr>
                <w:p w14:paraId="3501E5D1">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b/>
                      <w:bCs/>
                      <w:sz w:val="21"/>
                      <w:szCs w:val="21"/>
                      <w:lang w:eastAsia="en-US"/>
                    </w:rPr>
                  </w:pPr>
                  <w:r>
                    <w:rPr>
                      <w:rFonts w:hint="default" w:ascii="Times New Roman" w:hAnsi="Times New Roman" w:eastAsia="宋体" w:cs="Times New Roman"/>
                      <w:b/>
                      <w:bCs/>
                      <w:sz w:val="21"/>
                      <w:szCs w:val="21"/>
                      <w:lang w:eastAsia="en-US"/>
                    </w:rPr>
                    <w:t>昼间</w:t>
                  </w:r>
                </w:p>
              </w:tc>
              <w:tc>
                <w:tcPr>
                  <w:tcW w:w="971" w:type="pct"/>
                  <w:tcBorders>
                    <w:tl2br w:val="nil"/>
                    <w:tr2bl w:val="nil"/>
                  </w:tcBorders>
                  <w:noWrap w:val="0"/>
                  <w:vAlign w:val="center"/>
                </w:tcPr>
                <w:p w14:paraId="61FF0224">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b/>
                      <w:bCs/>
                      <w:sz w:val="21"/>
                      <w:szCs w:val="21"/>
                      <w:lang w:eastAsia="en-US"/>
                    </w:rPr>
                  </w:pPr>
                  <w:r>
                    <w:rPr>
                      <w:rFonts w:hint="default" w:ascii="Times New Roman" w:hAnsi="Times New Roman" w:eastAsia="宋体" w:cs="Times New Roman"/>
                      <w:b/>
                      <w:bCs/>
                      <w:sz w:val="21"/>
                      <w:szCs w:val="21"/>
                      <w:lang w:eastAsia="en-US"/>
                    </w:rPr>
                    <w:t>夜间</w:t>
                  </w:r>
                </w:p>
              </w:tc>
            </w:tr>
            <w:tr w14:paraId="6D71122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759" w:type="pct"/>
                  <w:tcBorders>
                    <w:tl2br w:val="nil"/>
                    <w:tr2bl w:val="nil"/>
                  </w:tcBorders>
                  <w:noWrap w:val="0"/>
                  <w:vAlign w:val="center"/>
                </w:tcPr>
                <w:p w14:paraId="5086902C">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施工期</w:t>
                  </w:r>
                </w:p>
              </w:tc>
              <w:tc>
                <w:tcPr>
                  <w:tcW w:w="2350" w:type="pct"/>
                  <w:tcBorders>
                    <w:tl2br w:val="nil"/>
                    <w:tr2bl w:val="nil"/>
                  </w:tcBorders>
                  <w:noWrap w:val="0"/>
                  <w:vAlign w:val="center"/>
                </w:tcPr>
                <w:p w14:paraId="7A237EDF">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eastAsia="en-US"/>
                    </w:rPr>
                    <w:t>《建筑施工场界环境噪声排放标准》（GB12523-2011）</w:t>
                  </w:r>
                </w:p>
              </w:tc>
              <w:tc>
                <w:tcPr>
                  <w:tcW w:w="917" w:type="pct"/>
                  <w:tcBorders>
                    <w:tl2br w:val="nil"/>
                    <w:tr2bl w:val="nil"/>
                  </w:tcBorders>
                  <w:noWrap w:val="0"/>
                  <w:vAlign w:val="center"/>
                </w:tcPr>
                <w:p w14:paraId="0A0F7B47">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sz w:val="21"/>
                      <w:szCs w:val="21"/>
                      <w:lang w:eastAsia="en-US"/>
                    </w:rPr>
                    <w:t>70dB（A）</w:t>
                  </w:r>
                </w:p>
              </w:tc>
              <w:tc>
                <w:tcPr>
                  <w:tcW w:w="971" w:type="pct"/>
                  <w:tcBorders>
                    <w:tl2br w:val="nil"/>
                    <w:tr2bl w:val="nil"/>
                  </w:tcBorders>
                  <w:noWrap w:val="0"/>
                  <w:vAlign w:val="center"/>
                </w:tcPr>
                <w:p w14:paraId="7A924DB5">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sz w:val="21"/>
                      <w:szCs w:val="21"/>
                      <w:lang w:eastAsia="en-US"/>
                    </w:rPr>
                    <w:t>55dB（A）</w:t>
                  </w:r>
                </w:p>
              </w:tc>
            </w:tr>
            <w:tr w14:paraId="1CC3DB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71" w:hRule="atLeast"/>
                <w:jc w:val="center"/>
              </w:trPr>
              <w:tc>
                <w:tcPr>
                  <w:tcW w:w="759" w:type="pct"/>
                  <w:tcBorders>
                    <w:tl2br w:val="nil"/>
                    <w:tr2bl w:val="nil"/>
                  </w:tcBorders>
                  <w:noWrap w:val="0"/>
                  <w:vAlign w:val="center"/>
                </w:tcPr>
                <w:p w14:paraId="5CE60833">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运营期</w:t>
                  </w:r>
                </w:p>
              </w:tc>
              <w:tc>
                <w:tcPr>
                  <w:tcW w:w="2350" w:type="pct"/>
                  <w:tcBorders>
                    <w:tl2br w:val="nil"/>
                    <w:tr2bl w:val="nil"/>
                  </w:tcBorders>
                  <w:noWrap w:val="0"/>
                  <w:vAlign w:val="center"/>
                </w:tcPr>
                <w:p w14:paraId="0552BA93">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sz w:val="21"/>
                      <w:szCs w:val="21"/>
                      <w:lang w:eastAsia="en-US"/>
                    </w:rPr>
                    <w:t>《工业企业厂界环境噪声排放标准》（GB12348-2008）</w:t>
                  </w:r>
                  <w:r>
                    <w:rPr>
                      <w:rFonts w:hint="default" w:ascii="Times New Roman" w:hAnsi="Times New Roman" w:eastAsia="宋体" w:cs="Times New Roman"/>
                      <w:sz w:val="21"/>
                      <w:szCs w:val="21"/>
                      <w:lang w:val="en-US" w:eastAsia="zh-CN"/>
                    </w:rPr>
                    <w:t>3类标准</w:t>
                  </w:r>
                </w:p>
              </w:tc>
              <w:tc>
                <w:tcPr>
                  <w:tcW w:w="917" w:type="pct"/>
                  <w:tcBorders>
                    <w:tl2br w:val="nil"/>
                    <w:tr2bl w:val="nil"/>
                  </w:tcBorders>
                  <w:noWrap w:val="0"/>
                  <w:vAlign w:val="center"/>
                </w:tcPr>
                <w:p w14:paraId="73461C09">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sz w:val="21"/>
                      <w:szCs w:val="21"/>
                      <w:lang w:eastAsia="en-US"/>
                    </w:rPr>
                    <w:t>65dB（A）</w:t>
                  </w:r>
                </w:p>
              </w:tc>
              <w:tc>
                <w:tcPr>
                  <w:tcW w:w="971" w:type="pct"/>
                  <w:tcBorders>
                    <w:tl2br w:val="nil"/>
                    <w:tr2bl w:val="nil"/>
                  </w:tcBorders>
                  <w:noWrap w:val="0"/>
                  <w:vAlign w:val="center"/>
                </w:tcPr>
                <w:p w14:paraId="398A0887">
                  <w:pPr>
                    <w:pStyle w:val="7"/>
                    <w:widowControl w:val="0"/>
                    <w:autoSpaceDE w:val="0"/>
                    <w:autoSpaceDN w:val="0"/>
                    <w:bidi w:val="0"/>
                    <w:ind w:left="0" w:leftChars="0" w:right="0" w:rightChars="0" w:firstLine="0" w:firstLineChars="0"/>
                    <w:jc w:val="center"/>
                    <w:rPr>
                      <w:rFonts w:hint="default" w:ascii="Times New Roman" w:hAnsi="Times New Roman" w:eastAsia="宋体" w:cs="Times New Roman"/>
                      <w:kern w:val="2"/>
                      <w:sz w:val="21"/>
                      <w:szCs w:val="21"/>
                      <w:lang w:val="en-US" w:eastAsia="en-US" w:bidi="ar-SA"/>
                    </w:rPr>
                  </w:pPr>
                  <w:r>
                    <w:rPr>
                      <w:rFonts w:hint="default" w:ascii="Times New Roman" w:hAnsi="Times New Roman" w:eastAsia="宋体" w:cs="Times New Roman"/>
                      <w:sz w:val="21"/>
                      <w:szCs w:val="21"/>
                      <w:lang w:eastAsia="en-US"/>
                    </w:rPr>
                    <w:t>55dB（A）</w:t>
                  </w:r>
                </w:p>
              </w:tc>
            </w:tr>
          </w:tbl>
          <w:p w14:paraId="43BEE40D">
            <w:pPr>
              <w:keepNext w:val="0"/>
              <w:keepLines w:val="0"/>
              <w:suppressLineNumbers w:val="0"/>
              <w:adjustRightInd w:val="0"/>
              <w:snapToGrid w:val="0"/>
              <w:spacing w:before="120" w:beforeLines="50" w:beforeAutospacing="0" w:after="0" w:afterAutospacing="0" w:line="360" w:lineRule="auto"/>
              <w:ind w:left="0" w:right="0"/>
              <w:rPr>
                <w:rFonts w:hint="default"/>
                <w:b/>
                <w:bCs/>
                <w:spacing w:val="-10"/>
                <w:sz w:val="24"/>
              </w:rPr>
            </w:pPr>
            <w:r>
              <w:rPr>
                <w:rFonts w:hint="default"/>
                <w:b/>
                <w:bCs/>
                <w:spacing w:val="-10"/>
                <w:sz w:val="24"/>
              </w:rPr>
              <w:t>4、固体废物</w:t>
            </w:r>
          </w:p>
          <w:p w14:paraId="63E76858">
            <w:pPr>
              <w:keepNext w:val="0"/>
              <w:keepLines w:val="0"/>
              <w:suppressLineNumbers w:val="0"/>
              <w:adjustRightInd w:val="0"/>
              <w:snapToGrid w:val="0"/>
              <w:spacing w:before="0" w:beforeAutospacing="0" w:after="0" w:afterAutospacing="0" w:line="360" w:lineRule="auto"/>
              <w:ind w:left="0" w:right="0" w:firstLine="480" w:firstLineChars="200"/>
              <w:rPr>
                <w:rFonts w:hint="default"/>
                <w:szCs w:val="21"/>
              </w:rPr>
            </w:pPr>
            <w:r>
              <w:rPr>
                <w:rFonts w:hint="default"/>
                <w:sz w:val="24"/>
              </w:rPr>
              <w:t>一般工业固体废物贮存执行《一般工业固体废物贮存和填埋污染控制标准》（GB18599-2020）；危险废物贮存执行《危险废物贮存污染控制标准》（GB18597-2023）中的相关标准。</w:t>
            </w:r>
          </w:p>
        </w:tc>
      </w:tr>
      <w:tr w14:paraId="17378D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444" w:type="pct"/>
            <w:vAlign w:val="center"/>
          </w:tcPr>
          <w:p w14:paraId="00E3B4D9">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sz w:val="24"/>
              </w:rPr>
              <w:t>总量控制指标</w:t>
            </w:r>
          </w:p>
        </w:tc>
        <w:tc>
          <w:tcPr>
            <w:tcW w:w="4555" w:type="pct"/>
            <w:vAlign w:val="center"/>
          </w:tcPr>
          <w:p w14:paraId="5F6989A8">
            <w:pPr>
              <w:pStyle w:val="7"/>
              <w:keepNext w:val="0"/>
              <w:keepLines w:val="0"/>
              <w:suppressLineNumbers w:val="0"/>
              <w:autoSpaceDE/>
              <w:autoSpaceDN/>
              <w:adjustRightInd/>
              <w:spacing w:before="0" w:beforeAutospacing="0" w:after="0" w:afterAutospacing="0" w:line="360" w:lineRule="auto"/>
              <w:ind w:left="0" w:right="0" w:firstLine="480" w:firstLineChars="200"/>
              <w:rPr>
                <w:rFonts w:hint="default" w:eastAsia="宋体"/>
                <w:sz w:val="24"/>
                <w:highlight w:val="none"/>
                <w:u w:val="single"/>
                <w:lang w:val="en-US" w:eastAsia="zh-CN"/>
              </w:rPr>
            </w:pPr>
            <w:r>
              <w:rPr>
                <w:rFonts w:hint="eastAsia"/>
                <w:sz w:val="24"/>
                <w:highlight w:val="none"/>
                <w:u w:val="single"/>
                <w:lang w:val="en-US" w:eastAsia="zh-CN"/>
              </w:rPr>
              <w:t>湖南童记三利和食品有限公司目前排污权指标分配量为：化学需氧量30t/a、氨氮4t/a。</w:t>
            </w:r>
          </w:p>
          <w:p w14:paraId="57BD34EE">
            <w:pPr>
              <w:pStyle w:val="7"/>
              <w:keepNext w:val="0"/>
              <w:keepLines w:val="0"/>
              <w:suppressLineNumbers w:val="0"/>
              <w:autoSpaceDE/>
              <w:autoSpaceDN/>
              <w:adjustRightInd/>
              <w:spacing w:before="0" w:beforeAutospacing="0" w:after="0" w:afterAutospacing="0" w:line="360" w:lineRule="auto"/>
              <w:ind w:left="0" w:right="0" w:firstLine="480"/>
              <w:rPr>
                <w:rFonts w:hint="default" w:eastAsia="宋体"/>
                <w:sz w:val="24"/>
                <w:highlight w:val="none"/>
                <w:u w:val="single"/>
                <w:lang w:val="en-US" w:eastAsia="zh-CN"/>
              </w:rPr>
            </w:pPr>
            <w:r>
              <w:rPr>
                <w:rFonts w:hint="default" w:eastAsia="宋体"/>
                <w:sz w:val="24"/>
                <w:highlight w:val="none"/>
                <w:u w:val="single"/>
                <w:lang w:val="en-US" w:eastAsia="zh-CN"/>
              </w:rPr>
              <w:t>湖南童记三利和食品有限公司现有项目统计的污染物排放量为</w:t>
            </w:r>
            <w:r>
              <w:rPr>
                <w:rFonts w:hint="eastAsia"/>
                <w:sz w:val="24"/>
                <w:highlight w:val="none"/>
                <w:u w:val="single"/>
                <w:lang w:val="en-US" w:eastAsia="zh-CN"/>
              </w:rPr>
              <w:t>化学需氧量2.357</w:t>
            </w:r>
            <w:r>
              <w:rPr>
                <w:rFonts w:hint="default" w:eastAsia="宋体"/>
                <w:sz w:val="24"/>
                <w:highlight w:val="none"/>
                <w:u w:val="single"/>
                <w:lang w:val="en-US" w:eastAsia="zh-CN"/>
              </w:rPr>
              <w:t>t/a，氨氮</w:t>
            </w:r>
            <w:r>
              <w:rPr>
                <w:rFonts w:hint="eastAsia"/>
                <w:sz w:val="24"/>
                <w:highlight w:val="none"/>
                <w:u w:val="single"/>
                <w:lang w:val="en-US" w:eastAsia="zh-CN"/>
              </w:rPr>
              <w:t>0.236</w:t>
            </w:r>
            <w:r>
              <w:rPr>
                <w:rFonts w:hint="default" w:eastAsia="宋体"/>
                <w:sz w:val="24"/>
                <w:highlight w:val="none"/>
                <w:u w:val="single"/>
                <w:lang w:val="en-US" w:eastAsia="zh-CN"/>
              </w:rPr>
              <w:t>t/a，二氧化硫</w:t>
            </w:r>
            <w:r>
              <w:rPr>
                <w:rFonts w:hint="eastAsia"/>
                <w:sz w:val="24"/>
                <w:highlight w:val="none"/>
                <w:u w:val="single"/>
                <w:lang w:val="en-US" w:eastAsia="zh-CN"/>
              </w:rPr>
              <w:t>0.614</w:t>
            </w:r>
            <w:r>
              <w:rPr>
                <w:rFonts w:hint="default" w:eastAsia="宋体"/>
                <w:sz w:val="24"/>
                <w:highlight w:val="none"/>
                <w:u w:val="single"/>
                <w:lang w:val="en-US" w:eastAsia="zh-CN"/>
              </w:rPr>
              <w:t>t/a，氮氧化物</w:t>
            </w:r>
            <w:r>
              <w:rPr>
                <w:rFonts w:hint="eastAsia"/>
                <w:sz w:val="24"/>
                <w:highlight w:val="none"/>
                <w:u w:val="single"/>
                <w:lang w:val="en-US" w:eastAsia="zh-CN"/>
              </w:rPr>
              <w:t>3.205</w:t>
            </w:r>
            <w:r>
              <w:rPr>
                <w:rFonts w:hint="default" w:eastAsia="宋体"/>
                <w:sz w:val="24"/>
                <w:highlight w:val="none"/>
                <w:u w:val="single"/>
                <w:lang w:val="en-US" w:eastAsia="zh-CN"/>
              </w:rPr>
              <w:t>t/a</w:t>
            </w:r>
            <w:r>
              <w:rPr>
                <w:rFonts w:hint="eastAsia"/>
                <w:sz w:val="24"/>
                <w:highlight w:val="none"/>
                <w:u w:val="single"/>
                <w:lang w:val="en-US" w:eastAsia="zh-CN"/>
              </w:rPr>
              <w:t>。</w:t>
            </w:r>
          </w:p>
          <w:p w14:paraId="7D57A033">
            <w:pPr>
              <w:pStyle w:val="7"/>
              <w:keepNext w:val="0"/>
              <w:keepLines w:val="0"/>
              <w:suppressLineNumbers w:val="0"/>
              <w:spacing w:before="0" w:beforeAutospacing="0" w:after="0" w:afterAutospacing="0" w:line="360" w:lineRule="auto"/>
              <w:ind w:left="0" w:right="0" w:firstLine="480" w:firstLineChars="200"/>
              <w:rPr>
                <w:rFonts w:hint="eastAsia"/>
                <w:sz w:val="24"/>
                <w:highlight w:val="none"/>
                <w:u w:val="single"/>
                <w:lang w:val="en-US" w:eastAsia="zh-CN"/>
              </w:rPr>
            </w:pPr>
            <w:r>
              <w:rPr>
                <w:rFonts w:hint="eastAsia"/>
                <w:sz w:val="24"/>
                <w:highlight w:val="none"/>
                <w:u w:val="single"/>
                <w:lang w:val="en-US" w:eastAsia="zh-CN"/>
              </w:rPr>
              <w:t>本项目新增废水69110.39t/a，化学需氧量和氨氮的新增排放量分别为3.456t/a和0.346t/a，本项目建成后厂区化学需氧量排放量为5.813t/a，氨氮排放量为0.582t/a，未超出企业现有排污权化学需氧量及氨氮指标分配量。</w:t>
            </w:r>
          </w:p>
          <w:p w14:paraId="608AE38A">
            <w:pPr>
              <w:pStyle w:val="7"/>
              <w:keepNext w:val="0"/>
              <w:keepLines w:val="0"/>
              <w:suppressLineNumbers w:val="0"/>
              <w:spacing w:before="0" w:beforeAutospacing="0" w:after="0" w:afterAutospacing="0" w:line="360" w:lineRule="auto"/>
              <w:ind w:left="0" w:right="0" w:firstLine="480" w:firstLineChars="200"/>
              <w:rPr>
                <w:rFonts w:hint="eastAsia"/>
                <w:sz w:val="24"/>
                <w:highlight w:val="none"/>
                <w:u w:val="single"/>
                <w:lang w:val="en-US" w:eastAsia="zh-CN"/>
              </w:rPr>
            </w:pPr>
            <w:r>
              <w:rPr>
                <w:rFonts w:hint="eastAsia"/>
                <w:sz w:val="24"/>
                <w:highlight w:val="none"/>
                <w:u w:val="single"/>
                <w:lang w:val="en-US" w:eastAsia="zh-CN"/>
              </w:rPr>
              <w:t>本项目采用燃生物质蒸汽锅炉替代原有燃生物质导热油锅炉后，厂区年排放大气污染物二氧化硫2.309t/a、氮氧化物为3.464t/a。</w:t>
            </w:r>
          </w:p>
          <w:p w14:paraId="7CD81FB1">
            <w:pPr>
              <w:pStyle w:val="7"/>
              <w:keepNext w:val="0"/>
              <w:keepLines w:val="0"/>
              <w:suppressLineNumbers w:val="0"/>
              <w:spacing w:before="0" w:beforeAutospacing="0" w:after="0" w:afterAutospacing="0" w:line="360" w:lineRule="auto"/>
              <w:ind w:left="0" w:right="0" w:firstLine="480" w:firstLineChars="200"/>
              <w:rPr>
                <w:rFonts w:hint="default"/>
                <w:lang w:val="en-US" w:eastAsia="zh-CN"/>
              </w:rPr>
            </w:pPr>
            <w:r>
              <w:rPr>
                <w:rFonts w:hint="eastAsia"/>
                <w:sz w:val="24"/>
                <w:highlight w:val="none"/>
                <w:u w:val="single"/>
                <w:lang w:val="en-US" w:eastAsia="zh-CN"/>
              </w:rPr>
              <w:t>综上，本项目需另行购买二氧化硫总量指标2.309t/a、氮氧化物总量指标3.464t/a。</w:t>
            </w:r>
          </w:p>
        </w:tc>
      </w:tr>
    </w:tbl>
    <w:p w14:paraId="1E9F35D9">
      <w:pPr>
        <w:pStyle w:val="20"/>
        <w:spacing w:before="0" w:beforeAutospacing="0" w:after="0" w:afterAutospacing="0" w:line="360" w:lineRule="auto"/>
        <w:jc w:val="center"/>
        <w:outlineLvl w:val="0"/>
        <w:rPr>
          <w:rFonts w:ascii="Times New Roman" w:hAnsi="Times New Roman"/>
          <w:snapToGrid w:val="0"/>
          <w:sz w:val="30"/>
          <w:szCs w:val="30"/>
        </w:rPr>
      </w:pPr>
      <w:r>
        <w:rPr>
          <w:rFonts w:ascii="Times New Roman" w:hAnsi="Times New Roman"/>
          <w:snapToGrid w:val="0"/>
          <w:sz w:val="36"/>
          <w:szCs w:val="36"/>
        </w:rPr>
        <w:br w:type="page"/>
      </w:r>
      <w:bookmarkStart w:id="30" w:name="_Toc30197"/>
      <w:bookmarkStart w:id="31" w:name="_Toc3133"/>
      <w:bookmarkStart w:id="32" w:name="_Toc7636"/>
      <w:bookmarkStart w:id="33" w:name="_Toc3434"/>
      <w:bookmarkStart w:id="34" w:name="_Toc23533"/>
      <w:bookmarkStart w:id="35" w:name="_Toc14666"/>
      <w:r>
        <w:rPr>
          <w:rFonts w:ascii="Times New Roman" w:hAnsi="Times New Roman"/>
          <w:b/>
          <w:bCs/>
          <w:snapToGrid w:val="0"/>
          <w:sz w:val="30"/>
          <w:szCs w:val="30"/>
        </w:rPr>
        <w:t>四、主要环境影响和保护措施</w:t>
      </w:r>
      <w:bookmarkEnd w:id="30"/>
      <w:bookmarkEnd w:id="31"/>
      <w:bookmarkEnd w:id="32"/>
      <w:bookmarkEnd w:id="33"/>
      <w:bookmarkEnd w:id="34"/>
      <w:bookmarkEnd w:id="35"/>
    </w:p>
    <w:tbl>
      <w:tblPr>
        <w:tblStyle w:val="24"/>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76"/>
        <w:gridCol w:w="8647"/>
      </w:tblGrid>
      <w:tr w14:paraId="6F812A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3" w:hRule="atLeast"/>
          <w:jc w:val="center"/>
        </w:trPr>
        <w:tc>
          <w:tcPr>
            <w:tcW w:w="155" w:type="pct"/>
            <w:tcMar>
              <w:left w:w="28" w:type="dxa"/>
              <w:right w:w="28" w:type="dxa"/>
            </w:tcMar>
            <w:vAlign w:val="center"/>
          </w:tcPr>
          <w:p w14:paraId="1BCCEB6C">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kern w:val="2"/>
                <w:szCs w:val="24"/>
              </w:rPr>
            </w:pPr>
            <w:r>
              <w:rPr>
                <w:rFonts w:hint="default" w:ascii="Times New Roman" w:hAnsi="Times New Roman"/>
                <w:kern w:val="2"/>
                <w:szCs w:val="24"/>
              </w:rPr>
              <w:t>施工</w:t>
            </w:r>
          </w:p>
          <w:p w14:paraId="07D5A656">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kern w:val="2"/>
                <w:szCs w:val="24"/>
              </w:rPr>
            </w:pPr>
            <w:r>
              <w:rPr>
                <w:rFonts w:hint="default" w:ascii="Times New Roman" w:hAnsi="Times New Roman"/>
                <w:kern w:val="2"/>
                <w:szCs w:val="24"/>
              </w:rPr>
              <w:t>期环</w:t>
            </w:r>
          </w:p>
          <w:p w14:paraId="0A4EEFB7">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kern w:val="2"/>
                <w:szCs w:val="24"/>
              </w:rPr>
            </w:pPr>
            <w:r>
              <w:rPr>
                <w:rFonts w:hint="default" w:ascii="Times New Roman" w:hAnsi="Times New Roman"/>
                <w:kern w:val="2"/>
                <w:szCs w:val="24"/>
              </w:rPr>
              <w:t>境保</w:t>
            </w:r>
          </w:p>
          <w:p w14:paraId="523652E6">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kern w:val="2"/>
                <w:szCs w:val="24"/>
              </w:rPr>
            </w:pPr>
            <w:r>
              <w:rPr>
                <w:rFonts w:hint="default" w:ascii="Times New Roman" w:hAnsi="Times New Roman"/>
                <w:kern w:val="2"/>
                <w:szCs w:val="24"/>
              </w:rPr>
              <w:t>护措</w:t>
            </w:r>
          </w:p>
          <w:p w14:paraId="00D1C6CB">
            <w:pPr>
              <w:pStyle w:val="20"/>
              <w:keepNext w:val="0"/>
              <w:keepLines w:val="0"/>
              <w:suppressLineNumbers w:val="0"/>
              <w:adjustRightInd w:val="0"/>
              <w:snapToGrid w:val="0"/>
              <w:spacing w:before="0" w:beforeAutospacing="0" w:after="0" w:afterAutospacing="0"/>
              <w:ind w:left="0" w:right="0"/>
              <w:jc w:val="center"/>
              <w:rPr>
                <w:rFonts w:hint="default" w:ascii="Times New Roman" w:hAnsi="Times New Roman"/>
                <w:bCs/>
                <w:kern w:val="2"/>
                <w:szCs w:val="24"/>
              </w:rPr>
            </w:pPr>
            <w:r>
              <w:rPr>
                <w:rFonts w:hint="default" w:ascii="Times New Roman" w:hAnsi="Times New Roman"/>
                <w:kern w:val="2"/>
                <w:szCs w:val="24"/>
              </w:rPr>
              <w:t>施</w:t>
            </w:r>
          </w:p>
        </w:tc>
        <w:tc>
          <w:tcPr>
            <w:tcW w:w="4844" w:type="pct"/>
            <w:vAlign w:val="center"/>
          </w:tcPr>
          <w:p w14:paraId="501E05B9">
            <w:pPr>
              <w:keepNext w:val="0"/>
              <w:keepLines w:val="0"/>
              <w:widowControl/>
              <w:suppressLineNumbers w:val="0"/>
              <w:autoSpaceDE w:val="0"/>
              <w:autoSpaceDN w:val="0"/>
              <w:adjustRightInd w:val="0"/>
              <w:spacing w:before="0" w:beforeAutospacing="0" w:after="0" w:afterAutospacing="0" w:line="360" w:lineRule="auto"/>
              <w:ind w:left="0" w:right="0" w:firstLine="440" w:firstLineChars="200"/>
              <w:rPr>
                <w:rFonts w:hint="default"/>
                <w:bCs/>
                <w:spacing w:val="-10"/>
                <w:sz w:val="24"/>
              </w:rPr>
            </w:pPr>
            <w:r>
              <w:rPr>
                <w:rFonts w:hint="default"/>
                <w:bCs/>
                <w:spacing w:val="-10"/>
                <w:sz w:val="24"/>
              </w:rPr>
              <w:t>项目利用</w:t>
            </w:r>
            <w:r>
              <w:rPr>
                <w:rFonts w:hint="eastAsia"/>
                <w:bCs/>
                <w:spacing w:val="-10"/>
                <w:sz w:val="24"/>
                <w:lang w:val="en-US" w:eastAsia="zh-CN"/>
              </w:rPr>
              <w:t>厂区</w:t>
            </w:r>
            <w:r>
              <w:rPr>
                <w:rFonts w:hint="default"/>
                <w:bCs/>
                <w:spacing w:val="-10"/>
                <w:sz w:val="24"/>
              </w:rPr>
              <w:t>已建成车间，施工内容主要设备安装与调试，不进行土地开挖等土建工程，项目施工工程量小，施工期的影响较小，这些影响随着施工期的结束也会结束，故本环评不做进一步分析。</w:t>
            </w:r>
          </w:p>
        </w:tc>
      </w:tr>
      <w:tr w14:paraId="35B09D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45" w:hRule="atLeast"/>
          <w:jc w:val="center"/>
        </w:trPr>
        <w:tc>
          <w:tcPr>
            <w:tcW w:w="155" w:type="pct"/>
            <w:tcMar>
              <w:left w:w="28" w:type="dxa"/>
              <w:right w:w="28" w:type="dxa"/>
            </w:tcMar>
            <w:vAlign w:val="center"/>
          </w:tcPr>
          <w:p w14:paraId="3370078A">
            <w:pPr>
              <w:keepNext w:val="0"/>
              <w:keepLines w:val="0"/>
              <w:suppressLineNumbers w:val="0"/>
              <w:adjustRightInd w:val="0"/>
              <w:snapToGrid w:val="0"/>
              <w:spacing w:before="0" w:beforeAutospacing="0" w:after="0" w:afterAutospacing="0"/>
              <w:ind w:left="0" w:right="0"/>
              <w:jc w:val="center"/>
              <w:rPr>
                <w:rFonts w:hint="default"/>
                <w:bCs/>
                <w:sz w:val="24"/>
              </w:rPr>
            </w:pPr>
            <w:r>
              <w:rPr>
                <w:rFonts w:hint="default"/>
                <w:bCs/>
                <w:sz w:val="24"/>
              </w:rPr>
              <w:t>运营</w:t>
            </w:r>
          </w:p>
          <w:p w14:paraId="761AE1AF">
            <w:pPr>
              <w:keepNext w:val="0"/>
              <w:keepLines w:val="0"/>
              <w:suppressLineNumbers w:val="0"/>
              <w:adjustRightInd w:val="0"/>
              <w:snapToGrid w:val="0"/>
              <w:spacing w:before="0" w:beforeAutospacing="0" w:after="0" w:afterAutospacing="0"/>
              <w:ind w:left="0" w:right="0"/>
              <w:jc w:val="center"/>
              <w:rPr>
                <w:rFonts w:hint="default"/>
                <w:bCs/>
                <w:sz w:val="24"/>
              </w:rPr>
            </w:pPr>
            <w:r>
              <w:rPr>
                <w:rFonts w:hint="default"/>
                <w:bCs/>
                <w:sz w:val="24"/>
              </w:rPr>
              <w:t>期环</w:t>
            </w:r>
          </w:p>
          <w:p w14:paraId="494259DB">
            <w:pPr>
              <w:keepNext w:val="0"/>
              <w:keepLines w:val="0"/>
              <w:suppressLineNumbers w:val="0"/>
              <w:adjustRightInd w:val="0"/>
              <w:snapToGrid w:val="0"/>
              <w:spacing w:before="0" w:beforeAutospacing="0" w:after="0" w:afterAutospacing="0"/>
              <w:ind w:left="0" w:right="0"/>
              <w:jc w:val="center"/>
              <w:rPr>
                <w:rFonts w:hint="default"/>
                <w:bCs/>
                <w:sz w:val="24"/>
              </w:rPr>
            </w:pPr>
            <w:r>
              <w:rPr>
                <w:rFonts w:hint="default"/>
                <w:bCs/>
                <w:sz w:val="24"/>
              </w:rPr>
              <w:t>境影</w:t>
            </w:r>
          </w:p>
          <w:p w14:paraId="7F4F0590">
            <w:pPr>
              <w:keepNext w:val="0"/>
              <w:keepLines w:val="0"/>
              <w:suppressLineNumbers w:val="0"/>
              <w:adjustRightInd w:val="0"/>
              <w:snapToGrid w:val="0"/>
              <w:spacing w:before="0" w:beforeAutospacing="0" w:after="0" w:afterAutospacing="0"/>
              <w:ind w:left="0" w:right="0"/>
              <w:jc w:val="center"/>
              <w:rPr>
                <w:rFonts w:hint="default"/>
                <w:bCs/>
                <w:sz w:val="24"/>
              </w:rPr>
            </w:pPr>
            <w:r>
              <w:rPr>
                <w:rFonts w:hint="default"/>
                <w:bCs/>
                <w:sz w:val="24"/>
              </w:rPr>
              <w:t>响和</w:t>
            </w:r>
          </w:p>
          <w:p w14:paraId="4D7276E6">
            <w:pPr>
              <w:keepNext w:val="0"/>
              <w:keepLines w:val="0"/>
              <w:suppressLineNumbers w:val="0"/>
              <w:adjustRightInd w:val="0"/>
              <w:snapToGrid w:val="0"/>
              <w:spacing w:before="0" w:beforeAutospacing="0" w:after="0" w:afterAutospacing="0"/>
              <w:ind w:left="0" w:right="0"/>
              <w:jc w:val="center"/>
              <w:rPr>
                <w:rFonts w:hint="default"/>
                <w:bCs/>
                <w:sz w:val="24"/>
              </w:rPr>
            </w:pPr>
            <w:r>
              <w:rPr>
                <w:rFonts w:hint="default"/>
                <w:bCs/>
                <w:sz w:val="24"/>
              </w:rPr>
              <w:t>保护</w:t>
            </w:r>
          </w:p>
          <w:p w14:paraId="6B1FD9E2">
            <w:pPr>
              <w:keepNext w:val="0"/>
              <w:keepLines w:val="0"/>
              <w:suppressLineNumbers w:val="0"/>
              <w:adjustRightInd w:val="0"/>
              <w:snapToGrid w:val="0"/>
              <w:spacing w:before="0" w:beforeAutospacing="0" w:after="0" w:afterAutospacing="0"/>
              <w:ind w:left="0" w:right="0"/>
              <w:jc w:val="center"/>
              <w:rPr>
                <w:rFonts w:hint="default"/>
                <w:bCs/>
                <w:sz w:val="24"/>
              </w:rPr>
            </w:pPr>
            <w:r>
              <w:rPr>
                <w:rFonts w:hint="default"/>
                <w:bCs/>
                <w:sz w:val="24"/>
              </w:rPr>
              <w:t>措施</w:t>
            </w:r>
          </w:p>
        </w:tc>
        <w:tc>
          <w:tcPr>
            <w:tcW w:w="4844" w:type="pct"/>
            <w:vAlign w:val="center"/>
          </w:tcPr>
          <w:p w14:paraId="4E7A517E">
            <w:pPr>
              <w:keepNext w:val="0"/>
              <w:keepLines w:val="0"/>
              <w:widowControl/>
              <w:suppressLineNumbers w:val="0"/>
              <w:adjustRightInd w:val="0"/>
              <w:snapToGrid w:val="0"/>
              <w:spacing w:before="120" w:beforeLines="50" w:beforeAutospacing="0" w:after="0" w:afterAutospacing="0" w:line="360" w:lineRule="auto"/>
              <w:ind w:left="0" w:right="0"/>
              <w:rPr>
                <w:rFonts w:hint="default"/>
                <w:b/>
                <w:bCs/>
                <w:spacing w:val="-10"/>
                <w:sz w:val="28"/>
                <w:szCs w:val="28"/>
              </w:rPr>
            </w:pPr>
            <w:r>
              <w:rPr>
                <w:rFonts w:hint="default"/>
                <w:b/>
                <w:bCs/>
                <w:spacing w:val="-10"/>
                <w:sz w:val="28"/>
                <w:szCs w:val="28"/>
              </w:rPr>
              <w:t>1、废气环境影响和保护措施</w:t>
            </w:r>
          </w:p>
          <w:p w14:paraId="61EC5BFA">
            <w:pPr>
              <w:keepNext w:val="0"/>
              <w:keepLines w:val="0"/>
              <w:widowControl/>
              <w:suppressLineNumbers w:val="0"/>
              <w:spacing w:before="0" w:beforeAutospacing="0" w:after="0" w:afterAutospacing="0" w:line="360" w:lineRule="auto"/>
              <w:ind w:left="0" w:right="0"/>
              <w:rPr>
                <w:rFonts w:hint="default"/>
                <w:b/>
                <w:bCs/>
                <w:sz w:val="24"/>
              </w:rPr>
            </w:pPr>
            <w:r>
              <w:rPr>
                <w:rFonts w:hint="default"/>
                <w:b/>
                <w:bCs/>
                <w:sz w:val="24"/>
              </w:rPr>
              <w:t>1.1产生源强</w:t>
            </w:r>
          </w:p>
          <w:p w14:paraId="664EDC37">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eastAsia="宋体"/>
                <w:sz w:val="24"/>
                <w:lang w:val="en-US" w:eastAsia="zh-CN"/>
              </w:rPr>
            </w:pPr>
            <w:r>
              <w:rPr>
                <w:rFonts w:hint="default"/>
                <w:sz w:val="24"/>
              </w:rPr>
              <w:t>本项目产生的废气主要为</w:t>
            </w:r>
            <w:r>
              <w:rPr>
                <w:rFonts w:hint="eastAsia"/>
                <w:sz w:val="24"/>
                <w:lang w:val="en-US" w:eastAsia="zh-CN"/>
              </w:rPr>
              <w:t>锅炉废气、油炸废气以及生产过程中产生的异味。</w:t>
            </w:r>
          </w:p>
          <w:p w14:paraId="614757D5">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default"/>
                <w:sz w:val="24"/>
              </w:rPr>
              <w:t>（1）</w:t>
            </w:r>
            <w:r>
              <w:rPr>
                <w:rFonts w:hint="eastAsia"/>
                <w:sz w:val="24"/>
                <w:highlight w:val="none"/>
                <w:lang w:val="en-US" w:eastAsia="zh-CN"/>
              </w:rPr>
              <w:t>锅炉废气</w:t>
            </w:r>
          </w:p>
          <w:p w14:paraId="17F70DD4">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sz w:val="24"/>
                <w:highlight w:val="none"/>
                <w:lang w:val="en-US" w:eastAsia="zh-CN"/>
              </w:rPr>
            </w:pPr>
            <w:r>
              <w:rPr>
                <w:rFonts w:hint="default"/>
                <w:sz w:val="24"/>
                <w:highlight w:val="none"/>
              </w:rPr>
              <w:t>本项目</w:t>
            </w:r>
            <w:r>
              <w:rPr>
                <w:rFonts w:hint="eastAsia"/>
                <w:sz w:val="24"/>
                <w:highlight w:val="none"/>
                <w:lang w:val="en-US" w:eastAsia="zh-CN"/>
              </w:rPr>
              <w:t>新增一台4t/h生物质蒸汽锅炉，根据湖南省地方标准《生物质成型燃料》（DB43/T864-2014）要求，项目生物质燃料基本性能要求及辅助性能要求见下表：</w:t>
            </w:r>
          </w:p>
          <w:p w14:paraId="7AE9E187">
            <w:pPr>
              <w:pStyle w:val="33"/>
              <w:keepNext w:val="0"/>
              <w:keepLines w:val="0"/>
              <w:widowControl w:val="0"/>
              <w:numPr>
                <w:ilvl w:val="0"/>
                <w:numId w:val="19"/>
              </w:numPr>
              <w:suppressLineNumbers w:val="0"/>
              <w:adjustRightInd/>
              <w:snapToGrid/>
              <w:spacing w:before="0" w:beforeAutospacing="0" w:after="0" w:afterAutospacing="0"/>
              <w:ind w:right="0" w:firstLineChars="0"/>
              <w:jc w:val="center"/>
              <w:rPr>
                <w:rFonts w:hint="eastAsia"/>
                <w:sz w:val="24"/>
                <w:highlight w:val="none"/>
                <w:lang w:val="en-US" w:eastAsia="zh-CN"/>
              </w:rPr>
            </w:pPr>
            <w:r>
              <w:rPr>
                <w:rFonts w:hint="eastAsia"/>
                <w:b/>
                <w:bCs/>
                <w:sz w:val="24"/>
                <w:highlight w:val="none"/>
                <w:lang w:val="en-US" w:eastAsia="zh-CN"/>
              </w:rPr>
              <w:t>生物质固体成型燃料基本性能要求</w:t>
            </w:r>
          </w:p>
          <w:tbl>
            <w:tblPr>
              <w:tblStyle w:val="25"/>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88"/>
              <w:gridCol w:w="1413"/>
              <w:gridCol w:w="1361"/>
              <w:gridCol w:w="1519"/>
              <w:gridCol w:w="1418"/>
            </w:tblGrid>
            <w:tr w14:paraId="33E62E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vMerge w:val="restart"/>
                  <w:tcBorders>
                    <w:tl2br w:val="nil"/>
                    <w:tr2bl w:val="nil"/>
                  </w:tcBorders>
                  <w:vAlign w:val="center"/>
                </w:tcPr>
                <w:p w14:paraId="21D9AFD1">
                  <w:pPr>
                    <w:pStyle w:val="63"/>
                    <w:keepNext w:val="0"/>
                    <w:keepLines w:val="0"/>
                    <w:suppressLineNumbers w:val="0"/>
                    <w:spacing w:before="0" w:beforeAutospacing="0" w:after="0" w:afterAutospacing="0"/>
                    <w:ind w:left="0" w:right="0"/>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项目</w:t>
                  </w:r>
                </w:p>
              </w:tc>
              <w:tc>
                <w:tcPr>
                  <w:tcW w:w="1651" w:type="pct"/>
                  <w:gridSpan w:val="2"/>
                  <w:tcBorders>
                    <w:tl2br w:val="nil"/>
                    <w:tr2bl w:val="nil"/>
                  </w:tcBorders>
                  <w:vAlign w:val="center"/>
                </w:tcPr>
                <w:p w14:paraId="476AA43B">
                  <w:pPr>
                    <w:pStyle w:val="63"/>
                    <w:keepNext w:val="0"/>
                    <w:keepLines w:val="0"/>
                    <w:suppressLineNumbers w:val="0"/>
                    <w:spacing w:before="0" w:beforeAutospacing="0" w:after="0" w:afterAutospacing="0"/>
                    <w:ind w:left="0" w:right="0"/>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颗粒状燃料</w:t>
                  </w:r>
                </w:p>
              </w:tc>
              <w:tc>
                <w:tcPr>
                  <w:tcW w:w="1747" w:type="pct"/>
                  <w:gridSpan w:val="2"/>
                  <w:tcBorders>
                    <w:tl2br w:val="nil"/>
                    <w:tr2bl w:val="nil"/>
                  </w:tcBorders>
                  <w:vAlign w:val="center"/>
                </w:tcPr>
                <w:p w14:paraId="6EE5DB80">
                  <w:pPr>
                    <w:pStyle w:val="63"/>
                    <w:keepNext w:val="0"/>
                    <w:keepLines w:val="0"/>
                    <w:suppressLineNumbers w:val="0"/>
                    <w:spacing w:before="0" w:beforeAutospacing="0" w:after="0" w:afterAutospacing="0"/>
                    <w:ind w:left="0" w:right="0"/>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棒（块）状燃料</w:t>
                  </w:r>
                </w:p>
              </w:tc>
            </w:tr>
            <w:tr w14:paraId="42E5B5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687" w:type="dxa"/>
                  <w:vMerge w:val="continue"/>
                  <w:tcBorders>
                    <w:tl2br w:val="nil"/>
                    <w:tr2bl w:val="nil"/>
                  </w:tcBorders>
                  <w:vAlign w:val="center"/>
                </w:tcPr>
                <w:p w14:paraId="011B6657">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b/>
                      <w:bCs/>
                      <w:color w:val="000000"/>
                      <w:kern w:val="2"/>
                      <w:sz w:val="21"/>
                      <w:szCs w:val="21"/>
                    </w:rPr>
                  </w:pPr>
                </w:p>
              </w:tc>
              <w:tc>
                <w:tcPr>
                  <w:tcW w:w="841" w:type="pct"/>
                  <w:tcBorders>
                    <w:tl2br w:val="nil"/>
                    <w:tr2bl w:val="nil"/>
                  </w:tcBorders>
                  <w:vAlign w:val="center"/>
                </w:tcPr>
                <w:p w14:paraId="68A7DD13">
                  <w:pPr>
                    <w:pStyle w:val="63"/>
                    <w:keepNext w:val="0"/>
                    <w:keepLines w:val="0"/>
                    <w:suppressLineNumbers w:val="0"/>
                    <w:spacing w:before="0" w:beforeAutospacing="0" w:after="0" w:afterAutospacing="0"/>
                    <w:ind w:left="0" w:right="0"/>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主要原料为草本类</w:t>
                  </w:r>
                </w:p>
              </w:tc>
              <w:tc>
                <w:tcPr>
                  <w:tcW w:w="810" w:type="pct"/>
                  <w:tcBorders>
                    <w:tl2br w:val="nil"/>
                    <w:tr2bl w:val="nil"/>
                  </w:tcBorders>
                  <w:vAlign w:val="center"/>
                </w:tcPr>
                <w:p w14:paraId="367E927D">
                  <w:pPr>
                    <w:pStyle w:val="63"/>
                    <w:keepNext w:val="0"/>
                    <w:keepLines w:val="0"/>
                    <w:suppressLineNumbers w:val="0"/>
                    <w:spacing w:before="0" w:beforeAutospacing="0" w:after="0" w:afterAutospacing="0"/>
                    <w:ind w:left="0" w:right="0"/>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主要原料为木本类</w:t>
                  </w:r>
                </w:p>
              </w:tc>
              <w:tc>
                <w:tcPr>
                  <w:tcW w:w="904" w:type="pct"/>
                  <w:tcBorders>
                    <w:tl2br w:val="nil"/>
                    <w:tr2bl w:val="nil"/>
                  </w:tcBorders>
                  <w:vAlign w:val="center"/>
                </w:tcPr>
                <w:p w14:paraId="608E35CE">
                  <w:pPr>
                    <w:pStyle w:val="63"/>
                    <w:keepNext w:val="0"/>
                    <w:keepLines w:val="0"/>
                    <w:suppressLineNumbers w:val="0"/>
                    <w:spacing w:before="0" w:beforeAutospacing="0" w:after="0" w:afterAutospacing="0"/>
                    <w:ind w:left="0" w:right="0"/>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主要原料为草本类</w:t>
                  </w:r>
                </w:p>
              </w:tc>
              <w:tc>
                <w:tcPr>
                  <w:tcW w:w="843" w:type="pct"/>
                  <w:tcBorders>
                    <w:tl2br w:val="nil"/>
                    <w:tr2bl w:val="nil"/>
                  </w:tcBorders>
                  <w:vAlign w:val="center"/>
                </w:tcPr>
                <w:p w14:paraId="28E3636E">
                  <w:pPr>
                    <w:pStyle w:val="63"/>
                    <w:keepNext w:val="0"/>
                    <w:keepLines w:val="0"/>
                    <w:suppressLineNumbers w:val="0"/>
                    <w:spacing w:before="0" w:beforeAutospacing="0" w:after="0" w:afterAutospacing="0"/>
                    <w:ind w:left="0" w:right="0"/>
                    <w:rPr>
                      <w:rFonts w:hint="default" w:ascii="Times New Roman" w:hAnsi="Times New Roman" w:eastAsia="宋体" w:cs="Times New Roman"/>
                      <w:b/>
                      <w:bCs/>
                      <w:color w:val="000000"/>
                      <w:kern w:val="0"/>
                      <w:sz w:val="21"/>
                      <w:szCs w:val="21"/>
                    </w:rPr>
                  </w:pPr>
                  <w:r>
                    <w:rPr>
                      <w:rFonts w:hint="default" w:ascii="Times New Roman" w:hAnsi="Times New Roman" w:eastAsia="宋体" w:cs="Times New Roman"/>
                      <w:b/>
                      <w:bCs/>
                      <w:color w:val="000000"/>
                      <w:kern w:val="0"/>
                      <w:sz w:val="21"/>
                      <w:szCs w:val="21"/>
                    </w:rPr>
                    <w:t>主要原料为木本类</w:t>
                  </w:r>
                </w:p>
              </w:tc>
            </w:tr>
            <w:tr w14:paraId="3EAC8B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tcBorders>
                    <w:tl2br w:val="nil"/>
                    <w:tr2bl w:val="nil"/>
                  </w:tcBorders>
                  <w:vAlign w:val="center"/>
                </w:tcPr>
                <w:p w14:paraId="6C6D59A8">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直径或横截面最大尺寸（D），mm</w:t>
                  </w:r>
                </w:p>
              </w:tc>
              <w:tc>
                <w:tcPr>
                  <w:tcW w:w="1651" w:type="pct"/>
                  <w:gridSpan w:val="2"/>
                  <w:tcBorders>
                    <w:tl2br w:val="nil"/>
                    <w:tr2bl w:val="nil"/>
                  </w:tcBorders>
                  <w:vAlign w:val="center"/>
                </w:tcPr>
                <w:p w14:paraId="11489156">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≤25</w:t>
                  </w:r>
                </w:p>
              </w:tc>
              <w:tc>
                <w:tcPr>
                  <w:tcW w:w="1747" w:type="pct"/>
                  <w:gridSpan w:val="2"/>
                  <w:tcBorders>
                    <w:tl2br w:val="nil"/>
                    <w:tr2bl w:val="nil"/>
                  </w:tcBorders>
                  <w:vAlign w:val="center"/>
                </w:tcPr>
                <w:p w14:paraId="64A4FAC2">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＞25</w:t>
                  </w:r>
                </w:p>
              </w:tc>
            </w:tr>
            <w:tr w14:paraId="12C5FF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tcBorders>
                    <w:tl2br w:val="nil"/>
                    <w:tr2bl w:val="nil"/>
                  </w:tcBorders>
                  <w:vAlign w:val="center"/>
                </w:tcPr>
                <w:p w14:paraId="088C9445">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长度，mm</w:t>
                  </w:r>
                </w:p>
              </w:tc>
              <w:tc>
                <w:tcPr>
                  <w:tcW w:w="1651" w:type="pct"/>
                  <w:gridSpan w:val="2"/>
                  <w:tcBorders>
                    <w:tl2br w:val="nil"/>
                    <w:tr2bl w:val="nil"/>
                  </w:tcBorders>
                  <w:vAlign w:val="center"/>
                </w:tcPr>
                <w:p w14:paraId="26C3623F">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≤4D</w:t>
                  </w:r>
                </w:p>
              </w:tc>
              <w:tc>
                <w:tcPr>
                  <w:tcW w:w="1747" w:type="pct"/>
                  <w:gridSpan w:val="2"/>
                  <w:tcBorders>
                    <w:tl2br w:val="nil"/>
                    <w:tr2bl w:val="nil"/>
                  </w:tcBorders>
                  <w:vAlign w:val="center"/>
                </w:tcPr>
                <w:p w14:paraId="11FCEAA9">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≤4D</w:t>
                  </w:r>
                </w:p>
              </w:tc>
            </w:tr>
            <w:tr w14:paraId="45A9D9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tcBorders>
                    <w:tl2br w:val="nil"/>
                    <w:tr2bl w:val="nil"/>
                  </w:tcBorders>
                  <w:vAlign w:val="center"/>
                </w:tcPr>
                <w:p w14:paraId="1D00D0C2">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成型燃料密度，kg/m</w:t>
                  </w:r>
                  <w:r>
                    <w:rPr>
                      <w:rFonts w:hint="default" w:ascii="Times New Roman" w:hAnsi="Times New Roman" w:eastAsia="宋体" w:cs="Times New Roman"/>
                      <w:color w:val="000000"/>
                      <w:kern w:val="0"/>
                      <w:sz w:val="21"/>
                      <w:szCs w:val="21"/>
                      <w:vertAlign w:val="superscript"/>
                    </w:rPr>
                    <w:t>2</w:t>
                  </w:r>
                </w:p>
              </w:tc>
              <w:tc>
                <w:tcPr>
                  <w:tcW w:w="1651" w:type="pct"/>
                  <w:gridSpan w:val="2"/>
                  <w:tcBorders>
                    <w:tl2br w:val="nil"/>
                    <w:tr2bl w:val="nil"/>
                  </w:tcBorders>
                  <w:vAlign w:val="center"/>
                </w:tcPr>
                <w:p w14:paraId="578574BF">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≥1000</w:t>
                  </w:r>
                </w:p>
              </w:tc>
              <w:tc>
                <w:tcPr>
                  <w:tcW w:w="1747" w:type="pct"/>
                  <w:gridSpan w:val="2"/>
                  <w:tcBorders>
                    <w:tl2br w:val="nil"/>
                    <w:tr2bl w:val="nil"/>
                  </w:tcBorders>
                  <w:vAlign w:val="center"/>
                </w:tcPr>
                <w:p w14:paraId="3C75778E">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≥800</w:t>
                  </w:r>
                </w:p>
              </w:tc>
            </w:tr>
            <w:tr w14:paraId="6CCA37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tcBorders>
                    <w:tl2br w:val="nil"/>
                    <w:tr2bl w:val="nil"/>
                  </w:tcBorders>
                  <w:vAlign w:val="center"/>
                </w:tcPr>
                <w:p w14:paraId="56A8C441">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含水率，%</w:t>
                  </w:r>
                </w:p>
              </w:tc>
              <w:tc>
                <w:tcPr>
                  <w:tcW w:w="1651" w:type="pct"/>
                  <w:gridSpan w:val="2"/>
                  <w:tcBorders>
                    <w:tl2br w:val="nil"/>
                    <w:tr2bl w:val="nil"/>
                  </w:tcBorders>
                  <w:vAlign w:val="center"/>
                </w:tcPr>
                <w:p w14:paraId="12B41AA7">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w:t>
                  </w:r>
                </w:p>
              </w:tc>
              <w:tc>
                <w:tcPr>
                  <w:tcW w:w="1747" w:type="pct"/>
                  <w:gridSpan w:val="2"/>
                  <w:tcBorders>
                    <w:tl2br w:val="nil"/>
                    <w:tr2bl w:val="nil"/>
                  </w:tcBorders>
                  <w:vAlign w:val="center"/>
                </w:tcPr>
                <w:p w14:paraId="564288B1">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≤16</w:t>
                  </w:r>
                </w:p>
              </w:tc>
            </w:tr>
            <w:tr w14:paraId="6E1C6C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tcBorders>
                    <w:tl2br w:val="nil"/>
                    <w:tr2bl w:val="nil"/>
                  </w:tcBorders>
                  <w:vAlign w:val="center"/>
                </w:tcPr>
                <w:p w14:paraId="3E7FD588">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灰分含量，%</w:t>
                  </w:r>
                </w:p>
              </w:tc>
              <w:tc>
                <w:tcPr>
                  <w:tcW w:w="841" w:type="pct"/>
                  <w:tcBorders>
                    <w:tl2br w:val="nil"/>
                    <w:tr2bl w:val="nil"/>
                  </w:tcBorders>
                  <w:vAlign w:val="center"/>
                </w:tcPr>
                <w:p w14:paraId="3D868C51">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≤10</w:t>
                  </w:r>
                </w:p>
              </w:tc>
              <w:tc>
                <w:tcPr>
                  <w:tcW w:w="810" w:type="pct"/>
                  <w:tcBorders>
                    <w:tl2br w:val="nil"/>
                    <w:tr2bl w:val="nil"/>
                  </w:tcBorders>
                  <w:vAlign w:val="center"/>
                </w:tcPr>
                <w:p w14:paraId="0A1091D4">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≤6</w:t>
                  </w:r>
                </w:p>
              </w:tc>
              <w:tc>
                <w:tcPr>
                  <w:tcW w:w="904" w:type="pct"/>
                  <w:tcBorders>
                    <w:tl2br w:val="nil"/>
                    <w:tr2bl w:val="nil"/>
                  </w:tcBorders>
                  <w:vAlign w:val="center"/>
                </w:tcPr>
                <w:p w14:paraId="7D0EF1C4">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≤12</w:t>
                  </w:r>
                </w:p>
              </w:tc>
              <w:tc>
                <w:tcPr>
                  <w:tcW w:w="843" w:type="pct"/>
                  <w:tcBorders>
                    <w:tl2br w:val="nil"/>
                    <w:tr2bl w:val="nil"/>
                  </w:tcBorders>
                  <w:vAlign w:val="center"/>
                </w:tcPr>
                <w:p w14:paraId="24CF9062">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≤6</w:t>
                  </w:r>
                </w:p>
              </w:tc>
            </w:tr>
            <w:tr w14:paraId="789B39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tcBorders>
                    <w:tl2br w:val="nil"/>
                    <w:tr2bl w:val="nil"/>
                  </w:tcBorders>
                  <w:vAlign w:val="center"/>
                </w:tcPr>
                <w:p w14:paraId="110A9E90">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低位发热量，MJ/kg</w:t>
                  </w:r>
                </w:p>
              </w:tc>
              <w:tc>
                <w:tcPr>
                  <w:tcW w:w="841" w:type="pct"/>
                  <w:tcBorders>
                    <w:tl2br w:val="nil"/>
                    <w:tr2bl w:val="nil"/>
                  </w:tcBorders>
                  <w:vAlign w:val="center"/>
                </w:tcPr>
                <w:p w14:paraId="3AE207E3">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≥13.4</w:t>
                  </w:r>
                </w:p>
              </w:tc>
              <w:tc>
                <w:tcPr>
                  <w:tcW w:w="810" w:type="pct"/>
                  <w:tcBorders>
                    <w:tl2br w:val="nil"/>
                    <w:tr2bl w:val="nil"/>
                  </w:tcBorders>
                  <w:vAlign w:val="center"/>
                </w:tcPr>
                <w:p w14:paraId="072A34CB">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≥16.9</w:t>
                  </w:r>
                </w:p>
              </w:tc>
              <w:tc>
                <w:tcPr>
                  <w:tcW w:w="904" w:type="pct"/>
                  <w:tcBorders>
                    <w:tl2br w:val="nil"/>
                    <w:tr2bl w:val="nil"/>
                  </w:tcBorders>
                  <w:vAlign w:val="center"/>
                </w:tcPr>
                <w:p w14:paraId="1B3D907B">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≥13.4</w:t>
                  </w:r>
                </w:p>
              </w:tc>
              <w:tc>
                <w:tcPr>
                  <w:tcW w:w="843" w:type="pct"/>
                  <w:tcBorders>
                    <w:tl2br w:val="nil"/>
                    <w:tr2bl w:val="nil"/>
                  </w:tcBorders>
                  <w:vAlign w:val="center"/>
                </w:tcPr>
                <w:p w14:paraId="72E94C7D">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≥16.9</w:t>
                  </w:r>
                </w:p>
              </w:tc>
            </w:tr>
            <w:tr w14:paraId="1E90D8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00" w:type="pct"/>
                  <w:tcBorders>
                    <w:tl2br w:val="nil"/>
                    <w:tr2bl w:val="nil"/>
                  </w:tcBorders>
                  <w:vAlign w:val="center"/>
                </w:tcPr>
                <w:p w14:paraId="3A35F87C">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破碎率，%</w:t>
                  </w:r>
                </w:p>
              </w:tc>
              <w:tc>
                <w:tcPr>
                  <w:tcW w:w="3399" w:type="pct"/>
                  <w:gridSpan w:val="4"/>
                  <w:tcBorders>
                    <w:tl2br w:val="nil"/>
                    <w:tr2bl w:val="nil"/>
                  </w:tcBorders>
                  <w:vAlign w:val="center"/>
                </w:tcPr>
                <w:p w14:paraId="62DD742D">
                  <w:pPr>
                    <w:pStyle w:val="63"/>
                    <w:keepNext w:val="0"/>
                    <w:keepLines w:val="0"/>
                    <w:suppressLineNumbers w:val="0"/>
                    <w:spacing w:before="0" w:beforeAutospacing="0" w:after="0" w:afterAutospacing="0"/>
                    <w:ind w:left="0" w:right="0"/>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≤5</w:t>
                  </w:r>
                </w:p>
              </w:tc>
            </w:tr>
          </w:tbl>
          <w:p w14:paraId="2FEEB154">
            <w:pPr>
              <w:pStyle w:val="33"/>
              <w:keepNext w:val="0"/>
              <w:keepLines w:val="0"/>
              <w:widowControl w:val="0"/>
              <w:numPr>
                <w:ilvl w:val="0"/>
                <w:numId w:val="19"/>
              </w:numPr>
              <w:suppressLineNumbers w:val="0"/>
              <w:adjustRightInd/>
              <w:snapToGrid/>
              <w:spacing w:before="157" w:beforeLines="50" w:beforeAutospacing="0" w:after="0" w:afterAutospacing="0"/>
              <w:ind w:right="0" w:firstLineChars="0"/>
              <w:jc w:val="center"/>
              <w:rPr>
                <w:rFonts w:hint="eastAsia"/>
                <w:sz w:val="24"/>
                <w:highlight w:val="none"/>
                <w:lang w:val="en-US" w:eastAsia="zh-CN"/>
              </w:rPr>
            </w:pPr>
            <w:r>
              <w:rPr>
                <w:rFonts w:hint="eastAsia"/>
                <w:b/>
                <w:bCs/>
                <w:sz w:val="24"/>
                <w:highlight w:val="none"/>
                <w:lang w:val="en-US" w:eastAsia="zh-CN"/>
              </w:rPr>
              <w:t>生物质固体成型燃料辅助性能要求</w:t>
            </w:r>
          </w:p>
          <w:tbl>
            <w:tblPr>
              <w:tblStyle w:val="25"/>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198"/>
              <w:gridCol w:w="4201"/>
            </w:tblGrid>
            <w:tr w14:paraId="079AFF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2499" w:type="pct"/>
                  <w:tcBorders>
                    <w:tl2br w:val="nil"/>
                    <w:tr2bl w:val="nil"/>
                  </w:tcBorders>
                </w:tcPr>
                <w:p w14:paraId="78C488A5">
                  <w:pPr>
                    <w:pStyle w:val="63"/>
                    <w:keepNext w:val="0"/>
                    <w:keepLines w:val="0"/>
                    <w:suppressLineNumbers w:val="0"/>
                    <w:spacing w:before="0" w:beforeAutospacing="0" w:after="0" w:afterAutospacing="0"/>
                    <w:ind w:left="0" w:right="0"/>
                    <w:rPr>
                      <w:rFonts w:hint="default"/>
                      <w:b/>
                      <w:bCs/>
                      <w:color w:val="000000"/>
                      <w:kern w:val="0"/>
                      <w:sz w:val="21"/>
                      <w:szCs w:val="21"/>
                    </w:rPr>
                  </w:pPr>
                  <w:r>
                    <w:rPr>
                      <w:rFonts w:hint="eastAsia"/>
                      <w:b/>
                      <w:bCs/>
                      <w:color w:val="000000"/>
                      <w:kern w:val="0"/>
                      <w:sz w:val="21"/>
                      <w:szCs w:val="21"/>
                    </w:rPr>
                    <w:t>项目</w:t>
                  </w:r>
                </w:p>
              </w:tc>
              <w:tc>
                <w:tcPr>
                  <w:tcW w:w="2500" w:type="pct"/>
                  <w:tcBorders>
                    <w:tl2br w:val="nil"/>
                    <w:tr2bl w:val="nil"/>
                  </w:tcBorders>
                </w:tcPr>
                <w:p w14:paraId="4EF054A8">
                  <w:pPr>
                    <w:pStyle w:val="63"/>
                    <w:keepNext w:val="0"/>
                    <w:keepLines w:val="0"/>
                    <w:suppressLineNumbers w:val="0"/>
                    <w:spacing w:before="0" w:beforeAutospacing="0" w:after="0" w:afterAutospacing="0"/>
                    <w:ind w:left="0" w:right="0"/>
                    <w:rPr>
                      <w:rFonts w:hint="default"/>
                      <w:b/>
                      <w:bCs/>
                      <w:color w:val="000000"/>
                      <w:kern w:val="0"/>
                      <w:sz w:val="21"/>
                      <w:szCs w:val="21"/>
                    </w:rPr>
                  </w:pPr>
                  <w:r>
                    <w:rPr>
                      <w:rFonts w:hint="eastAsia"/>
                      <w:b/>
                      <w:bCs/>
                      <w:color w:val="000000"/>
                      <w:kern w:val="0"/>
                      <w:sz w:val="21"/>
                      <w:szCs w:val="21"/>
                    </w:rPr>
                    <w:t>性能要求</w:t>
                  </w:r>
                </w:p>
              </w:tc>
            </w:tr>
            <w:tr w14:paraId="482C2E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99" w:type="pct"/>
                  <w:tcBorders>
                    <w:tl2br w:val="nil"/>
                    <w:tr2bl w:val="nil"/>
                  </w:tcBorders>
                </w:tcPr>
                <w:p w14:paraId="4D76445C">
                  <w:pPr>
                    <w:pStyle w:val="63"/>
                    <w:keepNext w:val="0"/>
                    <w:keepLines w:val="0"/>
                    <w:suppressLineNumbers w:val="0"/>
                    <w:spacing w:before="0" w:beforeAutospacing="0" w:after="0" w:afterAutospacing="0"/>
                    <w:ind w:left="0" w:right="0"/>
                    <w:rPr>
                      <w:rFonts w:hint="default"/>
                      <w:color w:val="000000"/>
                      <w:kern w:val="0"/>
                      <w:sz w:val="21"/>
                      <w:szCs w:val="21"/>
                    </w:rPr>
                  </w:pPr>
                  <w:r>
                    <w:rPr>
                      <w:rFonts w:hint="eastAsia"/>
                      <w:color w:val="000000"/>
                      <w:kern w:val="0"/>
                      <w:sz w:val="21"/>
                      <w:szCs w:val="21"/>
                    </w:rPr>
                    <w:t>含硫率，</w:t>
                  </w:r>
                  <w:r>
                    <w:rPr>
                      <w:rFonts w:hint="default"/>
                      <w:color w:val="000000"/>
                      <w:kern w:val="0"/>
                      <w:sz w:val="21"/>
                      <w:szCs w:val="21"/>
                    </w:rPr>
                    <w:t>%</w:t>
                  </w:r>
                </w:p>
              </w:tc>
              <w:tc>
                <w:tcPr>
                  <w:tcW w:w="2500" w:type="pct"/>
                  <w:tcBorders>
                    <w:tl2br w:val="nil"/>
                    <w:tr2bl w:val="nil"/>
                  </w:tcBorders>
                </w:tcPr>
                <w:p w14:paraId="18C66D4F">
                  <w:pPr>
                    <w:pStyle w:val="63"/>
                    <w:keepNext w:val="0"/>
                    <w:keepLines w:val="0"/>
                    <w:suppressLineNumbers w:val="0"/>
                    <w:spacing w:before="0" w:beforeAutospacing="0" w:after="0" w:afterAutospacing="0"/>
                    <w:ind w:left="0" w:right="0"/>
                    <w:rPr>
                      <w:rFonts w:hint="default"/>
                      <w:color w:val="000000"/>
                      <w:kern w:val="0"/>
                      <w:sz w:val="21"/>
                      <w:szCs w:val="21"/>
                    </w:rPr>
                  </w:pPr>
                  <w:r>
                    <w:rPr>
                      <w:rFonts w:hint="eastAsia"/>
                      <w:color w:val="000000"/>
                      <w:kern w:val="0"/>
                      <w:sz w:val="21"/>
                      <w:szCs w:val="21"/>
                    </w:rPr>
                    <w:t>≤</w:t>
                  </w:r>
                  <w:r>
                    <w:rPr>
                      <w:rFonts w:hint="default"/>
                      <w:color w:val="000000"/>
                      <w:kern w:val="0"/>
                      <w:sz w:val="21"/>
                      <w:szCs w:val="21"/>
                    </w:rPr>
                    <w:t>0.2</w:t>
                  </w:r>
                </w:p>
              </w:tc>
            </w:tr>
            <w:tr w14:paraId="15AD21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99" w:type="pct"/>
                  <w:tcBorders>
                    <w:tl2br w:val="nil"/>
                    <w:tr2bl w:val="nil"/>
                  </w:tcBorders>
                </w:tcPr>
                <w:p w14:paraId="7249BEC9">
                  <w:pPr>
                    <w:pStyle w:val="63"/>
                    <w:keepNext w:val="0"/>
                    <w:keepLines w:val="0"/>
                    <w:suppressLineNumbers w:val="0"/>
                    <w:spacing w:before="0" w:beforeAutospacing="0" w:after="0" w:afterAutospacing="0"/>
                    <w:ind w:left="0" w:right="0"/>
                    <w:rPr>
                      <w:rFonts w:hint="default"/>
                      <w:color w:val="000000"/>
                      <w:kern w:val="0"/>
                      <w:sz w:val="21"/>
                      <w:szCs w:val="21"/>
                    </w:rPr>
                  </w:pPr>
                  <w:r>
                    <w:rPr>
                      <w:rFonts w:hint="eastAsia"/>
                      <w:color w:val="000000"/>
                      <w:kern w:val="0"/>
                      <w:sz w:val="21"/>
                      <w:szCs w:val="21"/>
                    </w:rPr>
                    <w:t>钾含量，</w:t>
                  </w:r>
                  <w:r>
                    <w:rPr>
                      <w:rFonts w:hint="default"/>
                      <w:color w:val="000000"/>
                      <w:kern w:val="0"/>
                      <w:sz w:val="21"/>
                      <w:szCs w:val="21"/>
                    </w:rPr>
                    <w:t>%</w:t>
                  </w:r>
                </w:p>
              </w:tc>
              <w:tc>
                <w:tcPr>
                  <w:tcW w:w="2500" w:type="pct"/>
                  <w:tcBorders>
                    <w:tl2br w:val="nil"/>
                    <w:tr2bl w:val="nil"/>
                  </w:tcBorders>
                </w:tcPr>
                <w:p w14:paraId="39D39159">
                  <w:pPr>
                    <w:pStyle w:val="63"/>
                    <w:keepNext w:val="0"/>
                    <w:keepLines w:val="0"/>
                    <w:suppressLineNumbers w:val="0"/>
                    <w:spacing w:before="0" w:beforeAutospacing="0" w:after="0" w:afterAutospacing="0"/>
                    <w:ind w:left="0" w:right="0"/>
                    <w:rPr>
                      <w:rFonts w:hint="default"/>
                      <w:color w:val="000000"/>
                      <w:kern w:val="0"/>
                      <w:sz w:val="21"/>
                      <w:szCs w:val="21"/>
                    </w:rPr>
                  </w:pPr>
                  <w:r>
                    <w:rPr>
                      <w:rFonts w:hint="eastAsia"/>
                      <w:color w:val="000000"/>
                      <w:kern w:val="0"/>
                      <w:sz w:val="21"/>
                      <w:szCs w:val="21"/>
                    </w:rPr>
                    <w:t>≤</w:t>
                  </w:r>
                  <w:r>
                    <w:rPr>
                      <w:rFonts w:hint="default"/>
                      <w:color w:val="000000"/>
                      <w:kern w:val="0"/>
                      <w:sz w:val="21"/>
                      <w:szCs w:val="21"/>
                    </w:rPr>
                    <w:t>1</w:t>
                  </w:r>
                </w:p>
              </w:tc>
            </w:tr>
            <w:tr w14:paraId="31E2AD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499" w:type="pct"/>
                  <w:tcBorders>
                    <w:tl2br w:val="nil"/>
                    <w:tr2bl w:val="nil"/>
                  </w:tcBorders>
                </w:tcPr>
                <w:p w14:paraId="170BCBF0">
                  <w:pPr>
                    <w:pStyle w:val="63"/>
                    <w:keepNext w:val="0"/>
                    <w:keepLines w:val="0"/>
                    <w:suppressLineNumbers w:val="0"/>
                    <w:spacing w:before="0" w:beforeAutospacing="0" w:after="0" w:afterAutospacing="0"/>
                    <w:ind w:left="0" w:right="0"/>
                    <w:rPr>
                      <w:rFonts w:hint="default"/>
                      <w:color w:val="000000"/>
                      <w:kern w:val="0"/>
                      <w:sz w:val="21"/>
                      <w:szCs w:val="21"/>
                    </w:rPr>
                  </w:pPr>
                  <w:r>
                    <w:rPr>
                      <w:rFonts w:hint="eastAsia"/>
                      <w:color w:val="000000"/>
                      <w:kern w:val="0"/>
                      <w:sz w:val="21"/>
                      <w:szCs w:val="21"/>
                    </w:rPr>
                    <w:t>氯含量，</w:t>
                  </w:r>
                  <w:r>
                    <w:rPr>
                      <w:rFonts w:hint="default"/>
                      <w:color w:val="000000"/>
                      <w:kern w:val="0"/>
                      <w:sz w:val="21"/>
                      <w:szCs w:val="21"/>
                    </w:rPr>
                    <w:t>%</w:t>
                  </w:r>
                </w:p>
              </w:tc>
              <w:tc>
                <w:tcPr>
                  <w:tcW w:w="2500" w:type="pct"/>
                  <w:tcBorders>
                    <w:tl2br w:val="nil"/>
                    <w:tr2bl w:val="nil"/>
                  </w:tcBorders>
                </w:tcPr>
                <w:p w14:paraId="4704323C">
                  <w:pPr>
                    <w:pStyle w:val="63"/>
                    <w:keepNext w:val="0"/>
                    <w:keepLines w:val="0"/>
                    <w:suppressLineNumbers w:val="0"/>
                    <w:spacing w:before="0" w:beforeAutospacing="0" w:after="0" w:afterAutospacing="0"/>
                    <w:ind w:left="0" w:right="0"/>
                    <w:rPr>
                      <w:rFonts w:hint="default"/>
                      <w:color w:val="000000"/>
                      <w:kern w:val="0"/>
                      <w:sz w:val="21"/>
                      <w:szCs w:val="21"/>
                    </w:rPr>
                  </w:pPr>
                  <w:r>
                    <w:rPr>
                      <w:rFonts w:hint="eastAsia"/>
                      <w:color w:val="000000"/>
                      <w:kern w:val="0"/>
                      <w:sz w:val="21"/>
                      <w:szCs w:val="21"/>
                    </w:rPr>
                    <w:t>≤</w:t>
                  </w:r>
                  <w:r>
                    <w:rPr>
                      <w:rFonts w:hint="default"/>
                      <w:color w:val="000000"/>
                      <w:kern w:val="0"/>
                      <w:sz w:val="21"/>
                      <w:szCs w:val="21"/>
                    </w:rPr>
                    <w:t>0.8</w:t>
                  </w:r>
                </w:p>
              </w:tc>
            </w:tr>
          </w:tbl>
          <w:p w14:paraId="1F1D74B6">
            <w:pPr>
              <w:pStyle w:val="33"/>
              <w:keepNext w:val="0"/>
              <w:keepLines w:val="0"/>
              <w:pageBreakBefore w:val="0"/>
              <w:widowControl w:val="0"/>
              <w:numPr>
                <w:ilvl w:val="0"/>
                <w:numId w:val="19"/>
              </w:numPr>
              <w:suppressLineNumbers w:val="0"/>
              <w:kinsoku/>
              <w:wordWrap/>
              <w:overflowPunct/>
              <w:topLinePunct w:val="0"/>
              <w:autoSpaceDE/>
              <w:autoSpaceDN/>
              <w:bidi w:val="0"/>
              <w:adjustRightInd/>
              <w:snapToGrid/>
              <w:spacing w:before="157" w:beforeLines="50" w:beforeAutospacing="0" w:after="0" w:afterAutospacing="0"/>
              <w:ind w:right="0" w:firstLineChars="0"/>
              <w:jc w:val="center"/>
              <w:textAlignment w:val="auto"/>
              <w:rPr>
                <w:rFonts w:hint="default" w:ascii="Times New Roman" w:hAnsi="Times New Roman" w:cs="Times New Roman"/>
                <w:b/>
                <w:bCs/>
                <w:sz w:val="24"/>
                <w:szCs w:val="24"/>
                <w:lang w:val="en-US" w:eastAsia="zh-CN"/>
              </w:rPr>
            </w:pPr>
            <w:r>
              <w:rPr>
                <w:rFonts w:hint="eastAsia" w:cs="Times New Roman"/>
                <w:b/>
                <w:bCs/>
                <w:sz w:val="24"/>
                <w:szCs w:val="24"/>
                <w:highlight w:val="none"/>
                <w:lang w:val="en-US" w:eastAsia="zh-CN"/>
              </w:rPr>
              <w:t>本项目使用</w:t>
            </w:r>
            <w:r>
              <w:rPr>
                <w:rFonts w:hint="default" w:ascii="Times New Roman" w:hAnsi="Times New Roman" w:cs="Times New Roman"/>
                <w:b/>
                <w:bCs/>
                <w:sz w:val="24"/>
                <w:szCs w:val="24"/>
                <w:highlight w:val="none"/>
                <w:lang w:val="en-US" w:eastAsia="zh-CN"/>
              </w:rPr>
              <w:t>生物质成型燃料（颗粒）成分表</w:t>
            </w:r>
          </w:p>
          <w:tbl>
            <w:tblPr>
              <w:tblStyle w:val="25"/>
              <w:tblW w:w="4998"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34"/>
              <w:gridCol w:w="2665"/>
              <w:gridCol w:w="2099"/>
              <w:gridCol w:w="2100"/>
            </w:tblGrid>
            <w:tr w14:paraId="632515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33802DF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default"/>
                      <w:b/>
                      <w:bCs/>
                      <w:sz w:val="21"/>
                      <w:szCs w:val="21"/>
                      <w:lang w:val="en-US" w:eastAsia="zh-CN"/>
                    </w:rPr>
                    <w:t>序号</w:t>
                  </w:r>
                </w:p>
              </w:tc>
              <w:tc>
                <w:tcPr>
                  <w:tcW w:w="1586" w:type="pct"/>
                  <w:tcBorders>
                    <w:tl2br w:val="nil"/>
                    <w:tr2bl w:val="nil"/>
                  </w:tcBorders>
                  <w:vAlign w:val="center"/>
                </w:tcPr>
                <w:p w14:paraId="4FAAA205">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default"/>
                      <w:b/>
                      <w:bCs/>
                      <w:sz w:val="21"/>
                      <w:szCs w:val="21"/>
                      <w:lang w:val="en-US" w:eastAsia="zh-CN"/>
                    </w:rPr>
                    <w:t>项目</w:t>
                  </w:r>
                </w:p>
              </w:tc>
              <w:tc>
                <w:tcPr>
                  <w:tcW w:w="1249" w:type="pct"/>
                  <w:tcBorders>
                    <w:tl2br w:val="nil"/>
                    <w:tr2bl w:val="nil"/>
                  </w:tcBorders>
                  <w:vAlign w:val="center"/>
                </w:tcPr>
                <w:p w14:paraId="1A8DF136">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default"/>
                      <w:b/>
                      <w:bCs/>
                      <w:sz w:val="21"/>
                      <w:szCs w:val="21"/>
                      <w:lang w:val="en-US" w:eastAsia="zh-CN"/>
                    </w:rPr>
                    <w:t>单位</w:t>
                  </w:r>
                </w:p>
              </w:tc>
              <w:tc>
                <w:tcPr>
                  <w:tcW w:w="1250" w:type="pct"/>
                  <w:tcBorders>
                    <w:tl2br w:val="nil"/>
                    <w:tr2bl w:val="nil"/>
                  </w:tcBorders>
                  <w:vAlign w:val="center"/>
                </w:tcPr>
                <w:p w14:paraId="6B0DFC97">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b/>
                      <w:bCs/>
                      <w:sz w:val="21"/>
                      <w:szCs w:val="21"/>
                      <w:lang w:val="en-US" w:eastAsia="zh-CN"/>
                    </w:rPr>
                  </w:pPr>
                  <w:r>
                    <w:rPr>
                      <w:rFonts w:hint="default"/>
                      <w:b/>
                      <w:bCs/>
                      <w:sz w:val="21"/>
                      <w:szCs w:val="21"/>
                      <w:lang w:val="en-US" w:eastAsia="zh-CN"/>
                    </w:rPr>
                    <w:t>数值</w:t>
                  </w:r>
                </w:p>
              </w:tc>
            </w:tr>
            <w:tr w14:paraId="4E7D8D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40328F4D">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1</w:t>
                  </w:r>
                </w:p>
              </w:tc>
              <w:tc>
                <w:tcPr>
                  <w:tcW w:w="1586" w:type="pct"/>
                  <w:tcBorders>
                    <w:tl2br w:val="nil"/>
                    <w:tr2bl w:val="nil"/>
                  </w:tcBorders>
                  <w:vAlign w:val="center"/>
                </w:tcPr>
                <w:p w14:paraId="58864793">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全水（Mt）</w:t>
                  </w:r>
                </w:p>
              </w:tc>
              <w:tc>
                <w:tcPr>
                  <w:tcW w:w="1249" w:type="pct"/>
                  <w:tcBorders>
                    <w:tl2br w:val="nil"/>
                    <w:tr2bl w:val="nil"/>
                  </w:tcBorders>
                  <w:vAlign w:val="center"/>
                </w:tcPr>
                <w:p w14:paraId="60436D67">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w:t>
                  </w:r>
                </w:p>
              </w:tc>
              <w:tc>
                <w:tcPr>
                  <w:tcW w:w="1250" w:type="pct"/>
                  <w:tcBorders>
                    <w:tl2br w:val="nil"/>
                    <w:tr2bl w:val="nil"/>
                  </w:tcBorders>
                  <w:vAlign w:val="center"/>
                </w:tcPr>
                <w:p w14:paraId="7E2E3521">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7.00</w:t>
                  </w:r>
                </w:p>
              </w:tc>
            </w:tr>
            <w:tr w14:paraId="7A1264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7A0A169C">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2</w:t>
                  </w:r>
                </w:p>
              </w:tc>
              <w:tc>
                <w:tcPr>
                  <w:tcW w:w="1586" w:type="pct"/>
                  <w:tcBorders>
                    <w:tl2br w:val="nil"/>
                    <w:tr2bl w:val="nil"/>
                  </w:tcBorders>
                  <w:vAlign w:val="center"/>
                </w:tcPr>
                <w:p w14:paraId="4CEFF885">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空气干燥基水分</w:t>
                  </w:r>
                  <w:r>
                    <w:rPr>
                      <w:rFonts w:hint="default"/>
                      <w:sz w:val="21"/>
                      <w:szCs w:val="21"/>
                      <w:lang w:val="en-US" w:eastAsia="zh-CN"/>
                    </w:rPr>
                    <w:t>（Mad）</w:t>
                  </w:r>
                </w:p>
              </w:tc>
              <w:tc>
                <w:tcPr>
                  <w:tcW w:w="1249" w:type="pct"/>
                  <w:tcBorders>
                    <w:tl2br w:val="nil"/>
                    <w:tr2bl w:val="nil"/>
                  </w:tcBorders>
                  <w:vAlign w:val="center"/>
                </w:tcPr>
                <w:p w14:paraId="22A7921E">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w:t>
                  </w:r>
                </w:p>
              </w:tc>
              <w:tc>
                <w:tcPr>
                  <w:tcW w:w="1250" w:type="pct"/>
                  <w:tcBorders>
                    <w:tl2br w:val="nil"/>
                    <w:tr2bl w:val="nil"/>
                  </w:tcBorders>
                  <w:vAlign w:val="center"/>
                </w:tcPr>
                <w:p w14:paraId="5D46E216">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3.76</w:t>
                  </w:r>
                </w:p>
              </w:tc>
            </w:tr>
            <w:tr w14:paraId="33FDDD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6FCBBDFC">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3</w:t>
                  </w:r>
                </w:p>
              </w:tc>
              <w:tc>
                <w:tcPr>
                  <w:tcW w:w="1586" w:type="pct"/>
                  <w:tcBorders>
                    <w:tl2br w:val="nil"/>
                    <w:tr2bl w:val="nil"/>
                  </w:tcBorders>
                  <w:vAlign w:val="center"/>
                </w:tcPr>
                <w:p w14:paraId="524149D4">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空气干燥基灰分（A</w:t>
                  </w:r>
                  <w:r>
                    <w:rPr>
                      <w:rFonts w:hint="eastAsia"/>
                      <w:sz w:val="21"/>
                      <w:szCs w:val="21"/>
                      <w:lang w:val="en-US" w:eastAsia="zh-CN"/>
                    </w:rPr>
                    <w:t>ad</w:t>
                  </w:r>
                  <w:r>
                    <w:rPr>
                      <w:rFonts w:hint="default"/>
                      <w:sz w:val="21"/>
                      <w:szCs w:val="21"/>
                      <w:lang w:val="en-US" w:eastAsia="zh-CN"/>
                    </w:rPr>
                    <w:t>）</w:t>
                  </w:r>
                </w:p>
              </w:tc>
              <w:tc>
                <w:tcPr>
                  <w:tcW w:w="1249" w:type="pct"/>
                  <w:tcBorders>
                    <w:tl2br w:val="nil"/>
                    <w:tr2bl w:val="nil"/>
                  </w:tcBorders>
                  <w:vAlign w:val="center"/>
                </w:tcPr>
                <w:p w14:paraId="4F7B057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w:t>
                  </w:r>
                </w:p>
              </w:tc>
              <w:tc>
                <w:tcPr>
                  <w:tcW w:w="1250" w:type="pct"/>
                  <w:tcBorders>
                    <w:tl2br w:val="nil"/>
                    <w:tr2bl w:val="nil"/>
                  </w:tcBorders>
                  <w:vAlign w:val="center"/>
                </w:tcPr>
                <w:p w14:paraId="77A449F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3.48</w:t>
                  </w:r>
                </w:p>
              </w:tc>
            </w:tr>
            <w:tr w14:paraId="483019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4FC70F13">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4</w:t>
                  </w:r>
                </w:p>
              </w:tc>
              <w:tc>
                <w:tcPr>
                  <w:tcW w:w="1586" w:type="pct"/>
                  <w:tcBorders>
                    <w:tl2br w:val="nil"/>
                    <w:tr2bl w:val="nil"/>
                  </w:tcBorders>
                  <w:vAlign w:val="center"/>
                </w:tcPr>
                <w:p w14:paraId="461AAF71">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空气干燥基挥发分（V</w:t>
                  </w:r>
                  <w:r>
                    <w:rPr>
                      <w:rFonts w:hint="eastAsia"/>
                      <w:sz w:val="21"/>
                      <w:szCs w:val="21"/>
                      <w:lang w:val="en-US" w:eastAsia="zh-CN"/>
                    </w:rPr>
                    <w:t>ad</w:t>
                  </w:r>
                  <w:r>
                    <w:rPr>
                      <w:rFonts w:hint="default"/>
                      <w:sz w:val="21"/>
                      <w:szCs w:val="21"/>
                      <w:lang w:val="en-US" w:eastAsia="zh-CN"/>
                    </w:rPr>
                    <w:t>）</w:t>
                  </w:r>
                </w:p>
              </w:tc>
              <w:tc>
                <w:tcPr>
                  <w:tcW w:w="1249" w:type="pct"/>
                  <w:tcBorders>
                    <w:tl2br w:val="nil"/>
                    <w:tr2bl w:val="nil"/>
                  </w:tcBorders>
                  <w:vAlign w:val="center"/>
                </w:tcPr>
                <w:p w14:paraId="75699A5C">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w:t>
                  </w:r>
                </w:p>
              </w:tc>
              <w:tc>
                <w:tcPr>
                  <w:tcW w:w="1250" w:type="pct"/>
                  <w:tcBorders>
                    <w:tl2br w:val="nil"/>
                    <w:tr2bl w:val="nil"/>
                  </w:tcBorders>
                  <w:vAlign w:val="center"/>
                </w:tcPr>
                <w:p w14:paraId="534CBF9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70.68</w:t>
                  </w:r>
                </w:p>
              </w:tc>
            </w:tr>
            <w:tr w14:paraId="4390E5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197967F0">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5</w:t>
                  </w:r>
                </w:p>
              </w:tc>
              <w:tc>
                <w:tcPr>
                  <w:tcW w:w="1586" w:type="pct"/>
                  <w:tcBorders>
                    <w:tl2br w:val="nil"/>
                    <w:tr2bl w:val="nil"/>
                  </w:tcBorders>
                  <w:vAlign w:val="center"/>
                </w:tcPr>
                <w:p w14:paraId="4A34E8C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空气干燥基固定碳（</w:t>
                  </w:r>
                  <w:r>
                    <w:rPr>
                      <w:rFonts w:hint="eastAsia"/>
                      <w:sz w:val="21"/>
                      <w:szCs w:val="21"/>
                      <w:lang w:val="en-US" w:eastAsia="zh-CN"/>
                    </w:rPr>
                    <w:t>F</w:t>
                  </w:r>
                  <w:r>
                    <w:rPr>
                      <w:rFonts w:hint="default"/>
                      <w:sz w:val="21"/>
                      <w:szCs w:val="21"/>
                      <w:lang w:val="en-US" w:eastAsia="zh-CN"/>
                    </w:rPr>
                    <w:t>C</w:t>
                  </w:r>
                  <w:r>
                    <w:rPr>
                      <w:rFonts w:hint="eastAsia"/>
                      <w:sz w:val="21"/>
                      <w:szCs w:val="21"/>
                      <w:lang w:val="en-US" w:eastAsia="zh-CN"/>
                    </w:rPr>
                    <w:t>ad</w:t>
                  </w:r>
                  <w:r>
                    <w:rPr>
                      <w:rFonts w:hint="default"/>
                      <w:sz w:val="21"/>
                      <w:szCs w:val="21"/>
                      <w:lang w:val="en-US" w:eastAsia="zh-CN"/>
                    </w:rPr>
                    <w:t>）</w:t>
                  </w:r>
                </w:p>
              </w:tc>
              <w:tc>
                <w:tcPr>
                  <w:tcW w:w="1249" w:type="pct"/>
                  <w:tcBorders>
                    <w:tl2br w:val="nil"/>
                    <w:tr2bl w:val="nil"/>
                  </w:tcBorders>
                  <w:vAlign w:val="center"/>
                </w:tcPr>
                <w:p w14:paraId="217DE827">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w:t>
                  </w:r>
                </w:p>
              </w:tc>
              <w:tc>
                <w:tcPr>
                  <w:tcW w:w="1250" w:type="pct"/>
                  <w:tcBorders>
                    <w:tl2br w:val="nil"/>
                    <w:tr2bl w:val="nil"/>
                  </w:tcBorders>
                  <w:vAlign w:val="center"/>
                </w:tcPr>
                <w:p w14:paraId="4CD58540">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22.08</w:t>
                  </w:r>
                </w:p>
              </w:tc>
            </w:tr>
            <w:tr w14:paraId="06ED8A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6BDA4BFF">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6</w:t>
                  </w:r>
                </w:p>
              </w:tc>
              <w:tc>
                <w:tcPr>
                  <w:tcW w:w="1586" w:type="pct"/>
                  <w:tcBorders>
                    <w:tl2br w:val="nil"/>
                    <w:tr2bl w:val="nil"/>
                  </w:tcBorders>
                  <w:vAlign w:val="center"/>
                </w:tcPr>
                <w:p w14:paraId="5CB513EE">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空气干燥基</w:t>
                  </w:r>
                  <w:r>
                    <w:rPr>
                      <w:rFonts w:hint="eastAsia"/>
                      <w:sz w:val="21"/>
                      <w:szCs w:val="21"/>
                      <w:lang w:val="en-US" w:eastAsia="zh-CN"/>
                    </w:rPr>
                    <w:t>全</w:t>
                  </w:r>
                  <w:r>
                    <w:rPr>
                      <w:rFonts w:hint="default"/>
                      <w:sz w:val="21"/>
                      <w:szCs w:val="21"/>
                      <w:lang w:val="en-US" w:eastAsia="zh-CN"/>
                    </w:rPr>
                    <w:t>硫（S</w:t>
                  </w:r>
                  <w:r>
                    <w:rPr>
                      <w:rFonts w:hint="eastAsia"/>
                      <w:sz w:val="21"/>
                      <w:szCs w:val="21"/>
                      <w:lang w:val="en-US" w:eastAsia="zh-CN"/>
                    </w:rPr>
                    <w:t>t.ad</w:t>
                  </w:r>
                  <w:r>
                    <w:rPr>
                      <w:rFonts w:hint="default"/>
                      <w:sz w:val="21"/>
                      <w:szCs w:val="21"/>
                      <w:lang w:val="en-US" w:eastAsia="zh-CN"/>
                    </w:rPr>
                    <w:t>）</w:t>
                  </w:r>
                </w:p>
              </w:tc>
              <w:tc>
                <w:tcPr>
                  <w:tcW w:w="1249" w:type="pct"/>
                  <w:tcBorders>
                    <w:tl2br w:val="nil"/>
                    <w:tr2bl w:val="nil"/>
                  </w:tcBorders>
                  <w:vAlign w:val="center"/>
                </w:tcPr>
                <w:p w14:paraId="3F8FEF0E">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w:t>
                  </w:r>
                </w:p>
              </w:tc>
              <w:tc>
                <w:tcPr>
                  <w:tcW w:w="1250" w:type="pct"/>
                  <w:tcBorders>
                    <w:tl2br w:val="nil"/>
                    <w:tr2bl w:val="nil"/>
                  </w:tcBorders>
                  <w:vAlign w:val="center"/>
                </w:tcPr>
                <w:p w14:paraId="5FD7BC29">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0.04</w:t>
                  </w:r>
                </w:p>
              </w:tc>
            </w:tr>
            <w:tr w14:paraId="12013A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7EE21F78">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7</w:t>
                  </w:r>
                </w:p>
              </w:tc>
              <w:tc>
                <w:tcPr>
                  <w:tcW w:w="1586" w:type="pct"/>
                  <w:tcBorders>
                    <w:tl2br w:val="nil"/>
                    <w:tr2bl w:val="nil"/>
                  </w:tcBorders>
                  <w:vAlign w:val="center"/>
                </w:tcPr>
                <w:p w14:paraId="031CA0D6">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空气干燥基</w:t>
                  </w:r>
                  <w:r>
                    <w:rPr>
                      <w:rFonts w:hint="default"/>
                      <w:sz w:val="21"/>
                      <w:szCs w:val="21"/>
                      <w:lang w:val="en-US" w:eastAsia="zh-CN"/>
                    </w:rPr>
                    <w:t>发热量</w:t>
                  </w:r>
                  <w:r>
                    <w:rPr>
                      <w:rFonts w:hint="eastAsia"/>
                      <w:sz w:val="21"/>
                      <w:szCs w:val="21"/>
                      <w:lang w:val="en-US" w:eastAsia="zh-CN"/>
                    </w:rPr>
                    <w:t>（高位）</w:t>
                  </w:r>
                </w:p>
              </w:tc>
              <w:tc>
                <w:tcPr>
                  <w:tcW w:w="1249" w:type="pct"/>
                  <w:tcBorders>
                    <w:tl2br w:val="nil"/>
                    <w:tr2bl w:val="nil"/>
                  </w:tcBorders>
                  <w:vAlign w:val="center"/>
                </w:tcPr>
                <w:p w14:paraId="7225E343">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K</w:t>
                  </w:r>
                  <w:r>
                    <w:rPr>
                      <w:rFonts w:hint="default"/>
                      <w:sz w:val="21"/>
                      <w:szCs w:val="21"/>
                      <w:lang w:val="en-US" w:eastAsia="zh-CN"/>
                    </w:rPr>
                    <w:t>J/kg</w:t>
                  </w:r>
                </w:p>
              </w:tc>
              <w:tc>
                <w:tcPr>
                  <w:tcW w:w="1250" w:type="pct"/>
                  <w:tcBorders>
                    <w:tl2br w:val="nil"/>
                    <w:tr2bl w:val="nil"/>
                  </w:tcBorders>
                  <w:vAlign w:val="center"/>
                </w:tcPr>
                <w:p w14:paraId="2FE538B3">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eastAsia"/>
                      <w:sz w:val="21"/>
                      <w:szCs w:val="21"/>
                      <w:lang w:val="en-US" w:eastAsia="zh-CN"/>
                    </w:rPr>
                    <w:t>18155</w:t>
                  </w:r>
                </w:p>
              </w:tc>
            </w:tr>
            <w:tr w14:paraId="17A2F8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913" w:type="pct"/>
                  <w:tcBorders>
                    <w:tl2br w:val="nil"/>
                    <w:tr2bl w:val="nil"/>
                  </w:tcBorders>
                  <w:vAlign w:val="center"/>
                </w:tcPr>
                <w:p w14:paraId="577E56B5">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lang w:val="en-US" w:eastAsia="zh-CN"/>
                    </w:rPr>
                  </w:pPr>
                  <w:r>
                    <w:rPr>
                      <w:rFonts w:hint="default"/>
                      <w:sz w:val="21"/>
                      <w:szCs w:val="21"/>
                      <w:lang w:val="en-US" w:eastAsia="zh-CN"/>
                    </w:rPr>
                    <w:t>8</w:t>
                  </w:r>
                </w:p>
              </w:tc>
              <w:tc>
                <w:tcPr>
                  <w:tcW w:w="1586" w:type="pct"/>
                  <w:tcBorders>
                    <w:tl2br w:val="nil"/>
                    <w:tr2bl w:val="nil"/>
                  </w:tcBorders>
                  <w:vAlign w:val="center"/>
                </w:tcPr>
                <w:p w14:paraId="5F2A24E9">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highlight w:val="none"/>
                      <w:lang w:val="en-US" w:eastAsia="zh-CN"/>
                    </w:rPr>
                  </w:pPr>
                  <w:r>
                    <w:rPr>
                      <w:rFonts w:hint="default"/>
                      <w:sz w:val="21"/>
                      <w:szCs w:val="21"/>
                      <w:highlight w:val="none"/>
                      <w:lang w:val="en-US" w:eastAsia="zh-CN"/>
                    </w:rPr>
                    <w:t>收到基</w:t>
                  </w:r>
                  <w:r>
                    <w:rPr>
                      <w:rFonts w:hint="eastAsia"/>
                      <w:sz w:val="21"/>
                      <w:szCs w:val="21"/>
                      <w:highlight w:val="none"/>
                      <w:lang w:val="en-US" w:eastAsia="zh-CN"/>
                    </w:rPr>
                    <w:t>发</w:t>
                  </w:r>
                  <w:r>
                    <w:rPr>
                      <w:rFonts w:hint="default"/>
                      <w:sz w:val="21"/>
                      <w:szCs w:val="21"/>
                      <w:highlight w:val="none"/>
                      <w:lang w:val="en-US" w:eastAsia="zh-CN"/>
                    </w:rPr>
                    <w:t>热量</w:t>
                  </w:r>
                  <w:r>
                    <w:rPr>
                      <w:rFonts w:hint="eastAsia"/>
                      <w:sz w:val="21"/>
                      <w:szCs w:val="21"/>
                      <w:highlight w:val="none"/>
                      <w:lang w:val="en-US" w:eastAsia="zh-CN"/>
                    </w:rPr>
                    <w:t>（</w:t>
                  </w:r>
                  <w:r>
                    <w:rPr>
                      <w:rFonts w:hint="default"/>
                      <w:sz w:val="21"/>
                      <w:szCs w:val="21"/>
                      <w:highlight w:val="none"/>
                      <w:lang w:val="en-US" w:eastAsia="zh-CN"/>
                    </w:rPr>
                    <w:t>低位</w:t>
                  </w:r>
                  <w:r>
                    <w:rPr>
                      <w:rFonts w:hint="eastAsia"/>
                      <w:sz w:val="21"/>
                      <w:szCs w:val="21"/>
                      <w:highlight w:val="none"/>
                      <w:lang w:val="en-US" w:eastAsia="zh-CN"/>
                    </w:rPr>
                    <w:t>）</w:t>
                  </w:r>
                </w:p>
              </w:tc>
              <w:tc>
                <w:tcPr>
                  <w:tcW w:w="1249" w:type="pct"/>
                  <w:tcBorders>
                    <w:tl2br w:val="nil"/>
                    <w:tr2bl w:val="nil"/>
                  </w:tcBorders>
                  <w:vAlign w:val="center"/>
                </w:tcPr>
                <w:p w14:paraId="4A9AF6FD">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K</w:t>
                  </w:r>
                  <w:r>
                    <w:rPr>
                      <w:rFonts w:hint="default"/>
                      <w:sz w:val="21"/>
                      <w:szCs w:val="21"/>
                      <w:highlight w:val="none"/>
                      <w:lang w:val="en-US" w:eastAsia="zh-CN"/>
                    </w:rPr>
                    <w:t>J/kg</w:t>
                  </w:r>
                </w:p>
              </w:tc>
              <w:tc>
                <w:tcPr>
                  <w:tcW w:w="1250" w:type="pct"/>
                  <w:tcBorders>
                    <w:tl2br w:val="nil"/>
                    <w:tr2bl w:val="nil"/>
                  </w:tcBorders>
                  <w:vAlign w:val="center"/>
                </w:tcPr>
                <w:p w14:paraId="419281DC">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sz w:val="21"/>
                      <w:szCs w:val="21"/>
                      <w:highlight w:val="none"/>
                      <w:lang w:val="en-US" w:eastAsia="zh-CN"/>
                    </w:rPr>
                  </w:pPr>
                  <w:r>
                    <w:rPr>
                      <w:rFonts w:hint="eastAsia"/>
                      <w:sz w:val="21"/>
                      <w:szCs w:val="21"/>
                      <w:highlight w:val="none"/>
                      <w:lang w:val="en-US" w:eastAsia="zh-CN"/>
                    </w:rPr>
                    <w:t>17455</w:t>
                  </w:r>
                </w:p>
              </w:tc>
            </w:tr>
          </w:tbl>
          <w:p w14:paraId="6CAF344C">
            <w:pPr>
              <w:keepNext w:val="0"/>
              <w:keepLines w:val="0"/>
              <w:widowControl/>
              <w:suppressLineNumbers w:val="0"/>
              <w:adjustRightInd w:val="0"/>
              <w:snapToGrid w:val="0"/>
              <w:spacing w:before="157" w:beforeLines="50" w:beforeAutospacing="0" w:after="0" w:afterAutospacing="0" w:line="360" w:lineRule="auto"/>
              <w:ind w:left="0" w:right="0" w:firstLine="480" w:firstLineChars="200"/>
              <w:rPr>
                <w:rFonts w:hint="eastAsia"/>
                <w:sz w:val="24"/>
                <w:highlight w:val="none"/>
                <w:u w:val="single"/>
                <w:lang w:val="en-US" w:eastAsia="zh-CN"/>
              </w:rPr>
            </w:pPr>
            <w:r>
              <w:rPr>
                <w:rFonts w:hint="eastAsia" w:ascii="Times New Roman" w:eastAsia="宋体"/>
                <w:sz w:val="24"/>
                <w:highlight w:val="none"/>
                <w:u w:val="single"/>
                <w:lang w:val="en-US" w:eastAsia="zh-CN"/>
              </w:rPr>
              <w:t>根据湖南省地方标准《生物质成型燃料》（DB43/T 864-2014）要求及建设单位提供的资料，计算所得本项目的锅炉燃料消耗量如下：</w:t>
            </w:r>
          </w:p>
          <w:p w14:paraId="11E125D9">
            <w:pPr>
              <w:keepNext w:val="0"/>
              <w:keepLines w:val="0"/>
              <w:widowControl/>
              <w:suppressLineNumbers w:val="0"/>
              <w:adjustRightInd w:val="0"/>
              <w:snapToGrid w:val="0"/>
              <w:spacing w:before="0" w:beforeLines="0" w:beforeAutospacing="0" w:after="0" w:afterAutospacing="0" w:line="360" w:lineRule="auto"/>
              <w:ind w:left="0" w:right="0" w:firstLine="480" w:firstLineChars="200"/>
              <w:rPr>
                <w:rFonts w:hint="eastAsia"/>
                <w:sz w:val="24"/>
                <w:highlight w:val="none"/>
                <w:u w:val="single"/>
                <w:lang w:val="en-US" w:eastAsia="zh-CN"/>
              </w:rPr>
            </w:pPr>
            <w:r>
              <w:rPr>
                <w:rFonts w:hint="eastAsia" w:ascii="Times New Roman" w:eastAsia="宋体"/>
                <w:sz w:val="24"/>
                <w:highlight w:val="none"/>
                <w:u w:val="single"/>
                <w:lang w:val="en-US" w:eastAsia="zh-CN"/>
              </w:rPr>
              <w:t>燃料消耗量=锅炉功率×3600/燃料燃烧热/锅炉效率。</w:t>
            </w:r>
          </w:p>
          <w:p w14:paraId="3135D88D">
            <w:pPr>
              <w:keepNext w:val="0"/>
              <w:keepLines w:val="0"/>
              <w:widowControl/>
              <w:suppressLineNumbers w:val="0"/>
              <w:adjustRightInd w:val="0"/>
              <w:snapToGrid w:val="0"/>
              <w:spacing w:before="0" w:beforeLines="0" w:beforeAutospacing="0" w:after="0" w:afterAutospacing="0" w:line="360" w:lineRule="auto"/>
              <w:ind w:left="0" w:right="0" w:firstLine="480" w:firstLineChars="200"/>
              <w:rPr>
                <w:rFonts w:hint="eastAsia"/>
                <w:sz w:val="24"/>
                <w:highlight w:val="none"/>
                <w:u w:val="single"/>
                <w:lang w:val="en-US" w:eastAsia="zh-CN"/>
              </w:rPr>
            </w:pPr>
            <w:r>
              <w:rPr>
                <w:rFonts w:hint="eastAsia" w:ascii="Times New Roman" w:eastAsia="宋体"/>
                <w:sz w:val="24"/>
                <w:highlight w:val="none"/>
                <w:u w:val="single"/>
                <w:lang w:val="en-US" w:eastAsia="zh-CN"/>
              </w:rPr>
              <w:t>式中：燃料消耗量单位为kg/h，功率单位为MW，燃料热值单位为MJ/kg。</w:t>
            </w:r>
          </w:p>
          <w:p w14:paraId="223C9CDF">
            <w:pPr>
              <w:keepNext w:val="0"/>
              <w:keepLines w:val="0"/>
              <w:widowControl/>
              <w:suppressLineNumbers w:val="0"/>
              <w:adjustRightInd w:val="0"/>
              <w:snapToGrid w:val="0"/>
              <w:spacing w:before="0" w:beforeLines="0" w:beforeAutospacing="0" w:after="0" w:afterAutospacing="0" w:line="360" w:lineRule="auto"/>
              <w:ind w:left="0" w:right="0" w:firstLine="480" w:firstLineChars="200"/>
              <w:rPr>
                <w:rFonts w:hint="eastAsia"/>
                <w:sz w:val="24"/>
                <w:highlight w:val="none"/>
                <w:u w:val="single"/>
                <w:lang w:val="en-US" w:eastAsia="zh-CN"/>
              </w:rPr>
            </w:pPr>
            <w:r>
              <w:rPr>
                <w:rFonts w:hint="eastAsia" w:ascii="Times New Roman" w:eastAsia="宋体"/>
                <w:sz w:val="24"/>
                <w:highlight w:val="none"/>
                <w:u w:val="single"/>
                <w:lang w:val="en-US" w:eastAsia="zh-CN"/>
              </w:rPr>
              <w:t>本项目采用生物质</w:t>
            </w:r>
            <w:r>
              <w:rPr>
                <w:rFonts w:hint="eastAsia"/>
                <w:sz w:val="24"/>
                <w:highlight w:val="none"/>
                <w:u w:val="single"/>
                <w:lang w:val="en-US" w:eastAsia="zh-CN"/>
              </w:rPr>
              <w:t>成型燃料</w:t>
            </w:r>
            <w:r>
              <w:rPr>
                <w:rFonts w:hint="eastAsia" w:ascii="Times New Roman" w:eastAsia="宋体"/>
                <w:sz w:val="24"/>
                <w:highlight w:val="none"/>
                <w:u w:val="single"/>
                <w:lang w:val="en-US" w:eastAsia="zh-CN"/>
              </w:rPr>
              <w:t>，低位发热值为</w:t>
            </w:r>
            <w:r>
              <w:rPr>
                <w:rFonts w:hint="eastAsia"/>
                <w:sz w:val="24"/>
                <w:highlight w:val="none"/>
                <w:u w:val="single"/>
                <w:lang w:val="en-US" w:eastAsia="zh-CN"/>
              </w:rPr>
              <w:t>17.46</w:t>
            </w:r>
            <w:r>
              <w:rPr>
                <w:rFonts w:hint="eastAsia" w:ascii="Times New Roman" w:eastAsia="宋体"/>
                <w:sz w:val="24"/>
                <w:highlight w:val="none"/>
                <w:u w:val="single"/>
                <w:lang w:val="en-US" w:eastAsia="zh-CN"/>
              </w:rPr>
              <w:t>MJ/Kg，项目热效率取85%，则本项目4.0t/h（2.8MW）锅炉的燃料消耗量为：2.8×3600/</w:t>
            </w:r>
            <w:r>
              <w:rPr>
                <w:rFonts w:hint="eastAsia"/>
                <w:sz w:val="24"/>
                <w:highlight w:val="none"/>
                <w:u w:val="single"/>
                <w:lang w:val="en-US" w:eastAsia="zh-CN"/>
              </w:rPr>
              <w:t>17.46</w:t>
            </w:r>
            <w:r>
              <w:rPr>
                <w:rFonts w:hint="eastAsia" w:ascii="Times New Roman" w:eastAsia="宋体"/>
                <w:sz w:val="24"/>
                <w:highlight w:val="none"/>
                <w:u w:val="single"/>
                <w:lang w:val="en-US" w:eastAsia="zh-CN"/>
              </w:rPr>
              <w:t>/0.85=</w:t>
            </w:r>
            <w:r>
              <w:rPr>
                <w:rFonts w:hint="eastAsia"/>
                <w:sz w:val="24"/>
                <w:highlight w:val="none"/>
                <w:u w:val="single"/>
                <w:lang w:val="en-US" w:eastAsia="zh-CN"/>
              </w:rPr>
              <w:t>679.20</w:t>
            </w:r>
            <w:r>
              <w:rPr>
                <w:rFonts w:hint="eastAsia" w:ascii="Times New Roman" w:eastAsia="宋体"/>
                <w:sz w:val="24"/>
                <w:highlight w:val="none"/>
                <w:u w:val="single"/>
                <w:lang w:val="en-US" w:eastAsia="zh-CN"/>
              </w:rPr>
              <w:t>kg/h，</w:t>
            </w:r>
            <w:r>
              <w:rPr>
                <w:rFonts w:hint="eastAsia"/>
                <w:sz w:val="24"/>
                <w:highlight w:val="none"/>
                <w:u w:val="single"/>
                <w:lang w:val="en-US" w:eastAsia="zh-CN"/>
              </w:rPr>
              <w:t>根据建设单位提供数据，日生产时间为20小时，年工作时间为250天，即</w:t>
            </w:r>
            <w:r>
              <w:rPr>
                <w:rFonts w:hint="eastAsia" w:ascii="Times New Roman" w:eastAsia="宋体"/>
                <w:sz w:val="24"/>
                <w:highlight w:val="none"/>
                <w:u w:val="single"/>
                <w:lang w:val="en-US" w:eastAsia="zh-CN"/>
              </w:rPr>
              <w:t>锅炉年运行时间为</w:t>
            </w:r>
            <w:r>
              <w:rPr>
                <w:rFonts w:hint="eastAsia"/>
                <w:sz w:val="24"/>
                <w:highlight w:val="none"/>
                <w:u w:val="single"/>
                <w:lang w:val="en-US" w:eastAsia="zh-CN"/>
              </w:rPr>
              <w:t>5000</w:t>
            </w:r>
            <w:r>
              <w:rPr>
                <w:rFonts w:hint="eastAsia" w:ascii="Times New Roman" w:eastAsia="宋体"/>
                <w:sz w:val="24"/>
                <w:highlight w:val="none"/>
                <w:u w:val="single"/>
                <w:lang w:val="en-US" w:eastAsia="zh-CN"/>
              </w:rPr>
              <w:t>h，则项目锅炉燃料消耗量为</w:t>
            </w:r>
            <w:r>
              <w:rPr>
                <w:rFonts w:hint="eastAsia"/>
                <w:sz w:val="24"/>
                <w:highlight w:val="none"/>
                <w:u w:val="single"/>
                <w:lang w:val="en-US" w:eastAsia="zh-CN"/>
              </w:rPr>
              <w:t>3396</w:t>
            </w:r>
            <w:r>
              <w:rPr>
                <w:rFonts w:hint="eastAsia" w:ascii="Times New Roman" w:eastAsia="宋体"/>
                <w:sz w:val="24"/>
                <w:highlight w:val="none"/>
                <w:u w:val="single"/>
                <w:lang w:val="en-US" w:eastAsia="zh-CN"/>
              </w:rPr>
              <w:t>t/a，本评价中项目锅炉的燃料消耗量按</w:t>
            </w:r>
            <w:r>
              <w:rPr>
                <w:rFonts w:hint="eastAsia"/>
                <w:sz w:val="24"/>
                <w:highlight w:val="none"/>
                <w:u w:val="single"/>
                <w:lang w:val="en-US" w:eastAsia="zh-CN"/>
              </w:rPr>
              <w:t>3396</w:t>
            </w:r>
            <w:r>
              <w:rPr>
                <w:rFonts w:hint="eastAsia" w:ascii="Times New Roman" w:eastAsia="宋体"/>
                <w:sz w:val="24"/>
                <w:highlight w:val="none"/>
                <w:u w:val="single"/>
                <w:lang w:val="en-US" w:eastAsia="zh-CN"/>
              </w:rPr>
              <w:t>t/a考虑。</w:t>
            </w:r>
          </w:p>
          <w:p w14:paraId="0CA677B4">
            <w:pPr>
              <w:pStyle w:val="33"/>
              <w:keepNext w:val="0"/>
              <w:keepLines w:val="0"/>
              <w:pageBreakBefore w:val="0"/>
              <w:widowControl w:val="0"/>
              <w:numPr>
                <w:ilvl w:val="-1"/>
                <w:numId w:val="0"/>
              </w:numPr>
              <w:suppressLineNumbers w:val="0"/>
              <w:tabs>
                <w:tab w:val="left" w:pos="0"/>
              </w:tabs>
              <w:kinsoku/>
              <w:wordWrap/>
              <w:overflowPunct/>
              <w:topLinePunct w:val="0"/>
              <w:autoSpaceDE/>
              <w:autoSpaceDN/>
              <w:bidi w:val="0"/>
              <w:adjustRightInd/>
              <w:snapToGrid/>
              <w:spacing w:before="0" w:beforeLines="0" w:beforeAutospacing="0" w:after="0" w:afterAutospacing="0" w:line="360" w:lineRule="auto"/>
              <w:ind w:left="0" w:right="0" w:firstLine="480" w:firstLineChars="200"/>
              <w:jc w:val="both"/>
              <w:textAlignment w:val="auto"/>
              <w:rPr>
                <w:rFonts w:hint="default"/>
                <w:b/>
                <w:bCs/>
                <w:sz w:val="24"/>
                <w:szCs w:val="24"/>
                <w:u w:val="single"/>
                <w:lang w:val="en-US" w:eastAsia="zh-CN"/>
              </w:rPr>
            </w:pPr>
            <w:r>
              <w:rPr>
                <w:rFonts w:hint="eastAsia" w:ascii="Times New Roman" w:eastAsia="宋体"/>
                <w:sz w:val="24"/>
                <w:highlight w:val="none"/>
                <w:u w:val="single"/>
                <w:lang w:val="en-US" w:eastAsia="zh-CN"/>
              </w:rPr>
              <w:t>根据计算本项目锅炉年使用生物质成型燃料</w:t>
            </w:r>
            <w:r>
              <w:rPr>
                <w:rFonts w:hint="eastAsia"/>
                <w:sz w:val="24"/>
                <w:highlight w:val="none"/>
                <w:u w:val="single"/>
                <w:lang w:val="en-US" w:eastAsia="zh-CN"/>
              </w:rPr>
              <w:t>3396</w:t>
            </w:r>
            <w:r>
              <w:rPr>
                <w:rFonts w:hint="eastAsia" w:ascii="Times New Roman" w:eastAsia="宋体"/>
                <w:sz w:val="24"/>
                <w:highlight w:val="none"/>
                <w:u w:val="single"/>
                <w:lang w:val="en-US" w:eastAsia="zh-CN"/>
              </w:rPr>
              <w:t>吨。据生态环境部《关于发布《排放源统计调查产排污核算方法和系数手册》的公告》（公告2021年 第24号）中工业锅炉（热力生产和供应行业）产污系数表-生物质工业锅炉，生物质锅炉废气产排污系数见下表。</w:t>
            </w:r>
          </w:p>
          <w:p w14:paraId="64C9C196">
            <w:pPr>
              <w:pStyle w:val="33"/>
              <w:keepNext w:val="0"/>
              <w:keepLines w:val="0"/>
              <w:pageBreakBefore w:val="0"/>
              <w:widowControl w:val="0"/>
              <w:numPr>
                <w:ilvl w:val="0"/>
                <w:numId w:val="19"/>
              </w:numPr>
              <w:suppressLineNumbers w:val="0"/>
              <w:kinsoku/>
              <w:wordWrap/>
              <w:overflowPunct/>
              <w:topLinePunct w:val="0"/>
              <w:autoSpaceDE/>
              <w:autoSpaceDN/>
              <w:bidi w:val="0"/>
              <w:adjustRightInd/>
              <w:snapToGrid/>
              <w:spacing w:before="157" w:beforeLines="50" w:beforeAutospacing="0" w:after="0" w:afterAutospacing="0"/>
              <w:ind w:right="0" w:firstLineChars="0"/>
              <w:jc w:val="center"/>
              <w:textAlignment w:val="auto"/>
              <w:rPr>
                <w:rFonts w:hint="default"/>
                <w:b/>
                <w:bCs/>
                <w:sz w:val="24"/>
                <w:szCs w:val="24"/>
                <w:u w:val="single"/>
                <w:lang w:val="en-US" w:eastAsia="zh-CN"/>
              </w:rPr>
            </w:pPr>
            <w:r>
              <w:rPr>
                <w:rFonts w:hint="eastAsia"/>
                <w:b/>
                <w:bCs/>
                <w:sz w:val="24"/>
                <w:szCs w:val="24"/>
                <w:u w:val="single"/>
                <w:lang w:val="en-US" w:eastAsia="zh-CN"/>
              </w:rPr>
              <w:t>生物质蒸汽锅炉产排污情况表</w:t>
            </w:r>
          </w:p>
          <w:tbl>
            <w:tblPr>
              <w:tblStyle w:val="24"/>
              <w:tblW w:w="4997"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47"/>
              <w:gridCol w:w="1288"/>
              <w:gridCol w:w="1431"/>
              <w:gridCol w:w="1030"/>
              <w:gridCol w:w="1199"/>
              <w:gridCol w:w="1199"/>
              <w:gridCol w:w="1202"/>
            </w:tblGrid>
            <w:tr w14:paraId="301BA8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3" w:type="pct"/>
                  <w:tcBorders>
                    <w:tl2br w:val="nil"/>
                    <w:tr2bl w:val="nil"/>
                  </w:tcBorders>
                  <w:shd w:val="clear" w:color="auto" w:fill="auto"/>
                  <w:noWrap w:val="0"/>
                  <w:vAlign w:val="center"/>
                </w:tcPr>
                <w:p w14:paraId="797E9B4E">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b/>
                      <w:bCs/>
                      <w:sz w:val="21"/>
                      <w:szCs w:val="21"/>
                      <w:u w:val="single"/>
                    </w:rPr>
                  </w:pPr>
                  <w:r>
                    <w:rPr>
                      <w:rStyle w:val="65"/>
                      <w:rFonts w:hint="default" w:ascii="Times New Roman" w:hAnsi="Times New Roman" w:cs="Times New Roman"/>
                      <w:b/>
                      <w:bCs/>
                      <w:sz w:val="21"/>
                      <w:szCs w:val="21"/>
                      <w:u w:val="single"/>
                    </w:rPr>
                    <w:t>名称</w:t>
                  </w:r>
                </w:p>
              </w:tc>
              <w:tc>
                <w:tcPr>
                  <w:tcW w:w="767" w:type="pct"/>
                  <w:tcBorders>
                    <w:tl2br w:val="nil"/>
                    <w:tr2bl w:val="nil"/>
                  </w:tcBorders>
                  <w:shd w:val="clear" w:color="auto" w:fill="auto"/>
                  <w:noWrap w:val="0"/>
                  <w:vAlign w:val="center"/>
                </w:tcPr>
                <w:p w14:paraId="75ED3F1F">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b/>
                      <w:bCs/>
                      <w:sz w:val="21"/>
                      <w:szCs w:val="21"/>
                      <w:u w:val="single"/>
                    </w:rPr>
                  </w:pPr>
                  <w:r>
                    <w:rPr>
                      <w:rStyle w:val="65"/>
                      <w:rFonts w:hint="default" w:ascii="Times New Roman" w:hAnsi="Times New Roman" w:cs="Times New Roman"/>
                      <w:b/>
                      <w:bCs/>
                      <w:sz w:val="21"/>
                      <w:szCs w:val="21"/>
                      <w:u w:val="single"/>
                    </w:rPr>
                    <w:t>污染物指标</w:t>
                  </w:r>
                </w:p>
              </w:tc>
              <w:tc>
                <w:tcPr>
                  <w:tcW w:w="852" w:type="pct"/>
                  <w:tcBorders>
                    <w:tl2br w:val="nil"/>
                    <w:tr2bl w:val="nil"/>
                  </w:tcBorders>
                  <w:shd w:val="clear" w:color="auto" w:fill="auto"/>
                  <w:noWrap w:val="0"/>
                  <w:vAlign w:val="center"/>
                </w:tcPr>
                <w:p w14:paraId="075BAC0A">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b/>
                      <w:bCs/>
                      <w:sz w:val="21"/>
                      <w:szCs w:val="21"/>
                      <w:u w:val="single"/>
                    </w:rPr>
                  </w:pPr>
                  <w:r>
                    <w:rPr>
                      <w:rStyle w:val="65"/>
                      <w:rFonts w:hint="default" w:ascii="Times New Roman" w:hAnsi="Times New Roman" w:cs="Times New Roman"/>
                      <w:b/>
                      <w:bCs/>
                      <w:sz w:val="21"/>
                      <w:szCs w:val="21"/>
                      <w:u w:val="single"/>
                    </w:rPr>
                    <w:t>单位</w:t>
                  </w:r>
                </w:p>
              </w:tc>
              <w:tc>
                <w:tcPr>
                  <w:tcW w:w="613" w:type="pct"/>
                  <w:tcBorders>
                    <w:tl2br w:val="nil"/>
                    <w:tr2bl w:val="nil"/>
                  </w:tcBorders>
                  <w:shd w:val="clear" w:color="auto" w:fill="auto"/>
                  <w:noWrap w:val="0"/>
                  <w:vAlign w:val="center"/>
                </w:tcPr>
                <w:p w14:paraId="798DF6C0">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b/>
                      <w:bCs/>
                      <w:sz w:val="21"/>
                      <w:szCs w:val="21"/>
                      <w:u w:val="single"/>
                    </w:rPr>
                  </w:pPr>
                  <w:r>
                    <w:rPr>
                      <w:rStyle w:val="65"/>
                      <w:rFonts w:hint="default" w:ascii="Times New Roman" w:hAnsi="Times New Roman" w:cs="Times New Roman"/>
                      <w:b/>
                      <w:bCs/>
                      <w:sz w:val="21"/>
                      <w:szCs w:val="21"/>
                      <w:u w:val="single"/>
                    </w:rPr>
                    <w:t>产污系数</w:t>
                  </w:r>
                </w:p>
              </w:tc>
              <w:tc>
                <w:tcPr>
                  <w:tcW w:w="714" w:type="pct"/>
                  <w:tcBorders>
                    <w:tl2br w:val="nil"/>
                    <w:tr2bl w:val="nil"/>
                  </w:tcBorders>
                  <w:shd w:val="clear" w:color="auto" w:fill="auto"/>
                  <w:noWrap w:val="0"/>
                  <w:vAlign w:val="center"/>
                </w:tcPr>
                <w:p w14:paraId="07D193E1">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b/>
                      <w:bCs/>
                      <w:sz w:val="21"/>
                      <w:szCs w:val="21"/>
                      <w:u w:val="single"/>
                    </w:rPr>
                  </w:pPr>
                  <w:r>
                    <w:rPr>
                      <w:rStyle w:val="65"/>
                      <w:rFonts w:hint="default" w:ascii="Times New Roman" w:hAnsi="Times New Roman" w:cs="Times New Roman"/>
                      <w:b/>
                      <w:bCs/>
                      <w:sz w:val="21"/>
                      <w:szCs w:val="21"/>
                      <w:u w:val="single"/>
                    </w:rPr>
                    <w:t>产生量t/a</w:t>
                  </w:r>
                </w:p>
              </w:tc>
              <w:tc>
                <w:tcPr>
                  <w:tcW w:w="714" w:type="pct"/>
                  <w:tcBorders>
                    <w:tl2br w:val="nil"/>
                    <w:tr2bl w:val="nil"/>
                  </w:tcBorders>
                  <w:shd w:val="clear" w:color="auto" w:fill="auto"/>
                  <w:noWrap w:val="0"/>
                  <w:vAlign w:val="center"/>
                </w:tcPr>
                <w:p w14:paraId="24A34ECA">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b/>
                      <w:bCs/>
                      <w:sz w:val="21"/>
                      <w:szCs w:val="21"/>
                      <w:u w:val="single"/>
                    </w:rPr>
                  </w:pPr>
                  <w:r>
                    <w:rPr>
                      <w:rStyle w:val="65"/>
                      <w:rFonts w:hint="default" w:ascii="Times New Roman" w:hAnsi="Times New Roman" w:cs="Times New Roman"/>
                      <w:b/>
                      <w:bCs/>
                      <w:sz w:val="21"/>
                      <w:szCs w:val="21"/>
                      <w:u w:val="single"/>
                    </w:rPr>
                    <w:t>产生速率kg/h</w:t>
                  </w:r>
                </w:p>
              </w:tc>
              <w:tc>
                <w:tcPr>
                  <w:tcW w:w="714" w:type="pct"/>
                  <w:tcBorders>
                    <w:tl2br w:val="nil"/>
                    <w:tr2bl w:val="nil"/>
                  </w:tcBorders>
                  <w:shd w:val="clear" w:color="auto" w:fill="auto"/>
                  <w:noWrap w:val="0"/>
                  <w:vAlign w:val="center"/>
                </w:tcPr>
                <w:p w14:paraId="57F41FE2">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b/>
                      <w:bCs/>
                      <w:sz w:val="21"/>
                      <w:szCs w:val="21"/>
                      <w:u w:val="single"/>
                    </w:rPr>
                  </w:pPr>
                  <w:r>
                    <w:rPr>
                      <w:rStyle w:val="65"/>
                      <w:rFonts w:hint="default" w:ascii="Times New Roman" w:hAnsi="Times New Roman" w:cs="Times New Roman"/>
                      <w:b/>
                      <w:bCs/>
                      <w:sz w:val="21"/>
                      <w:szCs w:val="21"/>
                      <w:u w:val="single"/>
                    </w:rPr>
                    <w:t>产生浓度mg/m</w:t>
                  </w:r>
                  <w:r>
                    <w:rPr>
                      <w:rStyle w:val="65"/>
                      <w:rFonts w:hint="default" w:ascii="Times New Roman" w:hAnsi="Times New Roman" w:cs="Times New Roman"/>
                      <w:b/>
                      <w:bCs/>
                      <w:sz w:val="21"/>
                      <w:szCs w:val="21"/>
                      <w:u w:val="single"/>
                      <w:vertAlign w:val="superscript"/>
                    </w:rPr>
                    <w:t>3</w:t>
                  </w:r>
                </w:p>
              </w:tc>
            </w:tr>
            <w:tr w14:paraId="1291AA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3" w:type="pct"/>
                  <w:vMerge w:val="restart"/>
                  <w:tcBorders>
                    <w:tl2br w:val="nil"/>
                    <w:tr2bl w:val="nil"/>
                  </w:tcBorders>
                  <w:shd w:val="clear" w:color="auto" w:fill="auto"/>
                  <w:noWrap w:val="0"/>
                  <w:vAlign w:val="center"/>
                </w:tcPr>
                <w:p w14:paraId="0DDD05DE">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生物质锅炉</w:t>
                  </w:r>
                </w:p>
              </w:tc>
              <w:tc>
                <w:tcPr>
                  <w:tcW w:w="767" w:type="pct"/>
                  <w:tcBorders>
                    <w:tl2br w:val="nil"/>
                    <w:tr2bl w:val="nil"/>
                  </w:tcBorders>
                  <w:shd w:val="clear" w:color="auto" w:fill="auto"/>
                  <w:noWrap w:val="0"/>
                  <w:vAlign w:val="center"/>
                </w:tcPr>
                <w:p w14:paraId="61C2E205">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工业废气产生量</w:t>
                  </w:r>
                </w:p>
              </w:tc>
              <w:tc>
                <w:tcPr>
                  <w:tcW w:w="852" w:type="pct"/>
                  <w:tcBorders>
                    <w:tl2br w:val="nil"/>
                    <w:tr2bl w:val="nil"/>
                  </w:tcBorders>
                  <w:shd w:val="clear" w:color="auto" w:fill="auto"/>
                  <w:noWrap w:val="0"/>
                  <w:vAlign w:val="center"/>
                </w:tcPr>
                <w:p w14:paraId="587E0DFA">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标立方米/吨-原料</w:t>
                  </w:r>
                </w:p>
              </w:tc>
              <w:tc>
                <w:tcPr>
                  <w:tcW w:w="613" w:type="pct"/>
                  <w:tcBorders>
                    <w:tl2br w:val="nil"/>
                    <w:tr2bl w:val="nil"/>
                  </w:tcBorders>
                  <w:shd w:val="clear" w:color="auto" w:fill="auto"/>
                  <w:noWrap w:val="0"/>
                  <w:vAlign w:val="center"/>
                </w:tcPr>
                <w:p w14:paraId="5E78FF8A">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6240</w:t>
                  </w:r>
                </w:p>
              </w:tc>
              <w:tc>
                <w:tcPr>
                  <w:tcW w:w="2143" w:type="pct"/>
                  <w:gridSpan w:val="3"/>
                  <w:tcBorders>
                    <w:tl2br w:val="nil"/>
                    <w:tr2bl w:val="nil"/>
                  </w:tcBorders>
                  <w:shd w:val="clear" w:color="auto" w:fill="auto"/>
                  <w:noWrap w:val="0"/>
                  <w:vAlign w:val="center"/>
                </w:tcPr>
                <w:p w14:paraId="383FBEE1">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eastAsia" w:ascii="Times New Roman" w:hAnsi="Times New Roman" w:cs="Times New Roman"/>
                      <w:sz w:val="21"/>
                      <w:szCs w:val="21"/>
                      <w:u w:val="single"/>
                      <w:lang w:val="en-US" w:eastAsia="zh-CN"/>
                    </w:rPr>
                    <w:t>21191040</w:t>
                  </w:r>
                  <w:r>
                    <w:rPr>
                      <w:rStyle w:val="65"/>
                      <w:rFonts w:hint="default" w:ascii="Times New Roman" w:hAnsi="Times New Roman" w:cs="Times New Roman"/>
                      <w:sz w:val="21"/>
                      <w:szCs w:val="21"/>
                      <w:u w:val="single"/>
                      <w:lang w:val="en-US" w:eastAsia="zh-CN"/>
                    </w:rPr>
                    <w:t>N</w:t>
                  </w:r>
                  <w:r>
                    <w:rPr>
                      <w:rStyle w:val="65"/>
                      <w:rFonts w:hint="default" w:ascii="Times New Roman" w:hAnsi="Times New Roman" w:cs="Times New Roman"/>
                      <w:sz w:val="21"/>
                      <w:szCs w:val="21"/>
                      <w:u w:val="single"/>
                    </w:rPr>
                    <w:t>m</w:t>
                  </w:r>
                  <w:r>
                    <w:rPr>
                      <w:rStyle w:val="65"/>
                      <w:rFonts w:hint="default" w:ascii="Times New Roman" w:hAnsi="Times New Roman" w:cs="Times New Roman"/>
                      <w:sz w:val="21"/>
                      <w:szCs w:val="21"/>
                      <w:u w:val="single"/>
                      <w:vertAlign w:val="superscript"/>
                    </w:rPr>
                    <w:t>3</w:t>
                  </w:r>
                  <w:r>
                    <w:rPr>
                      <w:rStyle w:val="65"/>
                      <w:rFonts w:hint="default" w:ascii="Times New Roman" w:hAnsi="Times New Roman" w:cs="Times New Roman"/>
                      <w:sz w:val="21"/>
                      <w:szCs w:val="21"/>
                      <w:u w:val="single"/>
                    </w:rPr>
                    <w:t>/a</w:t>
                  </w:r>
                </w:p>
              </w:tc>
            </w:tr>
            <w:tr w14:paraId="0D1403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3" w:type="pct"/>
                  <w:vMerge w:val="continue"/>
                  <w:tcBorders>
                    <w:tl2br w:val="nil"/>
                    <w:tr2bl w:val="nil"/>
                  </w:tcBorders>
                  <w:shd w:val="clear" w:color="auto" w:fill="auto"/>
                  <w:noWrap w:val="0"/>
                  <w:vAlign w:val="center"/>
                </w:tcPr>
                <w:p w14:paraId="22C24474">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p>
              </w:tc>
              <w:tc>
                <w:tcPr>
                  <w:tcW w:w="767" w:type="pct"/>
                  <w:tcBorders>
                    <w:tl2br w:val="nil"/>
                    <w:tr2bl w:val="nil"/>
                  </w:tcBorders>
                  <w:shd w:val="clear" w:color="auto" w:fill="auto"/>
                  <w:noWrap w:val="0"/>
                  <w:vAlign w:val="center"/>
                </w:tcPr>
                <w:p w14:paraId="449BF225">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颗粒物</w:t>
                  </w:r>
                </w:p>
              </w:tc>
              <w:tc>
                <w:tcPr>
                  <w:tcW w:w="852" w:type="pct"/>
                  <w:tcBorders>
                    <w:tl2br w:val="nil"/>
                    <w:tr2bl w:val="nil"/>
                  </w:tcBorders>
                  <w:shd w:val="clear" w:color="auto" w:fill="auto"/>
                  <w:noWrap w:val="0"/>
                  <w:vAlign w:val="center"/>
                </w:tcPr>
                <w:p w14:paraId="3E8D6A27">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千克/吨-原料</w:t>
                  </w:r>
                </w:p>
              </w:tc>
              <w:tc>
                <w:tcPr>
                  <w:tcW w:w="613" w:type="pct"/>
                  <w:tcBorders>
                    <w:tl2br w:val="nil"/>
                    <w:tr2bl w:val="nil"/>
                  </w:tcBorders>
                  <w:shd w:val="clear" w:color="auto" w:fill="auto"/>
                  <w:noWrap w:val="0"/>
                  <w:vAlign w:val="center"/>
                </w:tcPr>
                <w:p w14:paraId="32FF912F">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0.5</w:t>
                  </w:r>
                </w:p>
              </w:tc>
              <w:tc>
                <w:tcPr>
                  <w:tcW w:w="714" w:type="pct"/>
                  <w:tcBorders>
                    <w:tl2br w:val="nil"/>
                    <w:tr2bl w:val="nil"/>
                  </w:tcBorders>
                  <w:shd w:val="clear" w:color="auto" w:fill="auto"/>
                  <w:noWrap w:val="0"/>
                  <w:vAlign w:val="center"/>
                </w:tcPr>
                <w:p w14:paraId="3CA56B2B">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u w:val="single"/>
                      <w:lang w:val="en-US" w:eastAsia="zh-CN"/>
                    </w:rPr>
                  </w:pPr>
                  <w:r>
                    <w:rPr>
                      <w:rStyle w:val="65"/>
                      <w:rFonts w:hint="eastAsia" w:ascii="Times New Roman" w:hAnsi="Times New Roman" w:cs="Times New Roman"/>
                      <w:sz w:val="21"/>
                      <w:szCs w:val="21"/>
                      <w:u w:val="single"/>
                      <w:lang w:val="en-US" w:eastAsia="zh-CN"/>
                    </w:rPr>
                    <w:t>1.698</w:t>
                  </w:r>
                </w:p>
              </w:tc>
              <w:tc>
                <w:tcPr>
                  <w:tcW w:w="714" w:type="pct"/>
                  <w:tcBorders>
                    <w:tl2br w:val="nil"/>
                    <w:tr2bl w:val="nil"/>
                  </w:tcBorders>
                  <w:shd w:val="clear" w:color="auto" w:fill="auto"/>
                  <w:noWrap w:val="0"/>
                  <w:vAlign w:val="center"/>
                </w:tcPr>
                <w:p w14:paraId="0B98D125">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u w:val="single"/>
                      <w:lang w:val="en-US" w:eastAsia="zh-CN"/>
                    </w:rPr>
                  </w:pPr>
                  <w:r>
                    <w:rPr>
                      <w:rStyle w:val="65"/>
                      <w:rFonts w:hint="eastAsia" w:ascii="Times New Roman" w:hAnsi="Times New Roman" w:cs="Times New Roman"/>
                      <w:sz w:val="21"/>
                      <w:szCs w:val="21"/>
                      <w:u w:val="single"/>
                      <w:lang w:val="en-US" w:eastAsia="zh-CN"/>
                    </w:rPr>
                    <w:t>0.3396</w:t>
                  </w:r>
                </w:p>
              </w:tc>
              <w:tc>
                <w:tcPr>
                  <w:tcW w:w="714" w:type="pct"/>
                  <w:tcBorders>
                    <w:tl2br w:val="nil"/>
                    <w:tr2bl w:val="nil"/>
                  </w:tcBorders>
                  <w:shd w:val="clear" w:color="auto" w:fill="auto"/>
                  <w:noWrap w:val="0"/>
                  <w:vAlign w:val="center"/>
                </w:tcPr>
                <w:p w14:paraId="6EBFE366">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u w:val="single"/>
                      <w:lang w:val="en-US" w:eastAsia="zh-CN"/>
                    </w:rPr>
                  </w:pPr>
                  <w:r>
                    <w:rPr>
                      <w:rStyle w:val="65"/>
                      <w:rFonts w:hint="eastAsia" w:ascii="Times New Roman" w:hAnsi="Times New Roman" w:cs="Times New Roman"/>
                      <w:sz w:val="21"/>
                      <w:szCs w:val="21"/>
                      <w:u w:val="single"/>
                      <w:lang w:val="en-US" w:eastAsia="zh-CN"/>
                    </w:rPr>
                    <w:t>80.128</w:t>
                  </w:r>
                </w:p>
              </w:tc>
            </w:tr>
            <w:tr w14:paraId="76A658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3" w:type="pct"/>
                  <w:vMerge w:val="continue"/>
                  <w:tcBorders>
                    <w:tl2br w:val="nil"/>
                    <w:tr2bl w:val="nil"/>
                  </w:tcBorders>
                  <w:shd w:val="clear" w:color="auto" w:fill="auto"/>
                  <w:noWrap w:val="0"/>
                  <w:vAlign w:val="center"/>
                </w:tcPr>
                <w:p w14:paraId="7787005D">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p>
              </w:tc>
              <w:tc>
                <w:tcPr>
                  <w:tcW w:w="767" w:type="pct"/>
                  <w:tcBorders>
                    <w:tl2br w:val="nil"/>
                    <w:tr2bl w:val="nil"/>
                  </w:tcBorders>
                  <w:shd w:val="clear" w:color="auto" w:fill="auto"/>
                  <w:noWrap w:val="0"/>
                  <w:vAlign w:val="center"/>
                </w:tcPr>
                <w:p w14:paraId="6E8A00E3">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SO</w:t>
                  </w:r>
                  <w:r>
                    <w:rPr>
                      <w:rStyle w:val="65"/>
                      <w:rFonts w:hint="default" w:ascii="Times New Roman" w:hAnsi="Times New Roman" w:cs="Times New Roman"/>
                      <w:sz w:val="21"/>
                      <w:szCs w:val="21"/>
                      <w:u w:val="single"/>
                      <w:vertAlign w:val="subscript"/>
                    </w:rPr>
                    <w:t>2</w:t>
                  </w:r>
                </w:p>
              </w:tc>
              <w:tc>
                <w:tcPr>
                  <w:tcW w:w="852" w:type="pct"/>
                  <w:tcBorders>
                    <w:tl2br w:val="nil"/>
                    <w:tr2bl w:val="nil"/>
                  </w:tcBorders>
                  <w:shd w:val="clear" w:color="auto" w:fill="auto"/>
                  <w:noWrap w:val="0"/>
                  <w:vAlign w:val="center"/>
                </w:tcPr>
                <w:p w14:paraId="0178F83F">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千克/吨-原料</w:t>
                  </w:r>
                </w:p>
              </w:tc>
              <w:tc>
                <w:tcPr>
                  <w:tcW w:w="613" w:type="pct"/>
                  <w:tcBorders>
                    <w:tl2br w:val="nil"/>
                    <w:tr2bl w:val="nil"/>
                  </w:tcBorders>
                  <w:shd w:val="clear" w:color="auto" w:fill="auto"/>
                  <w:noWrap w:val="0"/>
                  <w:vAlign w:val="center"/>
                </w:tcPr>
                <w:p w14:paraId="4311B8F9">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highlight w:val="none"/>
                      <w:u w:val="single"/>
                      <w:lang w:val="en-US" w:eastAsia="zh-CN"/>
                    </w:rPr>
                  </w:pPr>
                  <w:r>
                    <w:rPr>
                      <w:rStyle w:val="65"/>
                      <w:rFonts w:hint="default" w:ascii="Times New Roman" w:hAnsi="Times New Roman" w:cs="Times New Roman"/>
                      <w:sz w:val="21"/>
                      <w:szCs w:val="21"/>
                      <w:highlight w:val="none"/>
                      <w:u w:val="single"/>
                      <w:lang w:val="en-US" w:eastAsia="zh-CN"/>
                    </w:rPr>
                    <w:t>17S*</w:t>
                  </w:r>
                </w:p>
              </w:tc>
              <w:tc>
                <w:tcPr>
                  <w:tcW w:w="714" w:type="pct"/>
                  <w:tcBorders>
                    <w:tl2br w:val="nil"/>
                    <w:tr2bl w:val="nil"/>
                  </w:tcBorders>
                  <w:shd w:val="clear" w:color="auto" w:fill="auto"/>
                  <w:noWrap w:val="0"/>
                  <w:vAlign w:val="center"/>
                </w:tcPr>
                <w:p w14:paraId="2CEA5837">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highlight w:val="none"/>
                      <w:u w:val="single"/>
                      <w:lang w:val="en-US" w:eastAsia="zh-CN"/>
                    </w:rPr>
                  </w:pPr>
                  <w:r>
                    <w:rPr>
                      <w:rStyle w:val="65"/>
                      <w:rFonts w:hint="eastAsia" w:ascii="Times New Roman" w:hAnsi="Times New Roman" w:cs="Times New Roman"/>
                      <w:sz w:val="21"/>
                      <w:szCs w:val="21"/>
                      <w:highlight w:val="none"/>
                      <w:u w:val="single"/>
                      <w:lang w:val="en-US" w:eastAsia="zh-CN"/>
                    </w:rPr>
                    <w:t>2.309</w:t>
                  </w:r>
                </w:p>
              </w:tc>
              <w:tc>
                <w:tcPr>
                  <w:tcW w:w="714" w:type="pct"/>
                  <w:tcBorders>
                    <w:tl2br w:val="nil"/>
                    <w:tr2bl w:val="nil"/>
                  </w:tcBorders>
                  <w:shd w:val="clear" w:color="auto" w:fill="auto"/>
                  <w:noWrap w:val="0"/>
                  <w:vAlign w:val="center"/>
                </w:tcPr>
                <w:p w14:paraId="2C6AB2DA">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highlight w:val="none"/>
                      <w:u w:val="single"/>
                      <w:lang w:val="en-US" w:eastAsia="zh-CN"/>
                    </w:rPr>
                  </w:pPr>
                  <w:r>
                    <w:rPr>
                      <w:rStyle w:val="65"/>
                      <w:rFonts w:hint="eastAsia" w:ascii="Times New Roman" w:hAnsi="Times New Roman" w:cs="Times New Roman"/>
                      <w:sz w:val="21"/>
                      <w:szCs w:val="21"/>
                      <w:highlight w:val="none"/>
                      <w:u w:val="single"/>
                      <w:lang w:val="en-US" w:eastAsia="zh-CN"/>
                    </w:rPr>
                    <w:t>0.4618</w:t>
                  </w:r>
                </w:p>
              </w:tc>
              <w:tc>
                <w:tcPr>
                  <w:tcW w:w="714" w:type="pct"/>
                  <w:tcBorders>
                    <w:tl2br w:val="nil"/>
                    <w:tr2bl w:val="nil"/>
                  </w:tcBorders>
                  <w:shd w:val="clear" w:color="auto" w:fill="auto"/>
                  <w:noWrap w:val="0"/>
                  <w:vAlign w:val="center"/>
                </w:tcPr>
                <w:p w14:paraId="564FB58B">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highlight w:val="none"/>
                      <w:u w:val="single"/>
                      <w:lang w:val="en-US" w:eastAsia="zh-CN"/>
                    </w:rPr>
                  </w:pPr>
                  <w:r>
                    <w:rPr>
                      <w:rStyle w:val="65"/>
                      <w:rFonts w:hint="eastAsia" w:ascii="Times New Roman" w:hAnsi="Times New Roman" w:cs="Times New Roman"/>
                      <w:sz w:val="21"/>
                      <w:szCs w:val="21"/>
                      <w:highlight w:val="none"/>
                      <w:u w:val="single"/>
                      <w:lang w:val="en-US" w:eastAsia="zh-CN"/>
                    </w:rPr>
                    <w:t>108.961</w:t>
                  </w:r>
                </w:p>
              </w:tc>
            </w:tr>
            <w:tr w14:paraId="3C1D0B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3" w:type="pct"/>
                  <w:vMerge w:val="continue"/>
                  <w:tcBorders>
                    <w:tl2br w:val="nil"/>
                    <w:tr2bl w:val="nil"/>
                  </w:tcBorders>
                  <w:shd w:val="clear" w:color="auto" w:fill="auto"/>
                  <w:noWrap w:val="0"/>
                  <w:vAlign w:val="center"/>
                </w:tcPr>
                <w:p w14:paraId="6DF9A577">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p>
              </w:tc>
              <w:tc>
                <w:tcPr>
                  <w:tcW w:w="767" w:type="pct"/>
                  <w:tcBorders>
                    <w:tl2br w:val="nil"/>
                    <w:tr2bl w:val="nil"/>
                  </w:tcBorders>
                  <w:shd w:val="clear" w:color="auto" w:fill="auto"/>
                  <w:noWrap w:val="0"/>
                  <w:vAlign w:val="center"/>
                </w:tcPr>
                <w:p w14:paraId="5399EB25">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NO</w:t>
                  </w:r>
                  <w:r>
                    <w:rPr>
                      <w:rStyle w:val="65"/>
                      <w:rFonts w:hint="default" w:ascii="Times New Roman" w:hAnsi="Times New Roman" w:cs="Times New Roman"/>
                      <w:sz w:val="21"/>
                      <w:szCs w:val="21"/>
                      <w:u w:val="single"/>
                      <w:vertAlign w:val="subscript"/>
                    </w:rPr>
                    <w:t>x</w:t>
                  </w:r>
                </w:p>
              </w:tc>
              <w:tc>
                <w:tcPr>
                  <w:tcW w:w="852" w:type="pct"/>
                  <w:tcBorders>
                    <w:tl2br w:val="nil"/>
                    <w:tr2bl w:val="nil"/>
                  </w:tcBorders>
                  <w:shd w:val="clear" w:color="auto" w:fill="auto"/>
                  <w:noWrap w:val="0"/>
                  <w:vAlign w:val="center"/>
                </w:tcPr>
                <w:p w14:paraId="0DD5FA4D">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千克/吨-原料</w:t>
                  </w:r>
                </w:p>
              </w:tc>
              <w:tc>
                <w:tcPr>
                  <w:tcW w:w="613" w:type="pct"/>
                  <w:tcBorders>
                    <w:tl2br w:val="nil"/>
                    <w:tr2bl w:val="nil"/>
                  </w:tcBorders>
                  <w:shd w:val="clear" w:color="auto" w:fill="auto"/>
                  <w:noWrap w:val="0"/>
                  <w:vAlign w:val="center"/>
                </w:tcPr>
                <w:p w14:paraId="1C0AF167">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cs="Times New Roman"/>
                      <w:sz w:val="21"/>
                      <w:szCs w:val="21"/>
                      <w:u w:val="single"/>
                    </w:rPr>
                  </w:pPr>
                  <w:r>
                    <w:rPr>
                      <w:rStyle w:val="65"/>
                      <w:rFonts w:hint="default" w:ascii="Times New Roman" w:hAnsi="Times New Roman" w:cs="Times New Roman"/>
                      <w:sz w:val="21"/>
                      <w:szCs w:val="21"/>
                      <w:u w:val="single"/>
                    </w:rPr>
                    <w:t>1.02</w:t>
                  </w:r>
                </w:p>
              </w:tc>
              <w:tc>
                <w:tcPr>
                  <w:tcW w:w="714" w:type="pct"/>
                  <w:tcBorders>
                    <w:tl2br w:val="nil"/>
                    <w:tr2bl w:val="nil"/>
                  </w:tcBorders>
                  <w:shd w:val="clear" w:color="auto" w:fill="auto"/>
                  <w:noWrap w:val="0"/>
                  <w:vAlign w:val="center"/>
                </w:tcPr>
                <w:p w14:paraId="76606DBA">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u w:val="single"/>
                      <w:lang w:val="en-US" w:eastAsia="zh-CN"/>
                    </w:rPr>
                  </w:pPr>
                  <w:r>
                    <w:rPr>
                      <w:rStyle w:val="65"/>
                      <w:rFonts w:hint="eastAsia" w:ascii="Times New Roman" w:hAnsi="Times New Roman" w:cs="Times New Roman"/>
                      <w:sz w:val="21"/>
                      <w:szCs w:val="21"/>
                      <w:u w:val="single"/>
                      <w:lang w:val="en-US" w:eastAsia="zh-CN"/>
                    </w:rPr>
                    <w:t>3.464</w:t>
                  </w:r>
                </w:p>
              </w:tc>
              <w:tc>
                <w:tcPr>
                  <w:tcW w:w="714" w:type="pct"/>
                  <w:tcBorders>
                    <w:tl2br w:val="nil"/>
                    <w:tr2bl w:val="nil"/>
                  </w:tcBorders>
                  <w:shd w:val="clear" w:color="auto" w:fill="auto"/>
                  <w:noWrap w:val="0"/>
                  <w:vAlign w:val="center"/>
                </w:tcPr>
                <w:p w14:paraId="4422F830">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u w:val="single"/>
                      <w:lang w:val="en-US" w:eastAsia="zh-CN"/>
                    </w:rPr>
                  </w:pPr>
                  <w:r>
                    <w:rPr>
                      <w:rStyle w:val="65"/>
                      <w:rFonts w:hint="eastAsia" w:ascii="Times New Roman" w:hAnsi="Times New Roman" w:cs="Times New Roman"/>
                      <w:sz w:val="21"/>
                      <w:szCs w:val="21"/>
                      <w:u w:val="single"/>
                      <w:lang w:val="en-US" w:eastAsia="zh-CN"/>
                    </w:rPr>
                    <w:t>0.6928</w:t>
                  </w:r>
                </w:p>
              </w:tc>
              <w:tc>
                <w:tcPr>
                  <w:tcW w:w="714" w:type="pct"/>
                  <w:tcBorders>
                    <w:tl2br w:val="nil"/>
                    <w:tr2bl w:val="nil"/>
                  </w:tcBorders>
                  <w:shd w:val="clear" w:color="auto" w:fill="auto"/>
                  <w:noWrap w:val="0"/>
                  <w:vAlign w:val="center"/>
                </w:tcPr>
                <w:p w14:paraId="4B405B34">
                  <w:pPr>
                    <w:keepNext w:val="0"/>
                    <w:keepLines w:val="0"/>
                    <w:suppressLineNumbers w:val="0"/>
                    <w:spacing w:before="0" w:beforeAutospacing="0" w:after="0" w:afterAutospacing="0"/>
                    <w:ind w:left="0" w:right="0" w:firstLine="0" w:firstLineChars="0"/>
                    <w:jc w:val="center"/>
                    <w:rPr>
                      <w:rStyle w:val="65"/>
                      <w:rFonts w:hint="default" w:ascii="Times New Roman" w:hAnsi="Times New Roman" w:eastAsia="宋体" w:cs="Times New Roman"/>
                      <w:sz w:val="21"/>
                      <w:szCs w:val="21"/>
                      <w:u w:val="single"/>
                      <w:lang w:val="en-US" w:eastAsia="zh-CN"/>
                    </w:rPr>
                  </w:pPr>
                  <w:r>
                    <w:rPr>
                      <w:rStyle w:val="65"/>
                      <w:rFonts w:hint="eastAsia" w:ascii="Times New Roman" w:hAnsi="Times New Roman" w:cs="Times New Roman"/>
                      <w:sz w:val="21"/>
                      <w:szCs w:val="21"/>
                      <w:u w:val="single"/>
                      <w:lang w:val="en-US" w:eastAsia="zh-CN"/>
                    </w:rPr>
                    <w:t>163.465</w:t>
                  </w:r>
                </w:p>
              </w:tc>
            </w:tr>
          </w:tbl>
          <w:p w14:paraId="0CEBF9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360" w:firstLineChars="200"/>
              <w:textAlignment w:val="auto"/>
              <w:rPr>
                <w:rFonts w:hint="default"/>
                <w:sz w:val="18"/>
                <w:szCs w:val="18"/>
                <w:u w:val="single"/>
                <w:lang w:val="en-US" w:eastAsia="zh-CN"/>
              </w:rPr>
            </w:pPr>
            <w:r>
              <w:rPr>
                <w:rFonts w:hint="default"/>
                <w:sz w:val="18"/>
                <w:szCs w:val="18"/>
                <w:u w:val="single"/>
                <w:lang w:val="en-US" w:eastAsia="zh-CN"/>
              </w:rPr>
              <w:t>注：*二氧化硫的产排污系数是以含硫量（S%）的形式表示的，其中含硫量（S%）是指生物质收到基硫分含量，以质量百分数的形式表示。</w:t>
            </w:r>
            <w:r>
              <w:rPr>
                <w:rFonts w:hint="eastAsia"/>
                <w:sz w:val="18"/>
                <w:szCs w:val="18"/>
                <w:u w:val="single"/>
                <w:lang w:val="en-US" w:eastAsia="zh-CN"/>
              </w:rPr>
              <w:t>本项目</w:t>
            </w:r>
            <w:r>
              <w:rPr>
                <w:rFonts w:hint="default"/>
                <w:sz w:val="18"/>
                <w:szCs w:val="18"/>
                <w:u w:val="single"/>
                <w:lang w:val="en-US" w:eastAsia="zh-CN"/>
              </w:rPr>
              <w:t>生物质中</w:t>
            </w:r>
            <w:r>
              <w:rPr>
                <w:rFonts w:hint="eastAsia"/>
                <w:sz w:val="18"/>
                <w:szCs w:val="18"/>
                <w:u w:val="single"/>
                <w:lang w:val="en-US" w:eastAsia="zh-CN"/>
              </w:rPr>
              <w:t>空气干燥基全</w:t>
            </w:r>
            <w:r>
              <w:rPr>
                <w:rFonts w:hint="default"/>
                <w:sz w:val="18"/>
                <w:szCs w:val="18"/>
                <w:u w:val="single"/>
                <w:lang w:val="en-US" w:eastAsia="zh-CN"/>
              </w:rPr>
              <w:t>硫量（S%）为</w:t>
            </w:r>
            <w:r>
              <w:rPr>
                <w:rFonts w:hint="eastAsia"/>
                <w:sz w:val="18"/>
                <w:szCs w:val="18"/>
                <w:u w:val="single"/>
                <w:lang w:val="en-US" w:eastAsia="zh-CN"/>
              </w:rPr>
              <w:t>0.04</w:t>
            </w:r>
            <w:r>
              <w:rPr>
                <w:rFonts w:hint="default"/>
                <w:sz w:val="18"/>
                <w:szCs w:val="18"/>
                <w:u w:val="single"/>
                <w:lang w:val="en-US" w:eastAsia="zh-CN"/>
              </w:rPr>
              <w:t>%，</w:t>
            </w:r>
            <w:r>
              <w:rPr>
                <w:rFonts w:hint="eastAsia"/>
                <w:sz w:val="18"/>
                <w:szCs w:val="18"/>
                <w:u w:val="single"/>
                <w:lang w:val="en-US" w:eastAsia="zh-CN"/>
              </w:rPr>
              <w:t>根据计算本项目生物质中收到基含硫量</w:t>
            </w:r>
            <w:r>
              <w:rPr>
                <w:rFonts w:hint="default"/>
                <w:sz w:val="18"/>
                <w:szCs w:val="18"/>
                <w:u w:val="single"/>
                <w:lang w:val="en-US" w:eastAsia="zh-CN"/>
              </w:rPr>
              <w:t>S=0.</w:t>
            </w:r>
            <w:r>
              <w:rPr>
                <w:rFonts w:hint="eastAsia"/>
                <w:sz w:val="18"/>
                <w:szCs w:val="18"/>
                <w:u w:val="single"/>
                <w:lang w:val="en-US" w:eastAsia="zh-CN"/>
              </w:rPr>
              <w:t>04。</w:t>
            </w:r>
          </w:p>
          <w:p w14:paraId="7FB00050">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ascii="Times New Roman" w:hAnsi="Times New Roman" w:eastAsia="宋体" w:cs="Times New Roman"/>
                <w:u w:val="single"/>
              </w:rPr>
            </w:pPr>
            <w:r>
              <w:rPr>
                <w:rFonts w:hint="eastAsia" w:ascii="Times New Roman" w:hAnsi="Times New Roman" w:eastAsia="宋体" w:cs="Times New Roman"/>
                <w:sz w:val="24"/>
                <w:szCs w:val="24"/>
                <w:u w:val="single"/>
                <w:lang w:val="en-US" w:eastAsia="zh-CN"/>
              </w:rPr>
              <w:t>本项目</w:t>
            </w:r>
            <w:r>
              <w:rPr>
                <w:rFonts w:hint="eastAsia" w:ascii="Times New Roman" w:hAnsi="Times New Roman" w:eastAsia="宋体" w:cs="Times New Roman"/>
                <w:sz w:val="24"/>
                <w:szCs w:val="24"/>
                <w:u w:val="single"/>
              </w:rPr>
              <w:t>锅炉烟气中污染物为颗粒物、</w:t>
            </w:r>
            <w:r>
              <w:rPr>
                <w:rFonts w:hint="default" w:ascii="Times New Roman" w:hAnsi="Times New Roman" w:eastAsia="宋体" w:cs="Times New Roman"/>
                <w:sz w:val="24"/>
                <w:szCs w:val="24"/>
                <w:u w:val="single"/>
              </w:rPr>
              <w:t>SO</w:t>
            </w:r>
            <w:r>
              <w:rPr>
                <w:rFonts w:hint="default" w:ascii="Times New Roman" w:hAnsi="Times New Roman" w:eastAsia="宋体" w:cs="Times New Roman"/>
                <w:sz w:val="24"/>
                <w:szCs w:val="24"/>
                <w:u w:val="single"/>
                <w:vertAlign w:val="subscript"/>
              </w:rPr>
              <w:t>2</w:t>
            </w:r>
            <w:r>
              <w:rPr>
                <w:rFonts w:hint="eastAsia" w:ascii="Times New Roman" w:hAnsi="Times New Roman" w:eastAsia="宋体" w:cs="Times New Roman"/>
                <w:sz w:val="24"/>
                <w:szCs w:val="24"/>
                <w:u w:val="single"/>
              </w:rPr>
              <w:t>、</w:t>
            </w:r>
            <w:r>
              <w:rPr>
                <w:rFonts w:hint="default" w:ascii="Times New Roman" w:hAnsi="Times New Roman" w:eastAsia="宋体" w:cs="Times New Roman"/>
                <w:sz w:val="24"/>
                <w:szCs w:val="24"/>
                <w:u w:val="single"/>
              </w:rPr>
              <w:t>NO</w:t>
            </w:r>
            <w:r>
              <w:rPr>
                <w:rFonts w:hint="default" w:ascii="Times New Roman" w:hAnsi="Times New Roman" w:eastAsia="宋体" w:cs="Times New Roman"/>
                <w:sz w:val="24"/>
                <w:szCs w:val="24"/>
                <w:u w:val="single"/>
                <w:vertAlign w:val="subscript"/>
              </w:rPr>
              <w:t>x</w:t>
            </w:r>
            <w:r>
              <w:rPr>
                <w:rFonts w:hint="eastAsia" w:ascii="Times New Roman" w:hAnsi="Times New Roman" w:eastAsia="宋体" w:cs="Times New Roman"/>
                <w:sz w:val="24"/>
                <w:szCs w:val="24"/>
                <w:u w:val="single"/>
              </w:rPr>
              <w:t>，锅炉烟气经</w:t>
            </w:r>
            <w:r>
              <w:rPr>
                <w:rFonts w:hint="eastAsia" w:ascii="Times New Roman" w:hAnsi="Times New Roman" w:eastAsia="宋体" w:cs="Times New Roman"/>
                <w:sz w:val="24"/>
                <w:szCs w:val="24"/>
                <w:u w:val="single"/>
                <w:lang w:val="en-US" w:eastAsia="zh-CN"/>
              </w:rPr>
              <w:t>单管旋风除尘器和</w:t>
            </w:r>
            <w:r>
              <w:rPr>
                <w:rFonts w:hint="eastAsia" w:ascii="Times New Roman" w:hAnsi="Times New Roman" w:eastAsia="宋体" w:cs="Times New Roman"/>
                <w:sz w:val="24"/>
                <w:szCs w:val="24"/>
                <w:u w:val="single"/>
              </w:rPr>
              <w:t>布袋除尘器（</w:t>
            </w:r>
            <w:r>
              <w:rPr>
                <w:rFonts w:hint="eastAsia" w:cs="Times New Roman"/>
                <w:sz w:val="24"/>
                <w:szCs w:val="24"/>
                <w:u w:val="single"/>
                <w:lang w:val="en-US" w:eastAsia="zh-CN"/>
              </w:rPr>
              <w:t>根据供应商提供设备数据，布袋除尘设备的</w:t>
            </w:r>
            <w:r>
              <w:rPr>
                <w:rFonts w:hint="eastAsia" w:ascii="Times New Roman" w:hAnsi="Times New Roman" w:eastAsia="宋体" w:cs="Times New Roman"/>
                <w:sz w:val="24"/>
                <w:szCs w:val="24"/>
                <w:u w:val="single"/>
              </w:rPr>
              <w:t>除尘效率≥9</w:t>
            </w:r>
            <w:r>
              <w:rPr>
                <w:rFonts w:hint="eastAsia" w:cs="Times New Roman"/>
                <w:sz w:val="24"/>
                <w:szCs w:val="24"/>
                <w:u w:val="single"/>
                <w:lang w:val="en-US" w:eastAsia="zh-CN"/>
              </w:rPr>
              <w:t>5.5</w:t>
            </w:r>
            <w:r>
              <w:rPr>
                <w:rFonts w:hint="default" w:ascii="Times New Roman" w:hAnsi="Times New Roman" w:eastAsia="宋体" w:cs="Times New Roman"/>
                <w:sz w:val="24"/>
                <w:szCs w:val="24"/>
                <w:u w:val="single"/>
              </w:rPr>
              <w:t>%</w:t>
            </w:r>
            <w:r>
              <w:rPr>
                <w:rFonts w:hint="eastAsia" w:cs="Times New Roman"/>
                <w:sz w:val="24"/>
                <w:szCs w:val="24"/>
                <w:u w:val="single"/>
                <w:lang w:eastAsia="zh-CN"/>
              </w:rPr>
              <w:t>，</w:t>
            </w:r>
            <w:r>
              <w:rPr>
                <w:rFonts w:hint="eastAsia" w:cs="Times New Roman"/>
                <w:sz w:val="24"/>
                <w:szCs w:val="24"/>
                <w:u w:val="single"/>
                <w:lang w:val="en-US" w:eastAsia="zh-CN"/>
              </w:rPr>
              <w:t>布袋除尘器工作温度为220-260℃，详见附件15，本项目除尘效率取95.5%，</w:t>
            </w:r>
            <w:r>
              <w:rPr>
                <w:rFonts w:hint="eastAsia" w:ascii="Times New Roman" w:hAnsi="Times New Roman" w:eastAsia="宋体" w:cs="Times New Roman"/>
                <w:sz w:val="24"/>
                <w:szCs w:val="24"/>
                <w:u w:val="single"/>
              </w:rPr>
              <w:t>）处理后，通过3</w:t>
            </w:r>
            <w:r>
              <w:rPr>
                <w:rFonts w:hint="default" w:ascii="Times New Roman" w:hAnsi="Times New Roman" w:eastAsia="宋体" w:cs="Times New Roman"/>
                <w:sz w:val="24"/>
                <w:szCs w:val="24"/>
                <w:u w:val="single"/>
              </w:rPr>
              <w:t>5m</w:t>
            </w:r>
            <w:r>
              <w:rPr>
                <w:rFonts w:hint="eastAsia" w:ascii="Times New Roman" w:hAnsi="Times New Roman" w:eastAsia="宋体" w:cs="Times New Roman"/>
                <w:sz w:val="24"/>
                <w:szCs w:val="24"/>
                <w:u w:val="single"/>
              </w:rPr>
              <w:t>高</w:t>
            </w:r>
            <w:r>
              <w:rPr>
                <w:rFonts w:hint="eastAsia" w:ascii="Times New Roman" w:hAnsi="Times New Roman" w:eastAsia="宋体" w:cs="Times New Roman"/>
                <w:sz w:val="24"/>
                <w:szCs w:val="24"/>
                <w:u w:val="single"/>
                <w:lang w:val="en-US" w:eastAsia="zh-CN"/>
              </w:rPr>
              <w:t>DA001</w:t>
            </w:r>
            <w:r>
              <w:rPr>
                <w:rFonts w:hint="eastAsia" w:ascii="Times New Roman" w:hAnsi="Times New Roman" w:eastAsia="宋体" w:cs="Times New Roman"/>
                <w:sz w:val="24"/>
                <w:szCs w:val="24"/>
                <w:u w:val="single"/>
              </w:rPr>
              <w:t>排气筒排放。</w:t>
            </w:r>
          </w:p>
          <w:p w14:paraId="57F72915">
            <w:pPr>
              <w:pStyle w:val="33"/>
              <w:keepNext w:val="0"/>
              <w:keepLines w:val="0"/>
              <w:numPr>
                <w:ilvl w:val="0"/>
                <w:numId w:val="19"/>
              </w:numPr>
              <w:suppressLineNumbers w:val="0"/>
              <w:spacing w:before="0" w:beforeAutospacing="0" w:after="0" w:afterAutospacing="0"/>
              <w:ind w:right="0" w:firstLineChars="0"/>
              <w:jc w:val="center"/>
              <w:rPr>
                <w:rFonts w:hint="default" w:ascii="Times New Roman" w:hAnsi="Times New Roman" w:eastAsia="宋体" w:cs="Times New Roman"/>
                <w:kern w:val="2"/>
                <w:sz w:val="24"/>
                <w:szCs w:val="24"/>
                <w:u w:val="single"/>
                <w:lang w:val="en-US" w:eastAsia="zh-CN" w:bidi="ar-SA"/>
              </w:rPr>
            </w:pPr>
            <w:r>
              <w:rPr>
                <w:rFonts w:hint="eastAsia" w:cs="Times New Roman"/>
                <w:b/>
                <w:bCs/>
                <w:kern w:val="2"/>
                <w:sz w:val="24"/>
                <w:szCs w:val="24"/>
                <w:u w:val="single"/>
                <w:lang w:val="en-US" w:eastAsia="zh-CN" w:bidi="ar-SA"/>
              </w:rPr>
              <w:t>锅炉废气</w:t>
            </w:r>
            <w:r>
              <w:rPr>
                <w:rFonts w:hint="eastAsia" w:ascii="Times New Roman" w:hAnsi="Times New Roman" w:eastAsia="宋体" w:cs="Times New Roman"/>
                <w:b/>
                <w:bCs/>
                <w:kern w:val="2"/>
                <w:sz w:val="24"/>
                <w:szCs w:val="24"/>
                <w:u w:val="single"/>
                <w:lang w:val="en-US" w:eastAsia="zh-CN" w:bidi="ar-SA"/>
              </w:rPr>
              <w:t>污染物排放情况表</w:t>
            </w:r>
          </w:p>
          <w:tbl>
            <w:tblPr>
              <w:tblStyle w:val="25"/>
              <w:tblW w:w="0" w:type="auto"/>
              <w:tblInd w:w="-2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22"/>
              <w:gridCol w:w="1118"/>
              <w:gridCol w:w="825"/>
              <w:gridCol w:w="964"/>
              <w:gridCol w:w="1147"/>
              <w:gridCol w:w="792"/>
              <w:gridCol w:w="933"/>
              <w:gridCol w:w="1157"/>
              <w:gridCol w:w="840"/>
            </w:tblGrid>
            <w:tr w14:paraId="0D7B7C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2" w:type="dxa"/>
                  <w:tcBorders>
                    <w:tl2br w:val="nil"/>
                    <w:tr2bl w:val="nil"/>
                  </w:tcBorders>
                  <w:vAlign w:val="center"/>
                </w:tcPr>
                <w:p w14:paraId="1D6A4BB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污染物</w:t>
                  </w:r>
                </w:p>
              </w:tc>
              <w:tc>
                <w:tcPr>
                  <w:tcW w:w="1118" w:type="dxa"/>
                  <w:tcBorders>
                    <w:tl2br w:val="nil"/>
                    <w:tr2bl w:val="nil"/>
                  </w:tcBorders>
                  <w:vAlign w:val="center"/>
                </w:tcPr>
                <w:p w14:paraId="4F068CF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废气量</w:t>
                  </w:r>
                </w:p>
                <w:p w14:paraId="0532EDD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（Nm</w:t>
                  </w:r>
                  <w:r>
                    <w:rPr>
                      <w:rFonts w:hint="eastAsia" w:ascii="Times New Roman" w:hAnsi="Times New Roman" w:eastAsia="宋体" w:cs="Times New Roman"/>
                      <w:b/>
                      <w:bCs/>
                      <w:u w:val="single"/>
                      <w:vertAlign w:val="superscript"/>
                    </w:rPr>
                    <w:t>3</w:t>
                  </w:r>
                  <w:r>
                    <w:rPr>
                      <w:rFonts w:hint="eastAsia" w:ascii="Times New Roman" w:hAnsi="Times New Roman" w:eastAsia="宋体" w:cs="Times New Roman"/>
                      <w:b/>
                      <w:bCs/>
                      <w:u w:val="single"/>
                    </w:rPr>
                    <w:t>/a）</w:t>
                  </w:r>
                </w:p>
              </w:tc>
              <w:tc>
                <w:tcPr>
                  <w:tcW w:w="825" w:type="dxa"/>
                  <w:tcBorders>
                    <w:tl2br w:val="nil"/>
                    <w:tr2bl w:val="nil"/>
                  </w:tcBorders>
                  <w:vAlign w:val="center"/>
                </w:tcPr>
                <w:p w14:paraId="2C8E47F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产生量（t/a）</w:t>
                  </w:r>
                </w:p>
              </w:tc>
              <w:tc>
                <w:tcPr>
                  <w:tcW w:w="964" w:type="dxa"/>
                  <w:tcBorders>
                    <w:tl2br w:val="nil"/>
                    <w:tr2bl w:val="nil"/>
                  </w:tcBorders>
                  <w:vAlign w:val="center"/>
                </w:tcPr>
                <w:p w14:paraId="07C0E35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产生速率（kg/h）</w:t>
                  </w:r>
                </w:p>
              </w:tc>
              <w:tc>
                <w:tcPr>
                  <w:tcW w:w="1147" w:type="dxa"/>
                  <w:tcBorders>
                    <w:tl2br w:val="nil"/>
                    <w:tr2bl w:val="nil"/>
                  </w:tcBorders>
                  <w:vAlign w:val="center"/>
                </w:tcPr>
                <w:p w14:paraId="17B158A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产生浓度（mg/m</w:t>
                  </w:r>
                  <w:r>
                    <w:rPr>
                      <w:rFonts w:hint="eastAsia" w:ascii="Times New Roman" w:hAnsi="Times New Roman" w:eastAsia="宋体" w:cs="Times New Roman"/>
                      <w:b/>
                      <w:bCs/>
                      <w:u w:val="single"/>
                      <w:vertAlign w:val="superscript"/>
                    </w:rPr>
                    <w:t>3</w:t>
                  </w:r>
                  <w:r>
                    <w:rPr>
                      <w:rFonts w:hint="eastAsia" w:ascii="Times New Roman" w:hAnsi="Times New Roman" w:eastAsia="宋体" w:cs="Times New Roman"/>
                      <w:b/>
                      <w:bCs/>
                      <w:u w:val="single"/>
                    </w:rPr>
                    <w:t>）</w:t>
                  </w:r>
                </w:p>
              </w:tc>
              <w:tc>
                <w:tcPr>
                  <w:tcW w:w="792" w:type="dxa"/>
                  <w:tcBorders>
                    <w:tl2br w:val="nil"/>
                    <w:tr2bl w:val="nil"/>
                  </w:tcBorders>
                  <w:vAlign w:val="center"/>
                </w:tcPr>
                <w:p w14:paraId="5C4A1AA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排放量（t/a）</w:t>
                  </w:r>
                </w:p>
              </w:tc>
              <w:tc>
                <w:tcPr>
                  <w:tcW w:w="933" w:type="dxa"/>
                  <w:tcBorders>
                    <w:tl2br w:val="nil"/>
                    <w:tr2bl w:val="nil"/>
                  </w:tcBorders>
                  <w:vAlign w:val="center"/>
                </w:tcPr>
                <w:p w14:paraId="173FE15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排放速率（kg/h）</w:t>
                  </w:r>
                </w:p>
              </w:tc>
              <w:tc>
                <w:tcPr>
                  <w:tcW w:w="1157" w:type="dxa"/>
                  <w:tcBorders>
                    <w:tl2br w:val="nil"/>
                    <w:tr2bl w:val="nil"/>
                  </w:tcBorders>
                  <w:vAlign w:val="center"/>
                </w:tcPr>
                <w:p w14:paraId="2ED9ADD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排放浓度（mg/m</w:t>
                  </w:r>
                  <w:r>
                    <w:rPr>
                      <w:rFonts w:hint="eastAsia" w:ascii="Times New Roman" w:hAnsi="Times New Roman" w:eastAsia="宋体" w:cs="Times New Roman"/>
                      <w:b/>
                      <w:bCs/>
                      <w:u w:val="single"/>
                      <w:vertAlign w:val="superscript"/>
                    </w:rPr>
                    <w:t>3</w:t>
                  </w:r>
                  <w:r>
                    <w:rPr>
                      <w:rFonts w:hint="eastAsia" w:ascii="Times New Roman" w:hAnsi="Times New Roman" w:eastAsia="宋体" w:cs="Times New Roman"/>
                      <w:b/>
                      <w:bCs/>
                      <w:u w:val="single"/>
                    </w:rPr>
                    <w:t>）</w:t>
                  </w:r>
                </w:p>
              </w:tc>
              <w:tc>
                <w:tcPr>
                  <w:tcW w:w="840" w:type="dxa"/>
                  <w:tcBorders>
                    <w:tl2br w:val="nil"/>
                    <w:tr2bl w:val="nil"/>
                  </w:tcBorders>
                  <w:vAlign w:val="center"/>
                </w:tcPr>
                <w:p w14:paraId="017ED8E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u w:val="single"/>
                    </w:rPr>
                  </w:pPr>
                  <w:r>
                    <w:rPr>
                      <w:rFonts w:hint="eastAsia" w:ascii="Times New Roman" w:hAnsi="Times New Roman" w:eastAsia="宋体" w:cs="Times New Roman"/>
                      <w:b/>
                      <w:bCs/>
                      <w:u w:val="single"/>
                    </w:rPr>
                    <w:t>运行时间（h/a）</w:t>
                  </w:r>
                </w:p>
              </w:tc>
            </w:tr>
            <w:tr w14:paraId="4954DD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2" w:type="dxa"/>
                  <w:tcBorders>
                    <w:tl2br w:val="nil"/>
                    <w:tr2bl w:val="nil"/>
                  </w:tcBorders>
                  <w:vAlign w:val="center"/>
                </w:tcPr>
                <w:p w14:paraId="5A31BB14">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rPr>
                  </w:pPr>
                  <w:r>
                    <w:rPr>
                      <w:rFonts w:hint="default" w:ascii="Times New Roman" w:hAnsi="Times New Roman" w:eastAsia="宋体" w:cs="Times New Roman"/>
                      <w:u w:val="single"/>
                    </w:rPr>
                    <w:t>SO</w:t>
                  </w:r>
                  <w:r>
                    <w:rPr>
                      <w:rFonts w:hint="default" w:ascii="Times New Roman" w:hAnsi="Times New Roman" w:eastAsia="宋体" w:cs="Times New Roman"/>
                      <w:u w:val="single"/>
                      <w:vertAlign w:val="subscript"/>
                    </w:rPr>
                    <w:t>2</w:t>
                  </w:r>
                </w:p>
              </w:tc>
              <w:tc>
                <w:tcPr>
                  <w:tcW w:w="1118" w:type="dxa"/>
                  <w:vMerge w:val="restart"/>
                  <w:tcBorders>
                    <w:tl2br w:val="nil"/>
                    <w:tr2bl w:val="nil"/>
                  </w:tcBorders>
                  <w:vAlign w:val="center"/>
                </w:tcPr>
                <w:p w14:paraId="01F7E246">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21191040</w:t>
                  </w:r>
                </w:p>
              </w:tc>
              <w:tc>
                <w:tcPr>
                  <w:tcW w:w="825" w:type="dxa"/>
                  <w:tcBorders>
                    <w:tl2br w:val="nil"/>
                    <w:tr2bl w:val="nil"/>
                  </w:tcBorders>
                  <w:vAlign w:val="center"/>
                </w:tcPr>
                <w:p w14:paraId="52EA36C3">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2.309</w:t>
                  </w:r>
                </w:p>
              </w:tc>
              <w:tc>
                <w:tcPr>
                  <w:tcW w:w="964" w:type="dxa"/>
                  <w:tcBorders>
                    <w:tl2br w:val="nil"/>
                    <w:tr2bl w:val="nil"/>
                  </w:tcBorders>
                  <w:vAlign w:val="center"/>
                </w:tcPr>
                <w:p w14:paraId="24FA0462">
                  <w:pPr>
                    <w:keepNext w:val="0"/>
                    <w:keepLines w:val="0"/>
                    <w:suppressLineNumbers w:val="0"/>
                    <w:spacing w:before="0" w:beforeAutospacing="0" w:after="0" w:afterAutospacing="0"/>
                    <w:ind w:left="0" w:right="0"/>
                    <w:jc w:val="center"/>
                    <w:rPr>
                      <w:rFonts w:hint="default" w:ascii="Times New Roman" w:hAnsi="Times New Roman" w:eastAsia="宋体" w:cs="Times New Roman"/>
                      <w:highlight w:val="none"/>
                      <w:u w:val="single"/>
                      <w:lang w:val="en-US" w:eastAsia="zh-CN"/>
                    </w:rPr>
                  </w:pPr>
                  <w:r>
                    <w:rPr>
                      <w:rFonts w:hint="eastAsia" w:cs="Times New Roman"/>
                      <w:highlight w:val="none"/>
                      <w:u w:val="single"/>
                      <w:lang w:val="en-US" w:eastAsia="zh-CN"/>
                    </w:rPr>
                    <w:t>0.4618</w:t>
                  </w:r>
                </w:p>
              </w:tc>
              <w:tc>
                <w:tcPr>
                  <w:tcW w:w="1147" w:type="dxa"/>
                  <w:tcBorders>
                    <w:tl2br w:val="nil"/>
                    <w:tr2bl w:val="nil"/>
                  </w:tcBorders>
                  <w:vAlign w:val="center"/>
                </w:tcPr>
                <w:p w14:paraId="61DAD2A9">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108.961</w:t>
                  </w:r>
                </w:p>
              </w:tc>
              <w:tc>
                <w:tcPr>
                  <w:tcW w:w="792" w:type="dxa"/>
                  <w:tcBorders>
                    <w:tl2br w:val="nil"/>
                    <w:tr2bl w:val="nil"/>
                  </w:tcBorders>
                  <w:vAlign w:val="center"/>
                </w:tcPr>
                <w:p w14:paraId="642029EB">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2.309</w:t>
                  </w:r>
                </w:p>
              </w:tc>
              <w:tc>
                <w:tcPr>
                  <w:tcW w:w="933" w:type="dxa"/>
                  <w:tcBorders>
                    <w:tl2br w:val="nil"/>
                    <w:tr2bl w:val="nil"/>
                  </w:tcBorders>
                  <w:vAlign w:val="center"/>
                </w:tcPr>
                <w:p w14:paraId="0BB76374">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0.4618</w:t>
                  </w:r>
                </w:p>
              </w:tc>
              <w:tc>
                <w:tcPr>
                  <w:tcW w:w="1157" w:type="dxa"/>
                  <w:tcBorders>
                    <w:tl2br w:val="nil"/>
                    <w:tr2bl w:val="nil"/>
                  </w:tcBorders>
                  <w:vAlign w:val="center"/>
                </w:tcPr>
                <w:p w14:paraId="131E7023">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108.961</w:t>
                  </w:r>
                </w:p>
              </w:tc>
              <w:tc>
                <w:tcPr>
                  <w:tcW w:w="840" w:type="dxa"/>
                  <w:vMerge w:val="restart"/>
                  <w:tcBorders>
                    <w:tl2br w:val="nil"/>
                    <w:tr2bl w:val="nil"/>
                  </w:tcBorders>
                  <w:vAlign w:val="center"/>
                </w:tcPr>
                <w:p w14:paraId="6F1A1258">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5000</w:t>
                  </w:r>
                </w:p>
              </w:tc>
            </w:tr>
            <w:tr w14:paraId="3929EA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22" w:type="dxa"/>
                  <w:tcBorders>
                    <w:tl2br w:val="nil"/>
                    <w:tr2bl w:val="nil"/>
                  </w:tcBorders>
                  <w:vAlign w:val="center"/>
                </w:tcPr>
                <w:p w14:paraId="07C0AC87">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rPr>
                  </w:pPr>
                  <w:r>
                    <w:rPr>
                      <w:rFonts w:hint="default" w:ascii="Times New Roman" w:hAnsi="Times New Roman" w:eastAsia="宋体" w:cs="Times New Roman"/>
                      <w:u w:val="single"/>
                    </w:rPr>
                    <w:t>NO</w:t>
                  </w:r>
                  <w:r>
                    <w:rPr>
                      <w:rFonts w:hint="default" w:ascii="Times New Roman" w:hAnsi="Times New Roman" w:eastAsia="宋体" w:cs="Times New Roman"/>
                      <w:u w:val="single"/>
                      <w:vertAlign w:val="subscript"/>
                    </w:rPr>
                    <w:t>x</w:t>
                  </w:r>
                </w:p>
              </w:tc>
              <w:tc>
                <w:tcPr>
                  <w:tcW w:w="1118" w:type="dxa"/>
                  <w:vMerge w:val="continue"/>
                  <w:tcBorders>
                    <w:tl2br w:val="nil"/>
                    <w:tr2bl w:val="nil"/>
                  </w:tcBorders>
                  <w:vAlign w:val="center"/>
                </w:tcPr>
                <w:p w14:paraId="3C0B153E">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rPr>
                  </w:pPr>
                </w:p>
              </w:tc>
              <w:tc>
                <w:tcPr>
                  <w:tcW w:w="825" w:type="dxa"/>
                  <w:tcBorders>
                    <w:tl2br w:val="nil"/>
                    <w:tr2bl w:val="nil"/>
                  </w:tcBorders>
                  <w:vAlign w:val="center"/>
                </w:tcPr>
                <w:p w14:paraId="129DC6BF">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3.464</w:t>
                  </w:r>
                </w:p>
              </w:tc>
              <w:tc>
                <w:tcPr>
                  <w:tcW w:w="964" w:type="dxa"/>
                  <w:tcBorders>
                    <w:tl2br w:val="nil"/>
                    <w:tr2bl w:val="nil"/>
                  </w:tcBorders>
                  <w:vAlign w:val="center"/>
                </w:tcPr>
                <w:p w14:paraId="5B94085E">
                  <w:pPr>
                    <w:keepNext w:val="0"/>
                    <w:keepLines w:val="0"/>
                    <w:suppressLineNumbers w:val="0"/>
                    <w:spacing w:before="0" w:beforeAutospacing="0" w:after="0" w:afterAutospacing="0"/>
                    <w:ind w:left="0" w:right="0"/>
                    <w:jc w:val="center"/>
                    <w:rPr>
                      <w:rFonts w:hint="default" w:ascii="Times New Roman" w:hAnsi="Times New Roman" w:eastAsia="宋体" w:cs="Times New Roman"/>
                      <w:highlight w:val="none"/>
                      <w:u w:val="single"/>
                      <w:lang w:val="en-US" w:eastAsia="zh-CN"/>
                    </w:rPr>
                  </w:pPr>
                  <w:r>
                    <w:rPr>
                      <w:rFonts w:hint="eastAsia" w:cs="Times New Roman"/>
                      <w:highlight w:val="none"/>
                      <w:u w:val="single"/>
                      <w:lang w:val="en-US" w:eastAsia="zh-CN"/>
                    </w:rPr>
                    <w:t>0.6928</w:t>
                  </w:r>
                </w:p>
              </w:tc>
              <w:tc>
                <w:tcPr>
                  <w:tcW w:w="1147" w:type="dxa"/>
                  <w:tcBorders>
                    <w:tl2br w:val="nil"/>
                    <w:tr2bl w:val="nil"/>
                  </w:tcBorders>
                  <w:vAlign w:val="center"/>
                </w:tcPr>
                <w:p w14:paraId="1F3EBD02">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163.465</w:t>
                  </w:r>
                </w:p>
              </w:tc>
              <w:tc>
                <w:tcPr>
                  <w:tcW w:w="792" w:type="dxa"/>
                  <w:tcBorders>
                    <w:tl2br w:val="nil"/>
                    <w:tr2bl w:val="nil"/>
                  </w:tcBorders>
                  <w:vAlign w:val="center"/>
                </w:tcPr>
                <w:p w14:paraId="338DA0A9">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3.464</w:t>
                  </w:r>
                </w:p>
              </w:tc>
              <w:tc>
                <w:tcPr>
                  <w:tcW w:w="933" w:type="dxa"/>
                  <w:tcBorders>
                    <w:tl2br w:val="nil"/>
                    <w:tr2bl w:val="nil"/>
                  </w:tcBorders>
                  <w:vAlign w:val="center"/>
                </w:tcPr>
                <w:p w14:paraId="6ADB1371">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0.6928</w:t>
                  </w:r>
                </w:p>
              </w:tc>
              <w:tc>
                <w:tcPr>
                  <w:tcW w:w="1157" w:type="dxa"/>
                  <w:tcBorders>
                    <w:tl2br w:val="nil"/>
                    <w:tr2bl w:val="nil"/>
                  </w:tcBorders>
                  <w:vAlign w:val="center"/>
                </w:tcPr>
                <w:p w14:paraId="45E1567C">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163.465</w:t>
                  </w:r>
                </w:p>
              </w:tc>
              <w:tc>
                <w:tcPr>
                  <w:tcW w:w="840" w:type="dxa"/>
                  <w:vMerge w:val="continue"/>
                  <w:tcBorders>
                    <w:tl2br w:val="nil"/>
                    <w:tr2bl w:val="nil"/>
                  </w:tcBorders>
                  <w:vAlign w:val="center"/>
                </w:tcPr>
                <w:p w14:paraId="61521AEA">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rPr>
                  </w:pPr>
                </w:p>
              </w:tc>
            </w:tr>
            <w:tr w14:paraId="0576B3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622" w:type="dxa"/>
                  <w:tcBorders>
                    <w:tl2br w:val="nil"/>
                    <w:tr2bl w:val="nil"/>
                  </w:tcBorders>
                  <w:vAlign w:val="center"/>
                </w:tcPr>
                <w:p w14:paraId="57DF119F">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rPr>
                  </w:pPr>
                  <w:r>
                    <w:rPr>
                      <w:rFonts w:hint="eastAsia" w:ascii="Times New Roman" w:hAnsi="Times New Roman" w:eastAsia="宋体" w:cs="Times New Roman"/>
                      <w:u w:val="single"/>
                    </w:rPr>
                    <w:t>颗粒物</w:t>
                  </w:r>
                </w:p>
              </w:tc>
              <w:tc>
                <w:tcPr>
                  <w:tcW w:w="1118" w:type="dxa"/>
                  <w:vMerge w:val="continue"/>
                  <w:tcBorders>
                    <w:tl2br w:val="nil"/>
                    <w:tr2bl w:val="nil"/>
                  </w:tcBorders>
                  <w:vAlign w:val="center"/>
                </w:tcPr>
                <w:p w14:paraId="270326CE">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rPr>
                  </w:pPr>
                </w:p>
              </w:tc>
              <w:tc>
                <w:tcPr>
                  <w:tcW w:w="825" w:type="dxa"/>
                  <w:tcBorders>
                    <w:tl2br w:val="nil"/>
                    <w:tr2bl w:val="nil"/>
                  </w:tcBorders>
                  <w:vAlign w:val="center"/>
                </w:tcPr>
                <w:p w14:paraId="37F050EA">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1.698</w:t>
                  </w:r>
                </w:p>
              </w:tc>
              <w:tc>
                <w:tcPr>
                  <w:tcW w:w="964" w:type="dxa"/>
                  <w:tcBorders>
                    <w:tl2br w:val="nil"/>
                    <w:tr2bl w:val="nil"/>
                  </w:tcBorders>
                  <w:vAlign w:val="center"/>
                </w:tcPr>
                <w:p w14:paraId="28928E9B">
                  <w:pPr>
                    <w:keepNext w:val="0"/>
                    <w:keepLines w:val="0"/>
                    <w:suppressLineNumbers w:val="0"/>
                    <w:spacing w:before="0" w:beforeAutospacing="0" w:after="0" w:afterAutospacing="0"/>
                    <w:ind w:left="0" w:right="0"/>
                    <w:jc w:val="center"/>
                    <w:rPr>
                      <w:rFonts w:hint="default" w:cs="Times New Roman"/>
                      <w:highlight w:val="none"/>
                      <w:u w:val="single"/>
                      <w:lang w:val="en-US" w:eastAsia="zh-CN"/>
                    </w:rPr>
                  </w:pPr>
                  <w:r>
                    <w:rPr>
                      <w:rFonts w:hint="eastAsia" w:cs="Times New Roman"/>
                      <w:highlight w:val="none"/>
                      <w:u w:val="single"/>
                      <w:lang w:val="en-US" w:eastAsia="zh-CN"/>
                    </w:rPr>
                    <w:t>0.3396</w:t>
                  </w:r>
                </w:p>
              </w:tc>
              <w:tc>
                <w:tcPr>
                  <w:tcW w:w="1147" w:type="dxa"/>
                  <w:tcBorders>
                    <w:tl2br w:val="nil"/>
                    <w:tr2bl w:val="nil"/>
                  </w:tcBorders>
                  <w:vAlign w:val="center"/>
                </w:tcPr>
                <w:p w14:paraId="2508C2E6">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80.128</w:t>
                  </w:r>
                </w:p>
              </w:tc>
              <w:tc>
                <w:tcPr>
                  <w:tcW w:w="792" w:type="dxa"/>
                  <w:tcBorders>
                    <w:tl2br w:val="nil"/>
                    <w:tr2bl w:val="nil"/>
                  </w:tcBorders>
                  <w:vAlign w:val="center"/>
                </w:tcPr>
                <w:p w14:paraId="15868964">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0.076</w:t>
                  </w:r>
                </w:p>
              </w:tc>
              <w:tc>
                <w:tcPr>
                  <w:tcW w:w="933" w:type="dxa"/>
                  <w:tcBorders>
                    <w:tl2br w:val="nil"/>
                    <w:tr2bl w:val="nil"/>
                  </w:tcBorders>
                  <w:vAlign w:val="center"/>
                </w:tcPr>
                <w:p w14:paraId="3FDB4F89">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eastAsia" w:cs="Times New Roman"/>
                      <w:u w:val="single"/>
                      <w:lang w:val="en-US" w:eastAsia="zh-CN"/>
                    </w:rPr>
                    <w:t>0.0152</w:t>
                  </w:r>
                </w:p>
              </w:tc>
              <w:tc>
                <w:tcPr>
                  <w:tcW w:w="1157" w:type="dxa"/>
                  <w:tcBorders>
                    <w:tl2br w:val="nil"/>
                    <w:tr2bl w:val="nil"/>
                  </w:tcBorders>
                  <w:vAlign w:val="center"/>
                </w:tcPr>
                <w:p w14:paraId="384FA516">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lang w:val="en-US" w:eastAsia="zh-CN"/>
                    </w:rPr>
                  </w:pPr>
                  <w:r>
                    <w:rPr>
                      <w:rFonts w:hint="default" w:ascii="Times New Roman" w:hAnsi="Times New Roman" w:eastAsia="宋体" w:cs="Times New Roman"/>
                      <w:u w:val="single"/>
                      <w:lang w:val="en-US" w:eastAsia="zh-CN"/>
                    </w:rPr>
                    <w:t>3.586</w:t>
                  </w:r>
                </w:p>
              </w:tc>
              <w:tc>
                <w:tcPr>
                  <w:tcW w:w="840" w:type="dxa"/>
                  <w:vMerge w:val="continue"/>
                  <w:tcBorders>
                    <w:tl2br w:val="nil"/>
                    <w:tr2bl w:val="nil"/>
                  </w:tcBorders>
                  <w:vAlign w:val="center"/>
                </w:tcPr>
                <w:p w14:paraId="4358A603">
                  <w:pPr>
                    <w:keepNext w:val="0"/>
                    <w:keepLines w:val="0"/>
                    <w:suppressLineNumbers w:val="0"/>
                    <w:spacing w:before="0" w:beforeAutospacing="0" w:after="0" w:afterAutospacing="0"/>
                    <w:ind w:left="0" w:right="0"/>
                    <w:jc w:val="center"/>
                    <w:rPr>
                      <w:rFonts w:hint="default" w:ascii="Times New Roman" w:hAnsi="Times New Roman" w:eastAsia="宋体" w:cs="Times New Roman"/>
                      <w:u w:val="single"/>
                    </w:rPr>
                  </w:pPr>
                </w:p>
              </w:tc>
            </w:tr>
          </w:tbl>
          <w:p w14:paraId="0A36A77B">
            <w:pPr>
              <w:keepNext w:val="0"/>
              <w:keepLines w:val="0"/>
              <w:widowControl/>
              <w:suppressLineNumbers w:val="0"/>
              <w:adjustRightInd w:val="0"/>
              <w:snapToGrid w:val="0"/>
              <w:spacing w:before="157" w:beforeLines="50" w:beforeAutospacing="0" w:after="0" w:afterAutospacing="0" w:line="360" w:lineRule="auto"/>
              <w:ind w:left="0" w:right="0" w:firstLine="480" w:firstLineChars="200"/>
              <w:rPr>
                <w:rFonts w:hint="default" w:eastAsia="宋体"/>
                <w:sz w:val="24"/>
                <w:lang w:val="en-US" w:eastAsia="zh-CN"/>
              </w:rPr>
            </w:pPr>
            <w:r>
              <w:rPr>
                <w:rFonts w:hint="eastAsia"/>
                <w:sz w:val="24"/>
                <w:u w:val="single"/>
                <w:lang w:val="en-US" w:eastAsia="zh-CN"/>
              </w:rPr>
              <w:t>由上表可知，本项目锅炉废气经布袋除尘器处理后能满足《锅炉大气污染物排放标准》（GB13271-2014）表3大气污染物特别排放限值中燃煤锅炉标准要求。</w:t>
            </w:r>
          </w:p>
          <w:p w14:paraId="0A4CC655">
            <w:pPr>
              <w:keepNext w:val="0"/>
              <w:keepLines w:val="0"/>
              <w:widowControl/>
              <w:numPr>
                <w:ilvl w:val="0"/>
                <w:numId w:val="6"/>
              </w:numPr>
              <w:suppressLineNumbers w:val="0"/>
              <w:adjustRightInd w:val="0"/>
              <w:snapToGrid w:val="0"/>
              <w:spacing w:before="0" w:beforeAutospacing="0" w:after="0" w:afterAutospacing="0" w:line="360" w:lineRule="auto"/>
              <w:ind w:left="0" w:leftChars="0" w:right="0" w:firstLine="480" w:firstLineChars="200"/>
              <w:rPr>
                <w:rFonts w:hint="eastAsia"/>
                <w:sz w:val="24"/>
                <w:u w:val="single"/>
                <w:lang w:val="en-US" w:eastAsia="zh-CN"/>
              </w:rPr>
            </w:pPr>
            <w:r>
              <w:rPr>
                <w:rFonts w:hint="eastAsia"/>
                <w:sz w:val="24"/>
                <w:u w:val="single"/>
                <w:lang w:val="en-US" w:eastAsia="zh-CN"/>
              </w:rPr>
              <w:t>生物质燃料转运废气</w:t>
            </w:r>
          </w:p>
          <w:p w14:paraId="1918302A">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sz w:val="24"/>
                <w:u w:val="single"/>
                <w:lang w:val="en-US" w:eastAsia="zh-CN"/>
              </w:rPr>
            </w:pPr>
            <w:r>
              <w:rPr>
                <w:rFonts w:hint="default"/>
                <w:sz w:val="24"/>
                <w:u w:val="single"/>
                <w:lang w:val="en-US" w:eastAsia="zh-CN"/>
              </w:rPr>
              <w:t>生物质燃料</w:t>
            </w:r>
            <w:r>
              <w:rPr>
                <w:rFonts w:hint="eastAsia"/>
                <w:sz w:val="24"/>
                <w:u w:val="single"/>
                <w:lang w:val="en-US" w:eastAsia="zh-CN"/>
              </w:rPr>
              <w:t>在</w:t>
            </w:r>
            <w:r>
              <w:rPr>
                <w:rFonts w:hint="default"/>
                <w:sz w:val="24"/>
                <w:u w:val="single"/>
                <w:lang w:val="en-US" w:eastAsia="zh-CN"/>
              </w:rPr>
              <w:t>装卸、贮存、输送时</w:t>
            </w:r>
            <w:r>
              <w:rPr>
                <w:rFonts w:hint="eastAsia"/>
                <w:sz w:val="24"/>
                <w:u w:val="single"/>
                <w:lang w:val="en-US" w:eastAsia="zh-CN"/>
              </w:rPr>
              <w:t>会产生粉尘</w:t>
            </w:r>
            <w:r>
              <w:rPr>
                <w:rFonts w:hint="default"/>
                <w:sz w:val="24"/>
                <w:u w:val="single"/>
                <w:lang w:val="en-US" w:eastAsia="zh-CN"/>
              </w:rPr>
              <w:t>，</w:t>
            </w:r>
            <w:r>
              <w:rPr>
                <w:rFonts w:hint="eastAsia"/>
                <w:sz w:val="24"/>
                <w:u w:val="single"/>
                <w:lang w:val="en-US" w:eastAsia="zh-CN"/>
              </w:rPr>
              <w:t>在厂区内</w:t>
            </w:r>
            <w:r>
              <w:rPr>
                <w:rFonts w:hint="default"/>
                <w:sz w:val="24"/>
                <w:u w:val="single"/>
                <w:lang w:val="en-US" w:eastAsia="zh-CN"/>
              </w:rPr>
              <w:t>无组织</w:t>
            </w:r>
            <w:r>
              <w:rPr>
                <w:rFonts w:hint="eastAsia"/>
                <w:sz w:val="24"/>
                <w:u w:val="single"/>
                <w:lang w:val="en-US" w:eastAsia="zh-CN"/>
              </w:rPr>
              <w:t>排放，本项目采用成型生物质燃料，包装袋密封，因此装卸、贮存、输送时产生的废气极少，因此本项目</w:t>
            </w:r>
            <w:r>
              <w:rPr>
                <w:rFonts w:hint="default"/>
                <w:sz w:val="24"/>
                <w:u w:val="single"/>
                <w:lang w:val="en-US" w:eastAsia="zh-CN"/>
              </w:rPr>
              <w:t>仅进行定性分析，不进行定量分析。</w:t>
            </w:r>
          </w:p>
          <w:p w14:paraId="07B6B86E">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sz w:val="24"/>
              </w:rPr>
            </w:pPr>
            <w:r>
              <w:rPr>
                <w:rFonts w:hint="eastAsia"/>
                <w:sz w:val="24"/>
                <w:u w:val="single"/>
                <w:lang w:eastAsia="zh-CN"/>
              </w:rPr>
              <w:t>（</w:t>
            </w:r>
            <w:r>
              <w:rPr>
                <w:rFonts w:hint="eastAsia"/>
                <w:sz w:val="24"/>
                <w:u w:val="single"/>
                <w:lang w:val="en-US" w:eastAsia="zh-CN"/>
              </w:rPr>
              <w:t>3</w:t>
            </w:r>
            <w:r>
              <w:rPr>
                <w:rFonts w:hint="eastAsia"/>
                <w:sz w:val="24"/>
                <w:u w:val="single"/>
                <w:lang w:eastAsia="zh-CN"/>
              </w:rPr>
              <w:t>）</w:t>
            </w:r>
            <w:r>
              <w:rPr>
                <w:rFonts w:hint="eastAsia"/>
                <w:sz w:val="24"/>
                <w:u w:val="single"/>
                <w:lang w:val="en-US" w:eastAsia="zh-CN"/>
              </w:rPr>
              <w:t>油炸</w:t>
            </w:r>
            <w:r>
              <w:rPr>
                <w:rFonts w:hint="default"/>
                <w:sz w:val="24"/>
                <w:u w:val="single"/>
              </w:rPr>
              <w:t>废气</w:t>
            </w:r>
          </w:p>
          <w:p w14:paraId="795535B9">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sz w:val="24"/>
                <w:highlight w:val="none"/>
                <w:u w:val="single"/>
                <w:lang w:val="en-US" w:eastAsia="zh-CN"/>
              </w:rPr>
            </w:pPr>
            <w:r>
              <w:rPr>
                <w:rFonts w:hint="default"/>
                <w:sz w:val="24"/>
                <w:u w:val="single"/>
              </w:rPr>
              <w:t>根据工艺流程，</w:t>
            </w:r>
            <w:r>
              <w:rPr>
                <w:rFonts w:hint="eastAsia"/>
                <w:sz w:val="24"/>
                <w:u w:val="single"/>
                <w:lang w:val="en-US" w:eastAsia="zh-CN"/>
              </w:rPr>
              <w:t>肉制品生产工艺中的油炸工序会产生油炸废气，根据建设单位提供资料，</w:t>
            </w:r>
            <w:r>
              <w:rPr>
                <w:rFonts w:hint="eastAsia"/>
                <w:sz w:val="24"/>
                <w:highlight w:val="none"/>
                <w:u w:val="single"/>
                <w:lang w:val="en-US" w:eastAsia="zh-CN"/>
              </w:rPr>
              <w:t>本项目油炸工序食用油年使用量为500t，熬制辣椒油工序食用油年使用量为100t。</w:t>
            </w:r>
          </w:p>
          <w:p w14:paraId="7E9ED20C">
            <w:pPr>
              <w:keepNext w:val="0"/>
              <w:keepLines w:val="0"/>
              <w:widowControl/>
              <w:suppressLineNumbers w:val="0"/>
              <w:adjustRightInd w:val="0"/>
              <w:snapToGrid w:val="0"/>
              <w:spacing w:before="0" w:beforeAutospacing="0" w:after="0" w:afterAutospacing="0" w:line="360" w:lineRule="auto"/>
              <w:ind w:left="0" w:right="0" w:firstLine="480" w:firstLineChars="200"/>
              <w:rPr>
                <w:rFonts w:hint="eastAsia"/>
                <w:sz w:val="24"/>
                <w:highlight w:val="none"/>
                <w:u w:val="single"/>
                <w:lang w:val="en-US" w:eastAsia="zh-CN"/>
              </w:rPr>
            </w:pPr>
            <w:r>
              <w:rPr>
                <w:rFonts w:hint="default" w:ascii="Times New Roman" w:hAnsi="Times New Roman" w:eastAsia="宋体" w:cs="Times New Roman"/>
                <w:sz w:val="24"/>
                <w:szCs w:val="24"/>
                <w:u w:val="single"/>
                <w:lang w:val="en-US" w:eastAsia="zh-CN"/>
              </w:rPr>
              <w:t>油炸工序油炸工序在专用的油炸机内进行，油炸时间约为21</w:t>
            </w:r>
            <w:r>
              <w:rPr>
                <w:rFonts w:hint="eastAsia" w:ascii="Times New Roman" w:hAnsi="Times New Roman" w:eastAsia="宋体" w:cs="Times New Roman"/>
                <w:sz w:val="24"/>
                <w:szCs w:val="24"/>
                <w:u w:val="single"/>
                <w:lang w:val="en-US" w:eastAsia="zh-CN"/>
              </w:rPr>
              <w:t>12</w:t>
            </w:r>
            <w:r>
              <w:rPr>
                <w:rFonts w:hint="eastAsia" w:cs="Times New Roman"/>
                <w:sz w:val="24"/>
                <w:szCs w:val="24"/>
                <w:u w:val="single"/>
                <w:lang w:val="en-US" w:eastAsia="zh-CN"/>
              </w:rPr>
              <w:t xml:space="preserve"> </w:t>
            </w:r>
            <w:r>
              <w:rPr>
                <w:rFonts w:hint="default" w:ascii="Times New Roman" w:hAnsi="Times New Roman" w:eastAsia="宋体" w:cs="Times New Roman"/>
                <w:sz w:val="24"/>
                <w:szCs w:val="24"/>
                <w:u w:val="single"/>
                <w:lang w:val="en-US" w:eastAsia="zh-CN"/>
              </w:rPr>
              <w:t>h/a</w:t>
            </w:r>
            <w:r>
              <w:rPr>
                <w:rFonts w:hint="eastAsia" w:ascii="Times New Roman" w:hAnsi="Times New Roman" w:eastAsia="宋体" w:cs="Times New Roman"/>
                <w:sz w:val="24"/>
                <w:szCs w:val="24"/>
                <w:u w:val="single"/>
                <w:lang w:val="en-US" w:eastAsia="zh-CN"/>
              </w:rPr>
              <w:t>，</w:t>
            </w:r>
            <w:r>
              <w:rPr>
                <w:rFonts w:hint="default" w:ascii="Times New Roman" w:hAnsi="Times New Roman" w:eastAsia="宋体" w:cs="Times New Roman"/>
                <w:sz w:val="24"/>
                <w:szCs w:val="24"/>
                <w:u w:val="single"/>
                <w:lang w:val="en-US" w:eastAsia="zh-CN"/>
              </w:rPr>
              <w:t>参考《社会区域类环境影响评价》第三版（环境保护部环境评估中心编）第136页表5-13中餐饮炉灶油烟排放因子：未装油烟净化器3.815kg/t，</w:t>
            </w:r>
            <w:r>
              <w:rPr>
                <w:rFonts w:hint="eastAsia" w:cs="Times New Roman"/>
                <w:sz w:val="24"/>
                <w:szCs w:val="24"/>
                <w:u w:val="single"/>
                <w:lang w:val="en-US" w:eastAsia="zh-CN"/>
              </w:rPr>
              <w:t>即</w:t>
            </w:r>
            <w:r>
              <w:rPr>
                <w:rFonts w:hint="default" w:ascii="Times New Roman" w:hAnsi="Times New Roman" w:eastAsia="宋体" w:cs="Times New Roman"/>
                <w:sz w:val="24"/>
                <w:szCs w:val="24"/>
                <w:highlight w:val="none"/>
                <w:u w:val="single"/>
                <w:lang w:val="en-US" w:eastAsia="zh-CN"/>
              </w:rPr>
              <w:t>项目油烟废气产生量为</w:t>
            </w:r>
            <w:r>
              <w:rPr>
                <w:rFonts w:hint="eastAsia" w:ascii="Times New Roman" w:hAnsi="Times New Roman" w:eastAsia="宋体" w:cs="Times New Roman"/>
                <w:sz w:val="24"/>
                <w:szCs w:val="24"/>
                <w:highlight w:val="none"/>
                <w:u w:val="single"/>
                <w:lang w:val="en-US" w:eastAsia="zh-CN"/>
              </w:rPr>
              <w:t>1.908</w:t>
            </w:r>
            <w:r>
              <w:rPr>
                <w:rFonts w:hint="default" w:ascii="Times New Roman" w:hAnsi="Times New Roman" w:eastAsia="宋体" w:cs="Times New Roman"/>
                <w:sz w:val="24"/>
                <w:szCs w:val="24"/>
                <w:highlight w:val="none"/>
                <w:u w:val="single"/>
                <w:lang w:val="en-US" w:eastAsia="zh-CN"/>
              </w:rPr>
              <w:t>t/a，则油烟产生速率约为</w:t>
            </w:r>
            <w:r>
              <w:rPr>
                <w:rFonts w:hint="eastAsia" w:ascii="Times New Roman" w:hAnsi="Times New Roman" w:eastAsia="宋体" w:cs="Times New Roman"/>
                <w:sz w:val="24"/>
                <w:szCs w:val="24"/>
                <w:highlight w:val="none"/>
                <w:u w:val="single"/>
                <w:lang w:val="en-US" w:eastAsia="zh-CN"/>
              </w:rPr>
              <w:t>0.903</w:t>
            </w:r>
            <w:r>
              <w:rPr>
                <w:rFonts w:hint="default" w:ascii="Times New Roman" w:hAnsi="Times New Roman" w:eastAsia="宋体" w:cs="Times New Roman"/>
                <w:sz w:val="24"/>
                <w:szCs w:val="24"/>
                <w:highlight w:val="none"/>
                <w:u w:val="single"/>
                <w:lang w:val="en-US" w:eastAsia="zh-CN"/>
              </w:rPr>
              <w:t>kg/h。</w:t>
            </w:r>
          </w:p>
          <w:p w14:paraId="73374D03">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eastAsia" w:ascii="Times New Roman" w:hAnsi="Times New Roman" w:cs="Times New Roman"/>
                <w:sz w:val="24"/>
                <w:highlight w:val="none"/>
                <w:u w:val="single"/>
                <w:lang w:val="en-US" w:eastAsia="zh-CN"/>
              </w:rPr>
            </w:pPr>
            <w:r>
              <w:rPr>
                <w:rFonts w:hint="default" w:ascii="Times New Roman" w:hAnsi="Times New Roman" w:cs="Times New Roman"/>
                <w:sz w:val="24"/>
                <w:highlight w:val="none"/>
                <w:u w:val="single"/>
                <w:lang w:val="en-US" w:eastAsia="zh-CN"/>
              </w:rPr>
              <w:t>辣椒油熬油工序温度约120℃，低于食用油的发烟温度（170℃），因此辣椒油熬制过程产生的油烟较少，本次评价按照1‰挥发量计算</w:t>
            </w:r>
            <w:r>
              <w:rPr>
                <w:rFonts w:hint="eastAsia" w:ascii="Times New Roman" w:hAnsi="Times New Roman" w:cs="Times New Roman"/>
                <w:sz w:val="24"/>
                <w:highlight w:val="none"/>
                <w:u w:val="single"/>
                <w:lang w:val="en-US" w:eastAsia="zh-CN"/>
              </w:rPr>
              <w:t>，则辣椒油熬制工艺油烟废气产生量为0.1t/a。</w:t>
            </w:r>
          </w:p>
          <w:p w14:paraId="2568BC7D">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lang w:val="en-US" w:eastAsia="zh-CN"/>
              </w:rPr>
            </w:pPr>
            <w:r>
              <w:rPr>
                <w:rFonts w:hint="default"/>
                <w:u w:val="single"/>
                <w:lang w:val="en-US" w:eastAsia="zh-CN"/>
              </w:rPr>
              <w:t>本项目</w:t>
            </w:r>
            <w:r>
              <w:rPr>
                <w:rFonts w:hint="eastAsia"/>
                <w:u w:val="single"/>
                <w:lang w:val="en-US" w:eastAsia="zh-CN"/>
              </w:rPr>
              <w:t>油炸</w:t>
            </w:r>
            <w:r>
              <w:rPr>
                <w:rFonts w:hint="default"/>
                <w:u w:val="single"/>
                <w:lang w:val="en-US" w:eastAsia="zh-CN"/>
              </w:rPr>
              <w:t>工序</w:t>
            </w:r>
            <w:r>
              <w:rPr>
                <w:rFonts w:hint="eastAsia"/>
                <w:u w:val="single"/>
                <w:lang w:val="en-US" w:eastAsia="zh-CN"/>
              </w:rPr>
              <w:t>及辣椒油熬制工序产生废气均由工业静电</w:t>
            </w:r>
            <w:r>
              <w:rPr>
                <w:rFonts w:hint="default"/>
                <w:u w:val="single"/>
                <w:lang w:val="en-US" w:eastAsia="zh-CN"/>
              </w:rPr>
              <w:t>油烟净化</w:t>
            </w:r>
            <w:r>
              <w:rPr>
                <w:rFonts w:hint="eastAsia"/>
                <w:u w:val="single"/>
                <w:lang w:val="en-US" w:eastAsia="zh-CN"/>
              </w:rPr>
              <w:t>处理设备处理，该设备</w:t>
            </w:r>
            <w:r>
              <w:rPr>
                <w:rFonts w:hint="default"/>
                <w:u w:val="single"/>
                <w:lang w:val="en-US" w:eastAsia="zh-CN"/>
              </w:rPr>
              <w:t>处理效率为95%，</w:t>
            </w:r>
            <w:r>
              <w:rPr>
                <w:rFonts w:hint="eastAsia"/>
                <w:u w:val="single"/>
                <w:lang w:val="en-US" w:eastAsia="zh-CN"/>
              </w:rPr>
              <w:t>新增</w:t>
            </w:r>
            <w:r>
              <w:rPr>
                <w:rFonts w:hint="default"/>
                <w:u w:val="single"/>
                <w:lang w:val="en-US" w:eastAsia="zh-CN"/>
              </w:rPr>
              <w:t>风机风量为</w:t>
            </w:r>
            <w:r>
              <w:rPr>
                <w:rFonts w:hint="eastAsia"/>
                <w:u w:val="single"/>
                <w:lang w:val="en-US" w:eastAsia="zh-CN"/>
              </w:rPr>
              <w:t>28000</w:t>
            </w:r>
            <w:r>
              <w:rPr>
                <w:rFonts w:hint="default"/>
                <w:u w:val="single"/>
                <w:lang w:val="en-US" w:eastAsia="zh-CN"/>
              </w:rPr>
              <w:t>m</w:t>
            </w:r>
            <w:r>
              <w:rPr>
                <w:rFonts w:hint="default"/>
                <w:u w:val="single"/>
                <w:vertAlign w:val="superscript"/>
                <w:lang w:val="en-US" w:eastAsia="zh-CN"/>
              </w:rPr>
              <w:t>3</w:t>
            </w:r>
            <w:r>
              <w:rPr>
                <w:rFonts w:hint="default"/>
                <w:u w:val="single"/>
                <w:lang w:val="en-US" w:eastAsia="zh-CN"/>
              </w:rPr>
              <w:t>/h，</w:t>
            </w:r>
            <w:r>
              <w:rPr>
                <w:rFonts w:hint="eastAsia"/>
                <w:u w:val="single"/>
                <w:lang w:val="en-US" w:eastAsia="zh-CN"/>
              </w:rPr>
              <w:t>根据建设方提供资料，厂区鱼制品油炸工序和本项目新增肉制品油炸工序错峰开启，不同时生产。</w:t>
            </w:r>
            <w:r>
              <w:rPr>
                <w:rFonts w:hint="default"/>
                <w:highlight w:val="none"/>
                <w:u w:val="single"/>
                <w:lang w:val="en-US" w:eastAsia="zh-CN"/>
              </w:rPr>
              <w:t>经估算，车间油烟废气排放量</w:t>
            </w:r>
            <w:r>
              <w:rPr>
                <w:rFonts w:hint="eastAsia"/>
                <w:highlight w:val="none"/>
                <w:u w:val="single"/>
                <w:lang w:val="en-US" w:eastAsia="zh-CN"/>
              </w:rPr>
              <w:t>约0.1004</w:t>
            </w:r>
            <w:r>
              <w:rPr>
                <w:rFonts w:hint="default"/>
                <w:highlight w:val="none"/>
                <w:u w:val="single"/>
                <w:lang w:val="en-US" w:eastAsia="zh-CN"/>
              </w:rPr>
              <w:t>t/a，排放速率为</w:t>
            </w:r>
            <w:r>
              <w:rPr>
                <w:rFonts w:hint="eastAsia"/>
                <w:highlight w:val="none"/>
                <w:u w:val="single"/>
                <w:lang w:val="en-US" w:eastAsia="zh-CN"/>
              </w:rPr>
              <w:t>0.048</w:t>
            </w:r>
            <w:r>
              <w:rPr>
                <w:rFonts w:hint="default"/>
                <w:highlight w:val="none"/>
                <w:u w:val="single"/>
                <w:lang w:val="en-US" w:eastAsia="zh-CN"/>
              </w:rPr>
              <w:t>kg/h，排放浓度为</w:t>
            </w:r>
            <w:r>
              <w:rPr>
                <w:rFonts w:hint="eastAsia"/>
                <w:highlight w:val="none"/>
                <w:u w:val="single"/>
                <w:lang w:val="en-US" w:eastAsia="zh-CN"/>
              </w:rPr>
              <w:t>1.7</w:t>
            </w:r>
            <w:r>
              <w:rPr>
                <w:rFonts w:hint="default"/>
                <w:highlight w:val="none"/>
                <w:u w:val="single"/>
                <w:lang w:val="en-US" w:eastAsia="zh-CN"/>
              </w:rPr>
              <w:t>mg/m</w:t>
            </w:r>
            <w:r>
              <w:rPr>
                <w:rFonts w:hint="default"/>
                <w:highlight w:val="none"/>
                <w:u w:val="single"/>
                <w:vertAlign w:val="superscript"/>
                <w:lang w:val="en-US" w:eastAsia="zh-CN"/>
              </w:rPr>
              <w:t>3</w:t>
            </w:r>
            <w:r>
              <w:rPr>
                <w:rFonts w:hint="default"/>
                <w:highlight w:val="none"/>
                <w:u w:val="single"/>
                <w:lang w:val="en-US" w:eastAsia="zh-CN"/>
              </w:rPr>
              <w:t>，经处理后的油烟经21m高DA002排气筒排放</w:t>
            </w:r>
            <w:r>
              <w:rPr>
                <w:rFonts w:hint="eastAsia"/>
                <w:highlight w:val="none"/>
                <w:u w:val="single"/>
                <w:lang w:val="en-US" w:eastAsia="zh-CN"/>
              </w:rPr>
              <w:t>，</w:t>
            </w:r>
            <w:r>
              <w:rPr>
                <w:rFonts w:hint="default"/>
                <w:highlight w:val="none"/>
                <w:u w:val="single"/>
                <w:lang w:val="en-US" w:eastAsia="zh-CN"/>
              </w:rPr>
              <w:t>满足《饮食业油烟排放标准（试行）》（GB18483-2001）要求（2mg/m</w:t>
            </w:r>
            <w:r>
              <w:rPr>
                <w:rFonts w:hint="default"/>
                <w:highlight w:val="none"/>
                <w:u w:val="single"/>
                <w:vertAlign w:val="superscript"/>
                <w:lang w:val="en-US" w:eastAsia="zh-CN"/>
              </w:rPr>
              <w:t>3</w:t>
            </w:r>
            <w:r>
              <w:rPr>
                <w:rFonts w:hint="default"/>
                <w:highlight w:val="none"/>
                <w:u w:val="single"/>
                <w:lang w:val="en-US" w:eastAsia="zh-CN"/>
              </w:rPr>
              <w:t>）</w:t>
            </w:r>
            <w:r>
              <w:rPr>
                <w:rFonts w:hint="eastAsia"/>
                <w:highlight w:val="none"/>
                <w:u w:val="single"/>
                <w:lang w:val="en-US" w:eastAsia="zh-CN"/>
              </w:rPr>
              <w:t>。</w:t>
            </w:r>
          </w:p>
          <w:p w14:paraId="67D5BAE7">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eastAsia="宋体"/>
                <w:sz w:val="24"/>
                <w:u w:val="single"/>
                <w:lang w:val="en-US" w:eastAsia="zh-CN"/>
              </w:rPr>
            </w:pPr>
            <w:r>
              <w:rPr>
                <w:rFonts w:hint="default"/>
                <w:sz w:val="24"/>
                <w:u w:val="single"/>
              </w:rPr>
              <w:t>（</w:t>
            </w:r>
            <w:r>
              <w:rPr>
                <w:rFonts w:hint="eastAsia"/>
                <w:sz w:val="24"/>
                <w:u w:val="single"/>
                <w:lang w:val="en-US" w:eastAsia="zh-CN"/>
              </w:rPr>
              <w:t>4</w:t>
            </w:r>
            <w:r>
              <w:rPr>
                <w:rFonts w:hint="default"/>
                <w:sz w:val="24"/>
                <w:u w:val="single"/>
              </w:rPr>
              <w:t>）</w:t>
            </w:r>
            <w:r>
              <w:rPr>
                <w:rFonts w:hint="eastAsia"/>
                <w:sz w:val="24"/>
                <w:u w:val="single"/>
                <w:lang w:val="en-US" w:eastAsia="zh-CN"/>
              </w:rPr>
              <w:t>车间异味</w:t>
            </w:r>
          </w:p>
          <w:p w14:paraId="0C71C1C3">
            <w:pPr>
              <w:pStyle w:val="1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firstLine="480" w:firstLineChars="200"/>
              <w:textAlignment w:val="auto"/>
              <w:rPr>
                <w:rFonts w:hint="eastAsia"/>
                <w:u w:val="single"/>
                <w:lang w:val="en-US" w:eastAsia="zh-CN"/>
              </w:rPr>
            </w:pPr>
            <w:r>
              <w:rPr>
                <w:rFonts w:hint="eastAsia"/>
                <w:u w:val="single"/>
                <w:lang w:val="en-US" w:eastAsia="zh-CN"/>
              </w:rPr>
              <w:t>本项目肉制品生产工艺和鹌鹑蛋生产工艺的部分生产工序会产生一定的异味，在车间内以无组织形式排放，本环评建议建设单位采取如下措施：</w:t>
            </w:r>
          </w:p>
          <w:p w14:paraId="38AB841E">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eastAsia"/>
                <w:u w:val="single"/>
                <w:lang w:val="en-US" w:eastAsia="zh-CN"/>
              </w:rPr>
            </w:pPr>
            <w:r>
              <w:rPr>
                <w:rFonts w:hint="eastAsia"/>
                <w:u w:val="single"/>
                <w:lang w:val="en-US" w:eastAsia="zh-CN"/>
              </w:rPr>
              <w:t>①生产车间内安装机械通风设备，加强车间内空气流动；</w:t>
            </w:r>
          </w:p>
          <w:p w14:paraId="10B3BFC9">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eastAsia"/>
                <w:lang w:val="en-US" w:eastAsia="zh-CN"/>
              </w:rPr>
            </w:pPr>
            <w:r>
              <w:rPr>
                <w:rFonts w:hint="eastAsia"/>
                <w:u w:val="single"/>
                <w:lang w:val="en-US" w:eastAsia="zh-CN"/>
              </w:rPr>
              <w:t>②加强车间的日常清理工作，做到原料及时清理、设备和地面及时清洗，保持车间干净清洁，以避免物料长期堆积滋生臭气；</w:t>
            </w:r>
          </w:p>
          <w:p w14:paraId="319806D6">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eastAsia"/>
                <w:lang w:val="en-US" w:eastAsia="zh-CN"/>
              </w:rPr>
            </w:pPr>
            <w:r>
              <w:rPr>
                <w:rFonts w:hint="eastAsia"/>
                <w:u w:val="single"/>
                <w:lang w:val="en-US" w:eastAsia="zh-CN"/>
              </w:rPr>
              <w:t>③加强厂区绿化，尤其是污水处理站周边，建议建设单位在道路两旁种植乔木、灌木等，厂界边缘种植杨树、槐树等高大树种，使厂区绿化形成多层防护带，尽量降低恶臭污染的影响程度。</w:t>
            </w:r>
          </w:p>
          <w:p w14:paraId="5ECD021D">
            <w:pPr>
              <w:pStyle w:val="11"/>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ind w:left="0" w:leftChars="0" w:firstLine="480" w:firstLineChars="200"/>
              <w:textAlignment w:val="auto"/>
              <w:rPr>
                <w:rFonts w:hint="eastAsia"/>
                <w:lang w:val="en-US" w:eastAsia="zh-CN"/>
              </w:rPr>
            </w:pPr>
            <w:r>
              <w:rPr>
                <w:rFonts w:hint="eastAsia"/>
                <w:u w:val="single"/>
                <w:lang w:val="en-US" w:eastAsia="zh-CN"/>
              </w:rPr>
              <w:t>通过以上处理措施，车间异味经自然扩散后能达到《恶臭污染物排放标准》（GB14554-1993）中二级新改扩建排放标准，不会对车间环境空气及周围环境产生不良影响。</w:t>
            </w:r>
          </w:p>
          <w:p w14:paraId="0DC553DD">
            <w:pPr>
              <w:keepNext w:val="0"/>
              <w:keepLines w:val="0"/>
              <w:widowControl/>
              <w:suppressLineNumbers w:val="0"/>
              <w:spacing w:before="0" w:beforeAutospacing="0" w:after="0" w:afterAutospacing="0" w:line="360" w:lineRule="auto"/>
              <w:ind w:left="0" w:right="0"/>
              <w:rPr>
                <w:rFonts w:hint="default"/>
                <w:b/>
                <w:bCs/>
                <w:sz w:val="24"/>
                <w:u w:val="single"/>
              </w:rPr>
            </w:pPr>
            <w:r>
              <w:rPr>
                <w:rFonts w:hint="default"/>
                <w:b/>
                <w:bCs/>
                <w:sz w:val="24"/>
              </w:rPr>
              <w:t>1.2</w:t>
            </w:r>
            <w:r>
              <w:rPr>
                <w:rFonts w:hint="default"/>
                <w:b/>
                <w:bCs/>
                <w:sz w:val="24"/>
                <w:u w:val="single"/>
              </w:rPr>
              <w:t>废气污染源汇总</w:t>
            </w:r>
          </w:p>
          <w:p w14:paraId="4677904D">
            <w:pPr>
              <w:keepNext w:val="0"/>
              <w:keepLines w:val="0"/>
              <w:suppressLineNumbers w:val="0"/>
              <w:spacing w:before="0" w:beforeAutospacing="0" w:after="0" w:afterAutospacing="0" w:line="360" w:lineRule="auto"/>
              <w:ind w:left="0" w:right="0" w:firstLine="480" w:firstLineChars="200"/>
              <w:jc w:val="left"/>
              <w:rPr>
                <w:rFonts w:hint="default"/>
                <w:sz w:val="24"/>
                <w:u w:val="single"/>
              </w:rPr>
            </w:pPr>
            <w:r>
              <w:rPr>
                <w:rFonts w:hint="eastAsia"/>
                <w:sz w:val="24"/>
                <w:u w:val="single"/>
                <w:lang w:val="en-US" w:eastAsia="zh-CN"/>
              </w:rPr>
              <w:t>本</w:t>
            </w:r>
            <w:r>
              <w:rPr>
                <w:rFonts w:hint="default"/>
                <w:sz w:val="24"/>
                <w:u w:val="single"/>
              </w:rPr>
              <w:t>项目废气污染源源强核算汇总见表4-</w:t>
            </w:r>
            <w:r>
              <w:rPr>
                <w:rFonts w:hint="eastAsia"/>
                <w:sz w:val="24"/>
                <w:u w:val="single"/>
                <w:lang w:val="en-US" w:eastAsia="zh-CN"/>
              </w:rPr>
              <w:t>3</w:t>
            </w:r>
            <w:r>
              <w:rPr>
                <w:rFonts w:hint="default"/>
                <w:sz w:val="24"/>
                <w:u w:val="single"/>
              </w:rPr>
              <w:t>。</w:t>
            </w:r>
          </w:p>
          <w:p w14:paraId="2C701186">
            <w:pPr>
              <w:pStyle w:val="33"/>
              <w:keepNext w:val="0"/>
              <w:keepLines w:val="0"/>
              <w:numPr>
                <w:ilvl w:val="0"/>
                <w:numId w:val="19"/>
              </w:numPr>
              <w:suppressLineNumbers w:val="0"/>
              <w:spacing w:before="0" w:beforeAutospacing="0" w:after="0" w:afterAutospacing="0"/>
              <w:ind w:right="0" w:firstLineChars="0"/>
              <w:jc w:val="center"/>
              <w:rPr>
                <w:rFonts w:hint="default"/>
                <w:b/>
                <w:sz w:val="24"/>
                <w:u w:val="single"/>
              </w:rPr>
            </w:pPr>
            <w:r>
              <w:rPr>
                <w:rFonts w:hint="default"/>
                <w:b/>
                <w:sz w:val="24"/>
                <w:szCs w:val="24"/>
                <w:u w:val="single"/>
              </w:rPr>
              <w:t>项目废气污染源强源核算一览表</w:t>
            </w:r>
          </w:p>
          <w:tbl>
            <w:tblPr>
              <w:tblStyle w:val="24"/>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77"/>
              <w:gridCol w:w="863"/>
              <w:gridCol w:w="674"/>
              <w:gridCol w:w="667"/>
              <w:gridCol w:w="862"/>
              <w:gridCol w:w="808"/>
              <w:gridCol w:w="517"/>
              <w:gridCol w:w="754"/>
              <w:gridCol w:w="682"/>
              <w:gridCol w:w="581"/>
              <w:gridCol w:w="527"/>
              <w:gridCol w:w="582"/>
            </w:tblGrid>
            <w:tr w14:paraId="2940D7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Merge w:val="restart"/>
                  <w:vAlign w:val="center"/>
                </w:tcPr>
                <w:p w14:paraId="2CA2FC58">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产污工序/污染源</w:t>
                  </w:r>
                </w:p>
              </w:tc>
              <w:tc>
                <w:tcPr>
                  <w:tcW w:w="514" w:type="pct"/>
                  <w:vMerge w:val="restart"/>
                  <w:vAlign w:val="center"/>
                </w:tcPr>
                <w:p w14:paraId="17D19FBD">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排气筒</w:t>
                  </w:r>
                </w:p>
              </w:tc>
              <w:tc>
                <w:tcPr>
                  <w:tcW w:w="401" w:type="pct"/>
                  <w:vMerge w:val="restart"/>
                  <w:vAlign w:val="center"/>
                </w:tcPr>
                <w:p w14:paraId="79A230A1">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污染物</w:t>
                  </w:r>
                </w:p>
              </w:tc>
              <w:tc>
                <w:tcPr>
                  <w:tcW w:w="910" w:type="pct"/>
                  <w:gridSpan w:val="2"/>
                  <w:vAlign w:val="center"/>
                </w:tcPr>
                <w:p w14:paraId="7B29EA52">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产生情况</w:t>
                  </w:r>
                </w:p>
              </w:tc>
              <w:tc>
                <w:tcPr>
                  <w:tcW w:w="789" w:type="pct"/>
                  <w:gridSpan w:val="2"/>
                  <w:vAlign w:val="center"/>
                </w:tcPr>
                <w:p w14:paraId="0A03C55D">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治理措施</w:t>
                  </w:r>
                </w:p>
              </w:tc>
              <w:tc>
                <w:tcPr>
                  <w:tcW w:w="1201" w:type="pct"/>
                  <w:gridSpan w:val="3"/>
                  <w:vAlign w:val="center"/>
                </w:tcPr>
                <w:p w14:paraId="38A89D38">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排放情况</w:t>
                  </w:r>
                </w:p>
              </w:tc>
              <w:tc>
                <w:tcPr>
                  <w:tcW w:w="314" w:type="pct"/>
                  <w:vMerge w:val="restart"/>
                  <w:vAlign w:val="center"/>
                </w:tcPr>
                <w:p w14:paraId="4E78F322">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运行</w:t>
                  </w:r>
                </w:p>
                <w:p w14:paraId="0EAB27F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时间</w:t>
                  </w:r>
                </w:p>
                <w:p w14:paraId="516A3961">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h</w:t>
                  </w:r>
                </w:p>
              </w:tc>
              <w:tc>
                <w:tcPr>
                  <w:tcW w:w="346" w:type="pct"/>
                  <w:vMerge w:val="restart"/>
                  <w:vAlign w:val="center"/>
                </w:tcPr>
                <w:p w14:paraId="20BCCC5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执行</w:t>
                  </w:r>
                </w:p>
                <w:p w14:paraId="66F465F9">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标准</w:t>
                  </w:r>
                </w:p>
                <w:p w14:paraId="3BBD5381">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bCs/>
                      <w:sz w:val="21"/>
                      <w:szCs w:val="21"/>
                      <w:u w:val="single"/>
                    </w:rPr>
                    <w:t>mg/m³</w:t>
                  </w:r>
                </w:p>
              </w:tc>
            </w:tr>
            <w:tr w14:paraId="144465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Merge w:val="continue"/>
                  <w:vAlign w:val="center"/>
                </w:tcPr>
                <w:p w14:paraId="338581B2">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rPr>
                  </w:pPr>
                </w:p>
              </w:tc>
              <w:tc>
                <w:tcPr>
                  <w:tcW w:w="514" w:type="pct"/>
                  <w:vMerge w:val="continue"/>
                  <w:vAlign w:val="center"/>
                </w:tcPr>
                <w:p w14:paraId="44147FA8">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rPr>
                  </w:pPr>
                </w:p>
              </w:tc>
              <w:tc>
                <w:tcPr>
                  <w:tcW w:w="401" w:type="pct"/>
                  <w:vMerge w:val="continue"/>
                  <w:vAlign w:val="center"/>
                </w:tcPr>
                <w:p w14:paraId="48E65865">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rPr>
                  </w:pPr>
                </w:p>
              </w:tc>
              <w:tc>
                <w:tcPr>
                  <w:tcW w:w="397" w:type="pct"/>
                  <w:vAlign w:val="center"/>
                </w:tcPr>
                <w:p w14:paraId="2302A4E7">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产生量t/a</w:t>
                  </w:r>
                </w:p>
              </w:tc>
              <w:tc>
                <w:tcPr>
                  <w:tcW w:w="513" w:type="pct"/>
                  <w:vAlign w:val="center"/>
                </w:tcPr>
                <w:p w14:paraId="1A1C10A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风量</w:t>
                  </w:r>
                </w:p>
              </w:tc>
              <w:tc>
                <w:tcPr>
                  <w:tcW w:w="481" w:type="pct"/>
                  <w:vAlign w:val="center"/>
                </w:tcPr>
                <w:p w14:paraId="1DF0D50E">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处理</w:t>
                  </w:r>
                </w:p>
                <w:p w14:paraId="0C7A1B5E">
                  <w:pPr>
                    <w:pStyle w:val="33"/>
                    <w:keepNext w:val="0"/>
                    <w:keepLines w:val="0"/>
                    <w:suppressLineNumbers w:val="0"/>
                    <w:tabs>
                      <w:tab w:val="left" w:pos="0"/>
                    </w:tabs>
                    <w:spacing w:before="0" w:beforeAutospacing="0" w:after="0" w:afterAutospacing="0"/>
                    <w:ind w:left="0" w:right="0" w:firstLine="0" w:firstLineChars="0"/>
                    <w:jc w:val="center"/>
                    <w:rPr>
                      <w:rFonts w:hint="default"/>
                      <w:b/>
                      <w:sz w:val="21"/>
                      <w:szCs w:val="21"/>
                      <w:u w:val="single"/>
                    </w:rPr>
                  </w:pPr>
                  <w:r>
                    <w:rPr>
                      <w:rFonts w:hint="default"/>
                      <w:b/>
                      <w:sz w:val="21"/>
                      <w:szCs w:val="21"/>
                      <w:u w:val="single"/>
                    </w:rPr>
                    <w:t>工艺</w:t>
                  </w:r>
                </w:p>
              </w:tc>
              <w:tc>
                <w:tcPr>
                  <w:tcW w:w="307" w:type="pct"/>
                  <w:vAlign w:val="center"/>
                </w:tcPr>
                <w:p w14:paraId="2CC37F8B">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处理</w:t>
                  </w:r>
                </w:p>
                <w:p w14:paraId="67B51E07">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效率</w:t>
                  </w:r>
                </w:p>
                <w:p w14:paraId="764A6EB4">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w:t>
                  </w:r>
                </w:p>
              </w:tc>
              <w:tc>
                <w:tcPr>
                  <w:tcW w:w="449" w:type="pct"/>
                  <w:vAlign w:val="center"/>
                </w:tcPr>
                <w:p w14:paraId="4BD78C53">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排放</w:t>
                  </w:r>
                </w:p>
                <w:p w14:paraId="289C8F17">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浓度mg/m</w:t>
                  </w:r>
                  <w:r>
                    <w:rPr>
                      <w:rFonts w:hint="default"/>
                      <w:b/>
                      <w:sz w:val="21"/>
                      <w:szCs w:val="21"/>
                      <w:u w:val="single"/>
                      <w:vertAlign w:val="superscript"/>
                    </w:rPr>
                    <w:t>3</w:t>
                  </w:r>
                </w:p>
              </w:tc>
              <w:tc>
                <w:tcPr>
                  <w:tcW w:w="406" w:type="pct"/>
                  <w:vAlign w:val="center"/>
                </w:tcPr>
                <w:p w14:paraId="5DFD6C4A">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排放</w:t>
                  </w:r>
                </w:p>
                <w:p w14:paraId="2A6414B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速率</w:t>
                  </w:r>
                </w:p>
                <w:p w14:paraId="1CD21316">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kg/h</w:t>
                  </w:r>
                </w:p>
              </w:tc>
              <w:tc>
                <w:tcPr>
                  <w:tcW w:w="346" w:type="pct"/>
                  <w:vAlign w:val="center"/>
                </w:tcPr>
                <w:p w14:paraId="3C3E44A2">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排放量</w:t>
                  </w:r>
                </w:p>
                <w:p w14:paraId="426FA616">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
                      <w:sz w:val="21"/>
                      <w:szCs w:val="21"/>
                      <w:u w:val="single"/>
                    </w:rPr>
                  </w:pPr>
                  <w:r>
                    <w:rPr>
                      <w:rFonts w:hint="default"/>
                      <w:b/>
                      <w:sz w:val="21"/>
                      <w:szCs w:val="21"/>
                      <w:u w:val="single"/>
                    </w:rPr>
                    <w:t>t/a</w:t>
                  </w:r>
                </w:p>
              </w:tc>
              <w:tc>
                <w:tcPr>
                  <w:tcW w:w="314" w:type="pct"/>
                  <w:vMerge w:val="continue"/>
                  <w:vAlign w:val="center"/>
                </w:tcPr>
                <w:p w14:paraId="09C2D69E">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rPr>
                  </w:pPr>
                </w:p>
              </w:tc>
              <w:tc>
                <w:tcPr>
                  <w:tcW w:w="346" w:type="pct"/>
                  <w:vMerge w:val="continue"/>
                  <w:vAlign w:val="center"/>
                </w:tcPr>
                <w:p w14:paraId="0CEDA01D">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rPr>
                  </w:pPr>
                </w:p>
              </w:tc>
            </w:tr>
            <w:tr w14:paraId="2CF382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6" w:hRule="atLeast"/>
                <w:jc w:val="center"/>
              </w:trPr>
              <w:tc>
                <w:tcPr>
                  <w:tcW w:w="522" w:type="pct"/>
                  <w:vMerge w:val="restart"/>
                  <w:vAlign w:val="center"/>
                </w:tcPr>
                <w:p w14:paraId="4BB49B17">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r>
                    <w:rPr>
                      <w:rFonts w:hint="eastAsia"/>
                      <w:bCs/>
                      <w:sz w:val="21"/>
                      <w:szCs w:val="21"/>
                      <w:u w:val="single"/>
                      <w:lang w:val="en-US" w:eastAsia="zh-CN"/>
                    </w:rPr>
                    <w:t>锅炉</w:t>
                  </w:r>
                </w:p>
                <w:p w14:paraId="4CE0F63E">
                  <w:pPr>
                    <w:pStyle w:val="33"/>
                    <w:keepNext w:val="0"/>
                    <w:keepLines w:val="0"/>
                    <w:suppressLineNumbers w:val="0"/>
                    <w:tabs>
                      <w:tab w:val="left" w:pos="0"/>
                    </w:tabs>
                    <w:spacing w:before="0" w:beforeAutospacing="0" w:after="0" w:afterAutospacing="0"/>
                    <w:ind w:left="0" w:right="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废气</w:t>
                  </w:r>
                </w:p>
              </w:tc>
              <w:tc>
                <w:tcPr>
                  <w:tcW w:w="514" w:type="pct"/>
                  <w:vMerge w:val="restart"/>
                  <w:vAlign w:val="center"/>
                </w:tcPr>
                <w:p w14:paraId="588D8CC9">
                  <w:pPr>
                    <w:pStyle w:val="33"/>
                    <w:keepNext w:val="0"/>
                    <w:keepLines w:val="0"/>
                    <w:suppressLineNumbers w:val="0"/>
                    <w:tabs>
                      <w:tab w:val="left" w:pos="0"/>
                    </w:tabs>
                    <w:spacing w:before="0" w:beforeAutospacing="0" w:after="0" w:afterAutospacing="0"/>
                    <w:ind w:left="0" w:right="0" w:firstLine="0" w:firstLineChars="0"/>
                    <w:jc w:val="center"/>
                    <w:rPr>
                      <w:rFonts w:hint="default" w:eastAsia="宋体"/>
                      <w:bCs/>
                      <w:sz w:val="21"/>
                      <w:szCs w:val="21"/>
                      <w:u w:val="single"/>
                      <w:lang w:val="en-US" w:eastAsia="zh-CN"/>
                    </w:rPr>
                  </w:pPr>
                  <w:r>
                    <w:rPr>
                      <w:rFonts w:hint="eastAsia"/>
                      <w:bCs/>
                      <w:sz w:val="21"/>
                      <w:szCs w:val="21"/>
                      <w:u w:val="single"/>
                      <w:lang w:val="en-US" w:eastAsia="zh-CN"/>
                    </w:rPr>
                    <w:t>DA001</w:t>
                  </w:r>
                </w:p>
              </w:tc>
              <w:tc>
                <w:tcPr>
                  <w:tcW w:w="401" w:type="pct"/>
                  <w:vAlign w:val="center"/>
                </w:tcPr>
                <w:p w14:paraId="3532E79F">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rPr>
                  </w:pPr>
                  <w:r>
                    <w:rPr>
                      <w:rFonts w:hint="default"/>
                      <w:bCs/>
                      <w:sz w:val="21"/>
                      <w:szCs w:val="21"/>
                      <w:u w:val="single"/>
                    </w:rPr>
                    <w:t>颗粒物</w:t>
                  </w:r>
                </w:p>
              </w:tc>
              <w:tc>
                <w:tcPr>
                  <w:tcW w:w="397" w:type="pct"/>
                  <w:vAlign w:val="center"/>
                </w:tcPr>
                <w:p w14:paraId="0320376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1.698</w:t>
                  </w:r>
                </w:p>
              </w:tc>
              <w:tc>
                <w:tcPr>
                  <w:tcW w:w="513" w:type="pct"/>
                  <w:vMerge w:val="restart"/>
                  <w:vAlign w:val="center"/>
                </w:tcPr>
                <w:p w14:paraId="3DB4D315">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vertAlign w:val="superscript"/>
                      <w:lang w:val="en-US" w:eastAsia="zh-CN"/>
                    </w:rPr>
                  </w:pPr>
                  <w:r>
                    <w:rPr>
                      <w:rFonts w:hint="eastAsia"/>
                      <w:bCs/>
                      <w:sz w:val="21"/>
                      <w:szCs w:val="21"/>
                      <w:u w:val="single"/>
                      <w:lang w:val="en-US" w:eastAsia="zh-CN"/>
                    </w:rPr>
                    <w:t>21191040</w:t>
                  </w:r>
                </w:p>
                <w:p w14:paraId="4BA24CE9">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vertAlign w:val="baseline"/>
                      <w:lang w:val="en-US" w:eastAsia="zh-CN"/>
                    </w:rPr>
                  </w:pPr>
                  <w:r>
                    <w:rPr>
                      <w:rFonts w:hint="default"/>
                      <w:bCs/>
                      <w:sz w:val="21"/>
                      <w:szCs w:val="21"/>
                      <w:u w:val="single"/>
                      <w:vertAlign w:val="baseline"/>
                      <w:lang w:val="en-US" w:eastAsia="zh-CN"/>
                    </w:rPr>
                    <w:t>Nm</w:t>
                  </w:r>
                  <w:r>
                    <w:rPr>
                      <w:rFonts w:hint="default"/>
                      <w:bCs/>
                      <w:sz w:val="21"/>
                      <w:szCs w:val="21"/>
                      <w:u w:val="single"/>
                      <w:vertAlign w:val="superscript"/>
                      <w:lang w:val="en-US" w:eastAsia="zh-CN"/>
                    </w:rPr>
                    <w:t>3</w:t>
                  </w:r>
                  <w:r>
                    <w:rPr>
                      <w:rFonts w:hint="default"/>
                      <w:bCs/>
                      <w:sz w:val="21"/>
                      <w:szCs w:val="21"/>
                      <w:u w:val="single"/>
                      <w:vertAlign w:val="baseline"/>
                      <w:lang w:val="en-US" w:eastAsia="zh-CN"/>
                    </w:rPr>
                    <w:t>/a</w:t>
                  </w:r>
                </w:p>
              </w:tc>
              <w:tc>
                <w:tcPr>
                  <w:tcW w:w="481" w:type="pct"/>
                  <w:vAlign w:val="center"/>
                </w:tcPr>
                <w:p w14:paraId="7BD1D830">
                  <w:pPr>
                    <w:pStyle w:val="33"/>
                    <w:keepNext w:val="0"/>
                    <w:keepLines w:val="0"/>
                    <w:suppressLineNumbers w:val="0"/>
                    <w:tabs>
                      <w:tab w:val="left" w:pos="0"/>
                    </w:tabs>
                    <w:spacing w:before="0" w:beforeAutospacing="0" w:after="0" w:afterAutospacing="0"/>
                    <w:ind w:left="0" w:right="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旋风除尘+布袋除尘器</w:t>
                  </w:r>
                </w:p>
              </w:tc>
              <w:tc>
                <w:tcPr>
                  <w:tcW w:w="307" w:type="pct"/>
                  <w:vAlign w:val="center"/>
                </w:tcPr>
                <w:p w14:paraId="09F65E75">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highlight w:val="none"/>
                      <w:u w:val="single"/>
                      <w:lang w:val="en-US" w:eastAsia="zh-CN"/>
                    </w:rPr>
                  </w:pPr>
                  <w:r>
                    <w:rPr>
                      <w:rFonts w:hint="eastAsia"/>
                      <w:bCs/>
                      <w:sz w:val="21"/>
                      <w:szCs w:val="21"/>
                      <w:highlight w:val="none"/>
                      <w:u w:val="single"/>
                      <w:lang w:val="en-US" w:eastAsia="zh-CN"/>
                    </w:rPr>
                    <w:t>95.5</w:t>
                  </w:r>
                </w:p>
              </w:tc>
              <w:tc>
                <w:tcPr>
                  <w:tcW w:w="449" w:type="pct"/>
                  <w:vAlign w:val="center"/>
                </w:tcPr>
                <w:p w14:paraId="33C07D19">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highlight w:val="none"/>
                      <w:u w:val="single"/>
                      <w:lang w:val="en-US" w:eastAsia="zh-CN"/>
                    </w:rPr>
                  </w:pPr>
                  <w:r>
                    <w:rPr>
                      <w:rFonts w:hint="eastAsia"/>
                      <w:bCs/>
                      <w:sz w:val="21"/>
                      <w:szCs w:val="21"/>
                      <w:highlight w:val="none"/>
                      <w:u w:val="single"/>
                      <w:lang w:val="en-US" w:eastAsia="zh-CN"/>
                    </w:rPr>
                    <w:t>3.586</w:t>
                  </w:r>
                </w:p>
              </w:tc>
              <w:tc>
                <w:tcPr>
                  <w:tcW w:w="406" w:type="pct"/>
                  <w:vAlign w:val="center"/>
                </w:tcPr>
                <w:p w14:paraId="074C65A9">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highlight w:val="none"/>
                      <w:u w:val="single"/>
                      <w:lang w:val="en-US" w:eastAsia="zh-CN"/>
                    </w:rPr>
                  </w:pPr>
                  <w:r>
                    <w:rPr>
                      <w:rFonts w:hint="eastAsia"/>
                      <w:bCs/>
                      <w:sz w:val="21"/>
                      <w:szCs w:val="21"/>
                      <w:highlight w:val="none"/>
                      <w:u w:val="single"/>
                      <w:lang w:val="en-US" w:eastAsia="zh-CN"/>
                    </w:rPr>
                    <w:t>0.0152</w:t>
                  </w:r>
                </w:p>
              </w:tc>
              <w:tc>
                <w:tcPr>
                  <w:tcW w:w="346" w:type="pct"/>
                  <w:vAlign w:val="center"/>
                </w:tcPr>
                <w:p w14:paraId="2357B98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highlight w:val="none"/>
                      <w:u w:val="single"/>
                      <w:lang w:val="en-US" w:eastAsia="zh-CN"/>
                    </w:rPr>
                  </w:pPr>
                  <w:r>
                    <w:rPr>
                      <w:rFonts w:hint="eastAsia"/>
                      <w:bCs/>
                      <w:sz w:val="21"/>
                      <w:szCs w:val="21"/>
                      <w:highlight w:val="none"/>
                      <w:u w:val="single"/>
                      <w:lang w:val="en-US" w:eastAsia="zh-CN"/>
                    </w:rPr>
                    <w:t>0.076</w:t>
                  </w:r>
                </w:p>
              </w:tc>
              <w:tc>
                <w:tcPr>
                  <w:tcW w:w="314" w:type="pct"/>
                  <w:vMerge w:val="restart"/>
                  <w:vAlign w:val="center"/>
                </w:tcPr>
                <w:p w14:paraId="19930AAC">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5000</w:t>
                  </w:r>
                </w:p>
              </w:tc>
              <w:tc>
                <w:tcPr>
                  <w:tcW w:w="346" w:type="pct"/>
                  <w:vAlign w:val="center"/>
                </w:tcPr>
                <w:p w14:paraId="65C02F8F">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30</w:t>
                  </w:r>
                </w:p>
              </w:tc>
            </w:tr>
            <w:tr w14:paraId="2CCECC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Merge w:val="continue"/>
                  <w:vAlign w:val="center"/>
                </w:tcPr>
                <w:p w14:paraId="1311AA60">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514" w:type="pct"/>
                  <w:vMerge w:val="continue"/>
                  <w:vAlign w:val="center"/>
                </w:tcPr>
                <w:p w14:paraId="18D2EA82">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401" w:type="pct"/>
                  <w:vAlign w:val="center"/>
                </w:tcPr>
                <w:p w14:paraId="4E1DC70F">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二氧化硫</w:t>
                  </w:r>
                </w:p>
              </w:tc>
              <w:tc>
                <w:tcPr>
                  <w:tcW w:w="397" w:type="pct"/>
                  <w:vAlign w:val="center"/>
                </w:tcPr>
                <w:p w14:paraId="7EA907FA">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2.309</w:t>
                  </w:r>
                </w:p>
              </w:tc>
              <w:tc>
                <w:tcPr>
                  <w:tcW w:w="513" w:type="pct"/>
                  <w:vMerge w:val="continue"/>
                  <w:vAlign w:val="center"/>
                </w:tcPr>
                <w:p w14:paraId="1F2D5C53">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rPr>
                  </w:pPr>
                </w:p>
              </w:tc>
              <w:tc>
                <w:tcPr>
                  <w:tcW w:w="481" w:type="pct"/>
                  <w:vAlign w:val="center"/>
                </w:tcPr>
                <w:p w14:paraId="2F889CF2">
                  <w:pPr>
                    <w:pStyle w:val="33"/>
                    <w:keepNext w:val="0"/>
                    <w:keepLines w:val="0"/>
                    <w:suppressLineNumbers w:val="0"/>
                    <w:tabs>
                      <w:tab w:val="left" w:pos="0"/>
                    </w:tabs>
                    <w:spacing w:before="0" w:beforeAutospacing="0" w:after="0" w:afterAutospacing="0"/>
                    <w:ind w:left="0" w:right="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307" w:type="pct"/>
                  <w:vAlign w:val="center"/>
                </w:tcPr>
                <w:p w14:paraId="1494297C">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49" w:type="pct"/>
                  <w:shd w:val="clear" w:color="auto" w:fill="auto"/>
                  <w:vAlign w:val="center"/>
                </w:tcPr>
                <w:p w14:paraId="389E18F4">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ascii="Times New Roman" w:hAnsi="Times New Roman" w:eastAsia="宋体" w:cs="Times New Roman"/>
                      <w:bCs/>
                      <w:kern w:val="2"/>
                      <w:sz w:val="21"/>
                      <w:szCs w:val="21"/>
                      <w:u w:val="single"/>
                      <w:lang w:val="en-US" w:eastAsia="zh-CN" w:bidi="ar-SA"/>
                    </w:rPr>
                  </w:pPr>
                  <w:r>
                    <w:rPr>
                      <w:rFonts w:hint="eastAsia" w:cs="Times New Roman"/>
                      <w:bCs/>
                      <w:kern w:val="2"/>
                      <w:sz w:val="21"/>
                      <w:szCs w:val="21"/>
                      <w:u w:val="single"/>
                      <w:lang w:val="en-US" w:eastAsia="zh-CN" w:bidi="ar-SA"/>
                    </w:rPr>
                    <w:t>108.961</w:t>
                  </w:r>
                </w:p>
              </w:tc>
              <w:tc>
                <w:tcPr>
                  <w:tcW w:w="406" w:type="pct"/>
                  <w:shd w:val="clear" w:color="auto" w:fill="auto"/>
                  <w:vAlign w:val="center"/>
                </w:tcPr>
                <w:p w14:paraId="68574950">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ascii="Times New Roman" w:hAnsi="Times New Roman" w:eastAsia="宋体" w:cs="Times New Roman"/>
                      <w:bCs/>
                      <w:kern w:val="2"/>
                      <w:sz w:val="21"/>
                      <w:szCs w:val="21"/>
                      <w:u w:val="single"/>
                      <w:lang w:val="en-US" w:eastAsia="zh-CN" w:bidi="ar-SA"/>
                    </w:rPr>
                  </w:pPr>
                  <w:r>
                    <w:rPr>
                      <w:rFonts w:hint="eastAsia"/>
                      <w:bCs/>
                      <w:sz w:val="21"/>
                      <w:szCs w:val="21"/>
                      <w:u w:val="single"/>
                      <w:lang w:val="en-US" w:eastAsia="zh-CN"/>
                    </w:rPr>
                    <w:t>0.4618</w:t>
                  </w:r>
                </w:p>
              </w:tc>
              <w:tc>
                <w:tcPr>
                  <w:tcW w:w="346" w:type="pct"/>
                  <w:shd w:val="clear" w:color="auto" w:fill="auto"/>
                  <w:vAlign w:val="center"/>
                </w:tcPr>
                <w:p w14:paraId="16C38FD6">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ascii="Times New Roman" w:hAnsi="Times New Roman" w:eastAsia="宋体" w:cs="Times New Roman"/>
                      <w:bCs/>
                      <w:kern w:val="2"/>
                      <w:sz w:val="21"/>
                      <w:szCs w:val="21"/>
                      <w:u w:val="single"/>
                      <w:lang w:val="en-US" w:eastAsia="zh-CN" w:bidi="ar-SA"/>
                    </w:rPr>
                  </w:pPr>
                  <w:r>
                    <w:rPr>
                      <w:rFonts w:hint="eastAsia"/>
                      <w:bCs/>
                      <w:sz w:val="21"/>
                      <w:szCs w:val="21"/>
                      <w:u w:val="single"/>
                      <w:lang w:val="en-US" w:eastAsia="zh-CN"/>
                    </w:rPr>
                    <w:t>2.309</w:t>
                  </w:r>
                </w:p>
              </w:tc>
              <w:tc>
                <w:tcPr>
                  <w:tcW w:w="314" w:type="pct"/>
                  <w:vMerge w:val="continue"/>
                  <w:vAlign w:val="center"/>
                </w:tcPr>
                <w:p w14:paraId="163974DB">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rPr>
                  </w:pPr>
                </w:p>
              </w:tc>
              <w:tc>
                <w:tcPr>
                  <w:tcW w:w="346" w:type="pct"/>
                  <w:vAlign w:val="center"/>
                </w:tcPr>
                <w:p w14:paraId="4E7A0636">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200</w:t>
                  </w:r>
                </w:p>
              </w:tc>
            </w:tr>
            <w:tr w14:paraId="253EDA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Merge w:val="continue"/>
                  <w:vAlign w:val="center"/>
                </w:tcPr>
                <w:p w14:paraId="79A8F4DB">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514" w:type="pct"/>
                  <w:vMerge w:val="continue"/>
                  <w:vAlign w:val="center"/>
                </w:tcPr>
                <w:p w14:paraId="1D767BD2">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401" w:type="pct"/>
                  <w:vAlign w:val="center"/>
                </w:tcPr>
                <w:p w14:paraId="53BAAF5B">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氮氧化物</w:t>
                  </w:r>
                </w:p>
              </w:tc>
              <w:tc>
                <w:tcPr>
                  <w:tcW w:w="397" w:type="pct"/>
                  <w:vAlign w:val="center"/>
                </w:tcPr>
                <w:p w14:paraId="369AA9D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3.464</w:t>
                  </w:r>
                </w:p>
              </w:tc>
              <w:tc>
                <w:tcPr>
                  <w:tcW w:w="513" w:type="pct"/>
                  <w:vMerge w:val="continue"/>
                  <w:vAlign w:val="center"/>
                </w:tcPr>
                <w:p w14:paraId="57FA9F80">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rPr>
                  </w:pPr>
                </w:p>
              </w:tc>
              <w:tc>
                <w:tcPr>
                  <w:tcW w:w="481" w:type="pct"/>
                  <w:vAlign w:val="center"/>
                </w:tcPr>
                <w:p w14:paraId="622A11C9">
                  <w:pPr>
                    <w:pStyle w:val="33"/>
                    <w:keepNext w:val="0"/>
                    <w:keepLines w:val="0"/>
                    <w:suppressLineNumbers w:val="0"/>
                    <w:tabs>
                      <w:tab w:val="left" w:pos="0"/>
                    </w:tabs>
                    <w:spacing w:before="0" w:beforeAutospacing="0" w:after="0" w:afterAutospacing="0"/>
                    <w:ind w:left="0" w:right="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307" w:type="pct"/>
                  <w:vAlign w:val="center"/>
                </w:tcPr>
                <w:p w14:paraId="3C8DAE45">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49" w:type="pct"/>
                  <w:vAlign w:val="center"/>
                </w:tcPr>
                <w:p w14:paraId="0BA3DEB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163.465</w:t>
                  </w:r>
                </w:p>
              </w:tc>
              <w:tc>
                <w:tcPr>
                  <w:tcW w:w="406" w:type="pct"/>
                  <w:vAlign w:val="center"/>
                </w:tcPr>
                <w:p w14:paraId="1BCADD67">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rPr>
                  </w:pPr>
                  <w:r>
                    <w:rPr>
                      <w:rFonts w:hint="eastAsia"/>
                      <w:bCs/>
                      <w:sz w:val="21"/>
                      <w:szCs w:val="21"/>
                      <w:u w:val="single"/>
                      <w:lang w:val="en-US" w:eastAsia="zh-CN"/>
                    </w:rPr>
                    <w:t>0.6928</w:t>
                  </w:r>
                </w:p>
              </w:tc>
              <w:tc>
                <w:tcPr>
                  <w:tcW w:w="346" w:type="pct"/>
                  <w:vAlign w:val="center"/>
                </w:tcPr>
                <w:p w14:paraId="3D2C5F16">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3.464</w:t>
                  </w:r>
                </w:p>
              </w:tc>
              <w:tc>
                <w:tcPr>
                  <w:tcW w:w="314" w:type="pct"/>
                  <w:vMerge w:val="continue"/>
                  <w:vAlign w:val="center"/>
                </w:tcPr>
                <w:p w14:paraId="001B0CE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rPr>
                  </w:pPr>
                </w:p>
              </w:tc>
              <w:tc>
                <w:tcPr>
                  <w:tcW w:w="346" w:type="pct"/>
                  <w:vAlign w:val="center"/>
                </w:tcPr>
                <w:p w14:paraId="2DA3372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200</w:t>
                  </w:r>
                </w:p>
              </w:tc>
            </w:tr>
            <w:tr w14:paraId="210E38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Align w:val="center"/>
                </w:tcPr>
                <w:p w14:paraId="350FF828">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r>
                    <w:rPr>
                      <w:rFonts w:hint="eastAsia"/>
                      <w:bCs/>
                      <w:sz w:val="21"/>
                      <w:szCs w:val="21"/>
                      <w:u w:val="single"/>
                      <w:lang w:val="en-US" w:eastAsia="zh-CN"/>
                    </w:rPr>
                    <w:t>油炸</w:t>
                  </w:r>
                </w:p>
                <w:p w14:paraId="6E03232A">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rPr>
                  </w:pPr>
                  <w:r>
                    <w:rPr>
                      <w:rFonts w:hint="default"/>
                      <w:bCs/>
                      <w:sz w:val="21"/>
                      <w:szCs w:val="21"/>
                      <w:u w:val="single"/>
                    </w:rPr>
                    <w:t>废气</w:t>
                  </w:r>
                </w:p>
              </w:tc>
              <w:tc>
                <w:tcPr>
                  <w:tcW w:w="514" w:type="pct"/>
                  <w:vAlign w:val="center"/>
                </w:tcPr>
                <w:p w14:paraId="2A20796F">
                  <w:pPr>
                    <w:pStyle w:val="33"/>
                    <w:keepNext w:val="0"/>
                    <w:keepLines w:val="0"/>
                    <w:suppressLineNumbers w:val="0"/>
                    <w:tabs>
                      <w:tab w:val="left" w:pos="0"/>
                    </w:tabs>
                    <w:spacing w:before="0" w:beforeAutospacing="0" w:after="0" w:afterAutospacing="0"/>
                    <w:ind w:left="0" w:right="0" w:firstLine="0" w:firstLineChars="0"/>
                    <w:jc w:val="center"/>
                    <w:rPr>
                      <w:rFonts w:hint="default" w:eastAsia="宋体"/>
                      <w:bCs/>
                      <w:sz w:val="21"/>
                      <w:szCs w:val="21"/>
                      <w:u w:val="single"/>
                      <w:lang w:val="en-US" w:eastAsia="zh-CN"/>
                    </w:rPr>
                  </w:pPr>
                  <w:r>
                    <w:rPr>
                      <w:rFonts w:hint="eastAsia"/>
                      <w:bCs/>
                      <w:sz w:val="21"/>
                      <w:szCs w:val="21"/>
                      <w:u w:val="single"/>
                      <w:lang w:val="en-US" w:eastAsia="zh-CN"/>
                    </w:rPr>
                    <w:t>DA002</w:t>
                  </w:r>
                </w:p>
              </w:tc>
              <w:tc>
                <w:tcPr>
                  <w:tcW w:w="401" w:type="pct"/>
                  <w:vAlign w:val="center"/>
                </w:tcPr>
                <w:p w14:paraId="3D7069C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油烟</w:t>
                  </w:r>
                </w:p>
              </w:tc>
              <w:tc>
                <w:tcPr>
                  <w:tcW w:w="397" w:type="pct"/>
                  <w:vAlign w:val="center"/>
                </w:tcPr>
                <w:p w14:paraId="3D8B7235">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2.008</w:t>
                  </w:r>
                </w:p>
              </w:tc>
              <w:tc>
                <w:tcPr>
                  <w:tcW w:w="513" w:type="pct"/>
                  <w:vAlign w:val="center"/>
                </w:tcPr>
                <w:p w14:paraId="16F0312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28000</w:t>
                  </w:r>
                  <w:r>
                    <w:rPr>
                      <w:rFonts w:hint="default"/>
                      <w:b w:val="0"/>
                      <w:bCs/>
                      <w:sz w:val="21"/>
                      <w:szCs w:val="21"/>
                      <w:u w:val="single"/>
                    </w:rPr>
                    <w:t>m</w:t>
                  </w:r>
                  <w:r>
                    <w:rPr>
                      <w:rFonts w:hint="default"/>
                      <w:b w:val="0"/>
                      <w:bCs/>
                      <w:sz w:val="21"/>
                      <w:szCs w:val="21"/>
                      <w:u w:val="single"/>
                      <w:vertAlign w:val="superscript"/>
                    </w:rPr>
                    <w:t>3</w:t>
                  </w:r>
                  <w:r>
                    <w:rPr>
                      <w:rFonts w:hint="default"/>
                      <w:b w:val="0"/>
                      <w:bCs/>
                      <w:sz w:val="21"/>
                      <w:szCs w:val="21"/>
                      <w:u w:val="single"/>
                    </w:rPr>
                    <w:t>/h</w:t>
                  </w:r>
                </w:p>
              </w:tc>
              <w:tc>
                <w:tcPr>
                  <w:tcW w:w="481" w:type="pct"/>
                  <w:vAlign w:val="center"/>
                </w:tcPr>
                <w:p w14:paraId="662BECCB">
                  <w:pPr>
                    <w:pStyle w:val="33"/>
                    <w:keepNext w:val="0"/>
                    <w:keepLines w:val="0"/>
                    <w:suppressLineNumbers w:val="0"/>
                    <w:tabs>
                      <w:tab w:val="left" w:pos="0"/>
                    </w:tabs>
                    <w:spacing w:before="0" w:beforeAutospacing="0" w:after="0" w:afterAutospacing="0"/>
                    <w:ind w:left="0" w:right="0" w:firstLine="0" w:firstLineChars="0"/>
                    <w:jc w:val="center"/>
                    <w:rPr>
                      <w:rFonts w:hint="default" w:eastAsia="宋体"/>
                      <w:bCs/>
                      <w:sz w:val="21"/>
                      <w:szCs w:val="21"/>
                      <w:u w:val="single"/>
                      <w:lang w:val="en-US" w:eastAsia="zh-CN"/>
                    </w:rPr>
                  </w:pPr>
                  <w:r>
                    <w:rPr>
                      <w:rFonts w:hint="eastAsia"/>
                      <w:bCs/>
                      <w:sz w:val="21"/>
                      <w:szCs w:val="21"/>
                      <w:u w:val="single"/>
                      <w:lang w:val="en-US" w:eastAsia="zh-CN"/>
                    </w:rPr>
                    <w:t>高效油烟净化处理设备</w:t>
                  </w:r>
                </w:p>
              </w:tc>
              <w:tc>
                <w:tcPr>
                  <w:tcW w:w="307" w:type="pct"/>
                  <w:vAlign w:val="center"/>
                </w:tcPr>
                <w:p w14:paraId="78A74AC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95</w:t>
                  </w:r>
                </w:p>
              </w:tc>
              <w:tc>
                <w:tcPr>
                  <w:tcW w:w="449" w:type="pct"/>
                  <w:vAlign w:val="center"/>
                </w:tcPr>
                <w:p w14:paraId="18DFEFAF">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1.7</w:t>
                  </w:r>
                </w:p>
              </w:tc>
              <w:tc>
                <w:tcPr>
                  <w:tcW w:w="406" w:type="pct"/>
                  <w:vAlign w:val="center"/>
                </w:tcPr>
                <w:p w14:paraId="24C551A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0.048</w:t>
                  </w:r>
                </w:p>
              </w:tc>
              <w:tc>
                <w:tcPr>
                  <w:tcW w:w="346" w:type="pct"/>
                  <w:vAlign w:val="center"/>
                </w:tcPr>
                <w:p w14:paraId="41AB299C">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0.1004</w:t>
                  </w:r>
                </w:p>
              </w:tc>
              <w:tc>
                <w:tcPr>
                  <w:tcW w:w="314" w:type="pct"/>
                  <w:vAlign w:val="center"/>
                </w:tcPr>
                <w:p w14:paraId="08D77CD4">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2112</w:t>
                  </w:r>
                </w:p>
              </w:tc>
              <w:tc>
                <w:tcPr>
                  <w:tcW w:w="346" w:type="pct"/>
                  <w:vAlign w:val="center"/>
                </w:tcPr>
                <w:p w14:paraId="2616DF4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eastAsia="zh-CN"/>
                    </w:rPr>
                  </w:pPr>
                  <w:r>
                    <w:rPr>
                      <w:rFonts w:hint="eastAsia"/>
                      <w:bCs/>
                      <w:sz w:val="21"/>
                      <w:szCs w:val="21"/>
                      <w:u w:val="single"/>
                      <w:lang w:val="en-US" w:eastAsia="zh-CN"/>
                    </w:rPr>
                    <w:t>2</w:t>
                  </w:r>
                </w:p>
              </w:tc>
            </w:tr>
            <w:tr w14:paraId="07AC584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22" w:type="pct"/>
                  <w:vMerge w:val="restart"/>
                  <w:vAlign w:val="center"/>
                </w:tcPr>
                <w:p w14:paraId="13DA894D">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r>
                    <w:rPr>
                      <w:rFonts w:hint="eastAsia"/>
                      <w:bCs/>
                      <w:sz w:val="21"/>
                      <w:szCs w:val="21"/>
                      <w:u w:val="single"/>
                      <w:lang w:val="en-US" w:eastAsia="zh-CN"/>
                    </w:rPr>
                    <w:t>车间</w:t>
                  </w:r>
                </w:p>
                <w:p w14:paraId="0463AFCF">
                  <w:pPr>
                    <w:pStyle w:val="33"/>
                    <w:keepNext w:val="0"/>
                    <w:keepLines w:val="0"/>
                    <w:suppressLineNumbers w:val="0"/>
                    <w:tabs>
                      <w:tab w:val="left" w:pos="0"/>
                    </w:tabs>
                    <w:spacing w:before="0" w:beforeAutospacing="0" w:after="0" w:afterAutospacing="0"/>
                    <w:ind w:left="0" w:right="0" w:firstLine="0" w:firstLineChars="0"/>
                    <w:jc w:val="center"/>
                    <w:rPr>
                      <w:rFonts w:hint="default" w:eastAsia="宋体"/>
                      <w:bCs/>
                      <w:sz w:val="21"/>
                      <w:szCs w:val="21"/>
                      <w:u w:val="single"/>
                      <w:lang w:val="en-US" w:eastAsia="zh-CN"/>
                    </w:rPr>
                  </w:pPr>
                  <w:r>
                    <w:rPr>
                      <w:rFonts w:hint="eastAsia"/>
                      <w:bCs/>
                      <w:sz w:val="21"/>
                      <w:szCs w:val="21"/>
                      <w:u w:val="single"/>
                      <w:lang w:val="en-US" w:eastAsia="zh-CN"/>
                    </w:rPr>
                    <w:t>恶臭</w:t>
                  </w:r>
                </w:p>
              </w:tc>
              <w:tc>
                <w:tcPr>
                  <w:tcW w:w="514" w:type="pct"/>
                  <w:vMerge w:val="restart"/>
                  <w:vAlign w:val="center"/>
                </w:tcPr>
                <w:p w14:paraId="3DFD0680">
                  <w:pPr>
                    <w:pStyle w:val="33"/>
                    <w:keepNext w:val="0"/>
                    <w:keepLines w:val="0"/>
                    <w:suppressLineNumbers w:val="0"/>
                    <w:tabs>
                      <w:tab w:val="left" w:pos="0"/>
                    </w:tabs>
                    <w:spacing w:before="0" w:beforeAutospacing="0" w:after="0" w:afterAutospacing="0"/>
                    <w:ind w:left="0" w:right="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厂界</w:t>
                  </w:r>
                </w:p>
              </w:tc>
              <w:tc>
                <w:tcPr>
                  <w:tcW w:w="401" w:type="pct"/>
                  <w:vAlign w:val="center"/>
                </w:tcPr>
                <w:p w14:paraId="44B4389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氨</w:t>
                  </w:r>
                </w:p>
              </w:tc>
              <w:tc>
                <w:tcPr>
                  <w:tcW w:w="397" w:type="pct"/>
                  <w:vAlign w:val="center"/>
                </w:tcPr>
                <w:p w14:paraId="345D74A7">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少量</w:t>
                  </w:r>
                </w:p>
              </w:tc>
              <w:tc>
                <w:tcPr>
                  <w:tcW w:w="513" w:type="pct"/>
                  <w:vAlign w:val="center"/>
                </w:tcPr>
                <w:p w14:paraId="6C4EAAF2">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81" w:type="pct"/>
                  <w:vMerge w:val="restart"/>
                  <w:vAlign w:val="center"/>
                </w:tcPr>
                <w:p w14:paraId="3532635E">
                  <w:pPr>
                    <w:pStyle w:val="33"/>
                    <w:keepNext w:val="0"/>
                    <w:keepLines w:val="0"/>
                    <w:suppressLineNumbers w:val="0"/>
                    <w:tabs>
                      <w:tab w:val="left" w:pos="0"/>
                    </w:tabs>
                    <w:spacing w:before="0" w:beforeAutospacing="0" w:after="0" w:afterAutospacing="0"/>
                    <w:ind w:left="0" w:right="0" w:firstLine="0" w:firstLineChars="0"/>
                    <w:jc w:val="center"/>
                    <w:rPr>
                      <w:rFonts w:hint="default" w:eastAsia="宋体"/>
                      <w:bCs/>
                      <w:sz w:val="21"/>
                      <w:szCs w:val="21"/>
                      <w:u w:val="single"/>
                      <w:lang w:val="en-US" w:eastAsia="zh-CN"/>
                    </w:rPr>
                  </w:pPr>
                  <w:r>
                    <w:rPr>
                      <w:rFonts w:hint="eastAsia"/>
                      <w:bCs/>
                      <w:sz w:val="21"/>
                      <w:szCs w:val="21"/>
                      <w:u w:val="single"/>
                      <w:lang w:val="en-US" w:eastAsia="zh-CN"/>
                    </w:rPr>
                    <w:t>加强车间机械通风</w:t>
                  </w:r>
                </w:p>
              </w:tc>
              <w:tc>
                <w:tcPr>
                  <w:tcW w:w="307" w:type="pct"/>
                  <w:vAlign w:val="center"/>
                </w:tcPr>
                <w:p w14:paraId="3E74E0C1">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49" w:type="pct"/>
                  <w:vAlign w:val="center"/>
                </w:tcPr>
                <w:p w14:paraId="4BA0C55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06" w:type="pct"/>
                  <w:vAlign w:val="center"/>
                </w:tcPr>
                <w:p w14:paraId="0C8069BA">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346" w:type="pct"/>
                  <w:vAlign w:val="center"/>
                </w:tcPr>
                <w:p w14:paraId="04BFB04B">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少量</w:t>
                  </w:r>
                </w:p>
              </w:tc>
              <w:tc>
                <w:tcPr>
                  <w:tcW w:w="314" w:type="pct"/>
                  <w:vAlign w:val="center"/>
                </w:tcPr>
                <w:p w14:paraId="58666249">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346" w:type="pct"/>
                  <w:vAlign w:val="center"/>
                </w:tcPr>
                <w:p w14:paraId="1739C802">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1.5</w:t>
                  </w:r>
                </w:p>
              </w:tc>
            </w:tr>
            <w:tr w14:paraId="122E25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Merge w:val="continue"/>
                  <w:vAlign w:val="center"/>
                </w:tcPr>
                <w:p w14:paraId="7AD86253">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514" w:type="pct"/>
                  <w:vMerge w:val="continue"/>
                  <w:vAlign w:val="center"/>
                </w:tcPr>
                <w:p w14:paraId="2D9CD277">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401" w:type="pct"/>
                  <w:vAlign w:val="center"/>
                </w:tcPr>
                <w:p w14:paraId="0037E64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硫化氢</w:t>
                  </w:r>
                </w:p>
              </w:tc>
              <w:tc>
                <w:tcPr>
                  <w:tcW w:w="397" w:type="pct"/>
                  <w:vAlign w:val="center"/>
                </w:tcPr>
                <w:p w14:paraId="73023BEA">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少量</w:t>
                  </w:r>
                </w:p>
              </w:tc>
              <w:tc>
                <w:tcPr>
                  <w:tcW w:w="513" w:type="pct"/>
                  <w:vAlign w:val="center"/>
                </w:tcPr>
                <w:p w14:paraId="041B68E4">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81" w:type="pct"/>
                  <w:vMerge w:val="continue"/>
                  <w:vAlign w:val="center"/>
                </w:tcPr>
                <w:p w14:paraId="3F3508F7">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rPr>
                  </w:pPr>
                </w:p>
              </w:tc>
              <w:tc>
                <w:tcPr>
                  <w:tcW w:w="307" w:type="pct"/>
                  <w:vAlign w:val="center"/>
                </w:tcPr>
                <w:p w14:paraId="7948E1B6">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49" w:type="pct"/>
                  <w:vAlign w:val="center"/>
                </w:tcPr>
                <w:p w14:paraId="1D9FC817">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406" w:type="pct"/>
                  <w:vAlign w:val="center"/>
                </w:tcPr>
                <w:p w14:paraId="76D601B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346" w:type="pct"/>
                  <w:vAlign w:val="center"/>
                </w:tcPr>
                <w:p w14:paraId="5463979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少量</w:t>
                  </w:r>
                </w:p>
              </w:tc>
              <w:tc>
                <w:tcPr>
                  <w:tcW w:w="314" w:type="pct"/>
                  <w:vAlign w:val="center"/>
                </w:tcPr>
                <w:p w14:paraId="3461C647">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346" w:type="pct"/>
                  <w:vAlign w:val="center"/>
                </w:tcPr>
                <w:p w14:paraId="3557822C">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eastAsia="宋体"/>
                      <w:bCs/>
                      <w:sz w:val="21"/>
                      <w:szCs w:val="21"/>
                      <w:u w:val="single"/>
                      <w:lang w:val="en-US" w:eastAsia="zh-CN"/>
                    </w:rPr>
                  </w:pPr>
                  <w:r>
                    <w:rPr>
                      <w:rFonts w:hint="eastAsia"/>
                      <w:bCs/>
                      <w:sz w:val="21"/>
                      <w:szCs w:val="21"/>
                      <w:u w:val="single"/>
                      <w:lang w:val="en-US" w:eastAsia="zh-CN"/>
                    </w:rPr>
                    <w:t>0.06</w:t>
                  </w:r>
                </w:p>
              </w:tc>
            </w:tr>
            <w:tr w14:paraId="538304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Merge w:val="continue"/>
                  <w:vAlign w:val="center"/>
                </w:tcPr>
                <w:p w14:paraId="35038AC3">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514" w:type="pct"/>
                  <w:vMerge w:val="continue"/>
                  <w:vAlign w:val="center"/>
                </w:tcPr>
                <w:p w14:paraId="20F49C80">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p>
              </w:tc>
              <w:tc>
                <w:tcPr>
                  <w:tcW w:w="401" w:type="pct"/>
                  <w:vAlign w:val="center"/>
                </w:tcPr>
                <w:p w14:paraId="60639FA9">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臭气浓度</w:t>
                  </w:r>
                </w:p>
              </w:tc>
              <w:tc>
                <w:tcPr>
                  <w:tcW w:w="397" w:type="pct"/>
                  <w:vAlign w:val="center"/>
                </w:tcPr>
                <w:p w14:paraId="2F01132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少量</w:t>
                  </w:r>
                </w:p>
              </w:tc>
              <w:tc>
                <w:tcPr>
                  <w:tcW w:w="513" w:type="pct"/>
                  <w:vAlign w:val="center"/>
                </w:tcPr>
                <w:p w14:paraId="107A2E12">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481" w:type="pct"/>
                  <w:vMerge w:val="continue"/>
                  <w:vAlign w:val="center"/>
                </w:tcPr>
                <w:p w14:paraId="7AF693E1">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rPr>
                  </w:pPr>
                </w:p>
              </w:tc>
              <w:tc>
                <w:tcPr>
                  <w:tcW w:w="307" w:type="pct"/>
                  <w:vAlign w:val="center"/>
                </w:tcPr>
                <w:p w14:paraId="41D517CB">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449" w:type="pct"/>
                  <w:vAlign w:val="center"/>
                </w:tcPr>
                <w:p w14:paraId="48B8472F">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406" w:type="pct"/>
                  <w:vAlign w:val="center"/>
                </w:tcPr>
                <w:p w14:paraId="2E44DA02">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346" w:type="pct"/>
                  <w:vAlign w:val="center"/>
                </w:tcPr>
                <w:p w14:paraId="200D165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少量</w:t>
                  </w:r>
                </w:p>
              </w:tc>
              <w:tc>
                <w:tcPr>
                  <w:tcW w:w="314" w:type="pct"/>
                  <w:vAlign w:val="center"/>
                </w:tcPr>
                <w:p w14:paraId="29334ECA">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346" w:type="pct"/>
                  <w:vAlign w:val="center"/>
                </w:tcPr>
                <w:p w14:paraId="6240C705">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20</w:t>
                  </w:r>
                </w:p>
              </w:tc>
            </w:tr>
            <w:tr w14:paraId="019E0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22" w:type="pct"/>
                  <w:vAlign w:val="center"/>
                </w:tcPr>
                <w:p w14:paraId="1340CCA6">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lang w:val="en-US" w:eastAsia="zh-CN"/>
                    </w:rPr>
                  </w:pPr>
                  <w:r>
                    <w:rPr>
                      <w:rFonts w:hint="eastAsia"/>
                      <w:bCs/>
                      <w:sz w:val="21"/>
                      <w:szCs w:val="21"/>
                      <w:u w:val="single"/>
                      <w:lang w:val="en-US" w:eastAsia="zh-CN"/>
                    </w:rPr>
                    <w:t>生物质燃料转运废气</w:t>
                  </w:r>
                </w:p>
              </w:tc>
              <w:tc>
                <w:tcPr>
                  <w:tcW w:w="514" w:type="pct"/>
                  <w:vAlign w:val="center"/>
                </w:tcPr>
                <w:p w14:paraId="4D5279CF">
                  <w:pPr>
                    <w:pStyle w:val="33"/>
                    <w:keepNext w:val="0"/>
                    <w:keepLines w:val="0"/>
                    <w:suppressLineNumbers w:val="0"/>
                    <w:tabs>
                      <w:tab w:val="left" w:pos="0"/>
                    </w:tabs>
                    <w:spacing w:before="0" w:beforeAutospacing="0" w:after="0" w:afterAutospacing="0"/>
                    <w:ind w:left="0" w:right="0" w:firstLine="0" w:firstLineChars="0"/>
                    <w:jc w:val="center"/>
                    <w:rPr>
                      <w:rFonts w:hint="default"/>
                      <w:bCs/>
                      <w:sz w:val="21"/>
                      <w:szCs w:val="21"/>
                      <w:u w:val="single"/>
                      <w:lang w:val="en-US" w:eastAsia="zh-CN"/>
                    </w:rPr>
                  </w:pPr>
                  <w:r>
                    <w:rPr>
                      <w:rFonts w:hint="eastAsia"/>
                      <w:bCs/>
                      <w:sz w:val="21"/>
                      <w:szCs w:val="21"/>
                      <w:u w:val="single"/>
                      <w:lang w:val="en-US" w:eastAsia="zh-CN"/>
                    </w:rPr>
                    <w:t>厂界</w:t>
                  </w:r>
                </w:p>
              </w:tc>
              <w:tc>
                <w:tcPr>
                  <w:tcW w:w="401" w:type="pct"/>
                  <w:vAlign w:val="center"/>
                </w:tcPr>
                <w:p w14:paraId="17A7459F">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颗粒物</w:t>
                  </w:r>
                </w:p>
              </w:tc>
              <w:tc>
                <w:tcPr>
                  <w:tcW w:w="397" w:type="pct"/>
                  <w:vAlign w:val="center"/>
                </w:tcPr>
                <w:p w14:paraId="330BA4F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513" w:type="pct"/>
                  <w:vAlign w:val="center"/>
                </w:tcPr>
                <w:p w14:paraId="130ACED9">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481" w:type="pct"/>
                  <w:vAlign w:val="center"/>
                </w:tcPr>
                <w:p w14:paraId="5306DEE4">
                  <w:pPr>
                    <w:pStyle w:val="33"/>
                    <w:keepNext w:val="0"/>
                    <w:keepLines w:val="0"/>
                    <w:suppressLineNumbers w:val="0"/>
                    <w:tabs>
                      <w:tab w:val="left" w:pos="0"/>
                    </w:tabs>
                    <w:spacing w:before="0" w:beforeAutospacing="0" w:after="0" w:afterAutospacing="0"/>
                    <w:ind w:left="0" w:right="0" w:firstLine="0" w:firstLineChars="0"/>
                    <w:jc w:val="center"/>
                    <w:rPr>
                      <w:rFonts w:hint="eastAsia" w:eastAsia="宋体"/>
                      <w:bCs/>
                      <w:sz w:val="21"/>
                      <w:szCs w:val="21"/>
                      <w:u w:val="single"/>
                      <w:lang w:val="en-US" w:eastAsia="zh-CN"/>
                    </w:rPr>
                  </w:pPr>
                  <w:r>
                    <w:rPr>
                      <w:rFonts w:hint="eastAsia"/>
                      <w:bCs/>
                      <w:sz w:val="21"/>
                      <w:szCs w:val="21"/>
                      <w:u w:val="single"/>
                      <w:lang w:val="en-US" w:eastAsia="zh-CN"/>
                    </w:rPr>
                    <w:t>/</w:t>
                  </w:r>
                </w:p>
              </w:tc>
              <w:tc>
                <w:tcPr>
                  <w:tcW w:w="307" w:type="pct"/>
                  <w:vAlign w:val="center"/>
                </w:tcPr>
                <w:p w14:paraId="55DD852E">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449" w:type="pct"/>
                  <w:vAlign w:val="center"/>
                </w:tcPr>
                <w:p w14:paraId="076C13E2">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406" w:type="pct"/>
                  <w:vAlign w:val="center"/>
                </w:tcPr>
                <w:p w14:paraId="2A50ECF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346" w:type="pct"/>
                  <w:vAlign w:val="center"/>
                </w:tcPr>
                <w:p w14:paraId="165AD8A8">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314" w:type="pct"/>
                  <w:vAlign w:val="center"/>
                </w:tcPr>
                <w:p w14:paraId="61D77FEF">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w:t>
                  </w:r>
                </w:p>
              </w:tc>
              <w:tc>
                <w:tcPr>
                  <w:tcW w:w="346" w:type="pct"/>
                  <w:vAlign w:val="center"/>
                </w:tcPr>
                <w:p w14:paraId="3FC09010">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default"/>
                      <w:bCs/>
                      <w:sz w:val="21"/>
                      <w:szCs w:val="21"/>
                      <w:u w:val="single"/>
                      <w:lang w:val="en-US" w:eastAsia="zh-CN"/>
                    </w:rPr>
                  </w:pPr>
                  <w:r>
                    <w:rPr>
                      <w:rFonts w:hint="eastAsia"/>
                      <w:bCs/>
                      <w:sz w:val="21"/>
                      <w:szCs w:val="21"/>
                      <w:u w:val="single"/>
                      <w:lang w:val="en-US" w:eastAsia="zh-CN"/>
                    </w:rPr>
                    <w:t>1</w:t>
                  </w:r>
                </w:p>
              </w:tc>
            </w:tr>
          </w:tbl>
          <w:p w14:paraId="6CD060F9">
            <w:pPr>
              <w:keepNext w:val="0"/>
              <w:keepLines w:val="0"/>
              <w:pageBreakBefore w:val="0"/>
              <w:widowControl/>
              <w:suppressLineNumbers w:val="0"/>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textAlignment w:val="auto"/>
              <w:rPr>
                <w:rFonts w:hint="default" w:eastAsia="宋体"/>
                <w:b w:val="0"/>
                <w:bCs w:val="0"/>
                <w:sz w:val="24"/>
                <w:lang w:val="en-US" w:eastAsia="zh-CN"/>
              </w:rPr>
            </w:pPr>
            <w:r>
              <w:rPr>
                <w:rFonts w:hint="eastAsia"/>
                <w:b w:val="0"/>
                <w:bCs w:val="0"/>
                <w:sz w:val="24"/>
                <w:u w:val="single"/>
                <w:lang w:val="en-US" w:eastAsia="zh-CN"/>
              </w:rPr>
              <w:t>由上表可知，本项目锅炉废气经单管旋风除尘+布袋除尘器处理后能满足《锅炉大气污染物排放标准》（GB13271-2014）表3大气污染物特别排放限值中燃煤锅炉标准要求；油炸废气经静电式油烟净化设备处理后排放浓度能满足《饮食业油烟排放标准（试行）》（GB18483-2001）要求；车间异味能达到《恶臭污染物排放标准》（GB14554-1993）中二级排放标准，厂界颗粒物能达到《大气污染物综合排放标准》（GB16297-1996）中表2无组织排放限值要求。</w:t>
            </w:r>
          </w:p>
          <w:p w14:paraId="48119834">
            <w:pPr>
              <w:keepNext w:val="0"/>
              <w:keepLines w:val="0"/>
              <w:widowControl/>
              <w:suppressLineNumbers w:val="0"/>
              <w:spacing w:before="0" w:beforeLines="0" w:beforeAutospacing="0" w:after="0" w:afterAutospacing="0" w:line="360" w:lineRule="auto"/>
              <w:ind w:left="0" w:right="0"/>
              <w:rPr>
                <w:rFonts w:hint="default"/>
                <w:b/>
                <w:bCs/>
                <w:sz w:val="24"/>
                <w:u w:val="single"/>
              </w:rPr>
            </w:pPr>
            <w:r>
              <w:rPr>
                <w:rFonts w:hint="default"/>
                <w:b/>
                <w:bCs/>
                <w:sz w:val="24"/>
                <w:u w:val="none"/>
              </w:rPr>
              <w:t>1.</w:t>
            </w:r>
            <w:r>
              <w:rPr>
                <w:rFonts w:hint="eastAsia"/>
                <w:b/>
                <w:bCs/>
                <w:sz w:val="24"/>
                <w:u w:val="none"/>
                <w:lang w:val="en-US" w:eastAsia="zh-CN"/>
              </w:rPr>
              <w:t>3</w:t>
            </w:r>
            <w:r>
              <w:rPr>
                <w:rFonts w:hint="default"/>
                <w:b/>
                <w:bCs/>
                <w:sz w:val="24"/>
                <w:u w:val="single"/>
              </w:rPr>
              <w:t>废气排放情况</w:t>
            </w:r>
          </w:p>
          <w:p w14:paraId="2C7BD563">
            <w:pPr>
              <w:keepNext w:val="0"/>
              <w:keepLines w:val="0"/>
              <w:widowControl/>
              <w:suppressLineNumbers w:val="0"/>
              <w:spacing w:before="0" w:beforeAutospacing="0" w:after="0" w:afterAutospacing="0" w:line="360" w:lineRule="auto"/>
              <w:ind w:left="0" w:right="0" w:firstLine="480" w:firstLineChars="200"/>
              <w:rPr>
                <w:rFonts w:hint="default"/>
                <w:sz w:val="24"/>
                <w:u w:val="single"/>
              </w:rPr>
            </w:pPr>
            <w:r>
              <w:rPr>
                <w:rFonts w:hint="default"/>
                <w:sz w:val="24"/>
                <w:u w:val="single"/>
              </w:rPr>
              <w:t>1、项目废气产排污节点、污染物及污染治理设施情况</w:t>
            </w:r>
          </w:p>
          <w:p w14:paraId="26F24827">
            <w:pPr>
              <w:pStyle w:val="33"/>
              <w:keepNext w:val="0"/>
              <w:keepLines w:val="0"/>
              <w:numPr>
                <w:ilvl w:val="0"/>
                <w:numId w:val="19"/>
              </w:numPr>
              <w:suppressLineNumbers w:val="0"/>
              <w:spacing w:before="0" w:beforeAutospacing="0" w:after="0" w:afterAutospacing="0"/>
              <w:ind w:right="0" w:firstLineChars="0"/>
              <w:jc w:val="center"/>
              <w:rPr>
                <w:rFonts w:hint="default"/>
                <w:b/>
                <w:sz w:val="24"/>
                <w:u w:val="single"/>
              </w:rPr>
            </w:pPr>
            <w:r>
              <w:rPr>
                <w:rFonts w:hint="eastAsia"/>
                <w:b/>
                <w:sz w:val="24"/>
                <w:szCs w:val="24"/>
                <w:u w:val="single"/>
                <w:lang w:val="en-US" w:eastAsia="zh-CN"/>
              </w:rPr>
              <w:t>本项目</w:t>
            </w:r>
            <w:r>
              <w:rPr>
                <w:rFonts w:hint="default"/>
                <w:b/>
                <w:sz w:val="24"/>
                <w:szCs w:val="24"/>
                <w:u w:val="single"/>
              </w:rPr>
              <w:t>废气产排污节点、污染物及污染治理设施信息</w:t>
            </w:r>
            <w:r>
              <w:rPr>
                <w:rFonts w:hint="eastAsia"/>
                <w:b/>
                <w:sz w:val="24"/>
                <w:szCs w:val="24"/>
                <w:u w:val="single"/>
                <w:lang w:val="en-US" w:eastAsia="zh-CN"/>
              </w:rPr>
              <w:t>一览</w:t>
            </w:r>
            <w:r>
              <w:rPr>
                <w:rFonts w:hint="default"/>
                <w:b/>
                <w:sz w:val="24"/>
                <w:szCs w:val="24"/>
                <w:u w:val="single"/>
              </w:rPr>
              <w:t>表</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87"/>
              <w:gridCol w:w="956"/>
              <w:gridCol w:w="884"/>
              <w:gridCol w:w="472"/>
              <w:gridCol w:w="1892"/>
              <w:gridCol w:w="921"/>
              <w:gridCol w:w="908"/>
              <w:gridCol w:w="1976"/>
            </w:tblGrid>
            <w:tr w14:paraId="767044F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5" w:hRule="atLeast"/>
                <w:jc w:val="center"/>
              </w:trPr>
              <w:tc>
                <w:tcPr>
                  <w:tcW w:w="230" w:type="pct"/>
                  <w:vMerge w:val="restart"/>
                  <w:tcBorders>
                    <w:tl2br w:val="nil"/>
                    <w:tr2bl w:val="nil"/>
                  </w:tcBorders>
                  <w:vAlign w:val="center"/>
                </w:tcPr>
                <w:p w14:paraId="07DEE44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序号</w:t>
                  </w:r>
                </w:p>
              </w:tc>
              <w:tc>
                <w:tcPr>
                  <w:tcW w:w="569" w:type="pct"/>
                  <w:vMerge w:val="restart"/>
                  <w:tcBorders>
                    <w:tl2br w:val="nil"/>
                    <w:tr2bl w:val="nil"/>
                  </w:tcBorders>
                  <w:vAlign w:val="center"/>
                </w:tcPr>
                <w:p w14:paraId="4B1D0B8D">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污染源</w:t>
                  </w:r>
                </w:p>
              </w:tc>
              <w:tc>
                <w:tcPr>
                  <w:tcW w:w="526" w:type="pct"/>
                  <w:vMerge w:val="restart"/>
                  <w:tcBorders>
                    <w:tl2br w:val="nil"/>
                    <w:tr2bl w:val="nil"/>
                  </w:tcBorders>
                  <w:vAlign w:val="center"/>
                </w:tcPr>
                <w:p w14:paraId="18F8749C">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污染物种类</w:t>
                  </w:r>
                </w:p>
              </w:tc>
              <w:tc>
                <w:tcPr>
                  <w:tcW w:w="281" w:type="pct"/>
                  <w:vMerge w:val="restart"/>
                  <w:tcBorders>
                    <w:tl2br w:val="nil"/>
                    <w:tr2bl w:val="nil"/>
                  </w:tcBorders>
                  <w:vAlign w:val="center"/>
                </w:tcPr>
                <w:p w14:paraId="4FB8FE4E">
                  <w:pPr>
                    <w:keepNext w:val="0"/>
                    <w:keepLines w:val="0"/>
                    <w:widowControl/>
                    <w:suppressLineNumbers w:val="0"/>
                    <w:autoSpaceDE w:val="0"/>
                    <w:adjustRightInd w:val="0"/>
                    <w:spacing w:before="0" w:beforeAutospacing="0" w:after="0" w:afterAutospacing="0"/>
                    <w:ind w:left="-105" w:leftChars="-50" w:right="-105" w:rightChars="-50"/>
                    <w:contextualSpacing/>
                    <w:jc w:val="center"/>
                    <w:rPr>
                      <w:rFonts w:hint="default"/>
                      <w:b/>
                      <w:bCs/>
                      <w:szCs w:val="21"/>
                      <w:u w:val="single"/>
                    </w:rPr>
                  </w:pPr>
                  <w:r>
                    <w:rPr>
                      <w:rFonts w:hint="default"/>
                      <w:b/>
                      <w:bCs/>
                      <w:szCs w:val="21"/>
                      <w:u w:val="single"/>
                    </w:rPr>
                    <w:t>排放</w:t>
                  </w:r>
                </w:p>
                <w:p w14:paraId="6BB1E8E6">
                  <w:pPr>
                    <w:keepNext w:val="0"/>
                    <w:keepLines w:val="0"/>
                    <w:widowControl/>
                    <w:suppressLineNumbers w:val="0"/>
                    <w:autoSpaceDE w:val="0"/>
                    <w:adjustRightInd w:val="0"/>
                    <w:spacing w:before="0" w:beforeAutospacing="0" w:after="0" w:afterAutospacing="0"/>
                    <w:ind w:left="-105" w:leftChars="-50" w:right="-105" w:rightChars="-50"/>
                    <w:contextualSpacing/>
                    <w:jc w:val="center"/>
                    <w:rPr>
                      <w:rFonts w:hint="default"/>
                      <w:b/>
                      <w:bCs/>
                      <w:szCs w:val="21"/>
                      <w:u w:val="single"/>
                    </w:rPr>
                  </w:pPr>
                  <w:r>
                    <w:rPr>
                      <w:rFonts w:hint="default"/>
                      <w:b/>
                      <w:bCs/>
                      <w:szCs w:val="21"/>
                      <w:u w:val="single"/>
                    </w:rPr>
                    <w:t>形式</w:t>
                  </w:r>
                </w:p>
              </w:tc>
              <w:tc>
                <w:tcPr>
                  <w:tcW w:w="1674" w:type="pct"/>
                  <w:gridSpan w:val="2"/>
                  <w:tcBorders>
                    <w:tl2br w:val="nil"/>
                    <w:tr2bl w:val="nil"/>
                  </w:tcBorders>
                  <w:vAlign w:val="center"/>
                </w:tcPr>
                <w:p w14:paraId="423E8EA7">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污染防治设施及工艺</w:t>
                  </w:r>
                </w:p>
              </w:tc>
              <w:tc>
                <w:tcPr>
                  <w:tcW w:w="540" w:type="pct"/>
                  <w:vMerge w:val="restart"/>
                  <w:tcBorders>
                    <w:tl2br w:val="nil"/>
                    <w:tr2bl w:val="nil"/>
                  </w:tcBorders>
                  <w:vAlign w:val="center"/>
                </w:tcPr>
                <w:p w14:paraId="188EC6AA">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排放口编号</w:t>
                  </w:r>
                </w:p>
              </w:tc>
              <w:tc>
                <w:tcPr>
                  <w:tcW w:w="1176" w:type="pct"/>
                  <w:vMerge w:val="restart"/>
                  <w:tcBorders>
                    <w:tl2br w:val="nil"/>
                    <w:tr2bl w:val="nil"/>
                  </w:tcBorders>
                  <w:vAlign w:val="center"/>
                </w:tcPr>
                <w:p w14:paraId="39D54FC4">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排放</w:t>
                  </w:r>
                </w:p>
                <w:p w14:paraId="536305AB">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标准</w:t>
                  </w:r>
                </w:p>
              </w:tc>
            </w:tr>
            <w:tr w14:paraId="692FC30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230" w:type="pct"/>
                  <w:vMerge w:val="continue"/>
                  <w:tcBorders>
                    <w:tl2br w:val="nil"/>
                    <w:tr2bl w:val="nil"/>
                  </w:tcBorders>
                  <w:vAlign w:val="center"/>
                </w:tcPr>
                <w:p w14:paraId="591A4D1D">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69" w:type="pct"/>
                  <w:vMerge w:val="continue"/>
                  <w:tcBorders>
                    <w:tl2br w:val="nil"/>
                    <w:tr2bl w:val="nil"/>
                  </w:tcBorders>
                  <w:vAlign w:val="center"/>
                </w:tcPr>
                <w:p w14:paraId="18F16CD5">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p>
              </w:tc>
              <w:tc>
                <w:tcPr>
                  <w:tcW w:w="526" w:type="pct"/>
                  <w:vMerge w:val="continue"/>
                  <w:tcBorders>
                    <w:tl2br w:val="nil"/>
                    <w:tr2bl w:val="nil"/>
                  </w:tcBorders>
                  <w:vAlign w:val="center"/>
                </w:tcPr>
                <w:p w14:paraId="2815CE02">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281" w:type="pct"/>
                  <w:vMerge w:val="continue"/>
                  <w:tcBorders>
                    <w:tl2br w:val="nil"/>
                    <w:tr2bl w:val="nil"/>
                  </w:tcBorders>
                  <w:vAlign w:val="center"/>
                </w:tcPr>
                <w:p w14:paraId="119AD725">
                  <w:pPr>
                    <w:keepNext w:val="0"/>
                    <w:keepLines w:val="0"/>
                    <w:widowControl/>
                    <w:suppressLineNumbers w:val="0"/>
                    <w:autoSpaceDE w:val="0"/>
                    <w:adjustRightInd w:val="0"/>
                    <w:spacing w:before="0" w:beforeAutospacing="0" w:after="0" w:afterAutospacing="0"/>
                    <w:ind w:left="-105" w:leftChars="-50" w:right="-105" w:rightChars="-50"/>
                    <w:contextualSpacing/>
                    <w:jc w:val="center"/>
                    <w:rPr>
                      <w:rFonts w:hint="default"/>
                      <w:szCs w:val="21"/>
                      <w:u w:val="single"/>
                    </w:rPr>
                  </w:pPr>
                </w:p>
              </w:tc>
              <w:tc>
                <w:tcPr>
                  <w:tcW w:w="1126" w:type="pct"/>
                  <w:tcBorders>
                    <w:tl2br w:val="nil"/>
                    <w:tr2bl w:val="nil"/>
                  </w:tcBorders>
                  <w:vAlign w:val="center"/>
                </w:tcPr>
                <w:p w14:paraId="12DFCA1B">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污染防治设施名称及工艺</w:t>
                  </w:r>
                </w:p>
              </w:tc>
              <w:tc>
                <w:tcPr>
                  <w:tcW w:w="548" w:type="pct"/>
                  <w:tcBorders>
                    <w:tl2br w:val="nil"/>
                    <w:tr2bl w:val="nil"/>
                  </w:tcBorders>
                  <w:vAlign w:val="center"/>
                </w:tcPr>
                <w:p w14:paraId="4C45F048">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b/>
                      <w:bCs/>
                      <w:szCs w:val="21"/>
                      <w:u w:val="single"/>
                    </w:rPr>
                  </w:pPr>
                  <w:r>
                    <w:rPr>
                      <w:rFonts w:hint="default"/>
                      <w:b/>
                      <w:bCs/>
                      <w:szCs w:val="21"/>
                      <w:u w:val="single"/>
                    </w:rPr>
                    <w:t>是否为可行技术</w:t>
                  </w:r>
                </w:p>
              </w:tc>
              <w:tc>
                <w:tcPr>
                  <w:tcW w:w="540" w:type="pct"/>
                  <w:vMerge w:val="continue"/>
                  <w:tcBorders>
                    <w:tl2br w:val="nil"/>
                    <w:tr2bl w:val="nil"/>
                  </w:tcBorders>
                  <w:vAlign w:val="center"/>
                </w:tcPr>
                <w:p w14:paraId="35BA5F12">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76" w:type="pct"/>
                  <w:vMerge w:val="continue"/>
                  <w:tcBorders>
                    <w:tl2br w:val="nil"/>
                    <w:tr2bl w:val="nil"/>
                  </w:tcBorders>
                  <w:vAlign w:val="center"/>
                </w:tcPr>
                <w:p w14:paraId="20CB29C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r>
            <w:tr w14:paraId="1D2093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84" w:hRule="atLeast"/>
                <w:jc w:val="center"/>
              </w:trPr>
              <w:tc>
                <w:tcPr>
                  <w:tcW w:w="230" w:type="pct"/>
                  <w:vMerge w:val="restart"/>
                  <w:tcBorders>
                    <w:tl2br w:val="nil"/>
                    <w:tr2bl w:val="nil"/>
                  </w:tcBorders>
                  <w:vAlign w:val="center"/>
                </w:tcPr>
                <w:p w14:paraId="73283F94">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rPr>
                    <w:t>1</w:t>
                  </w:r>
                </w:p>
              </w:tc>
              <w:tc>
                <w:tcPr>
                  <w:tcW w:w="569" w:type="pct"/>
                  <w:vMerge w:val="restart"/>
                  <w:tcBorders>
                    <w:tl2br w:val="nil"/>
                    <w:tr2bl w:val="nil"/>
                  </w:tcBorders>
                  <w:vAlign w:val="center"/>
                </w:tcPr>
                <w:p w14:paraId="2B0ABA97">
                  <w:pPr>
                    <w:pStyle w:val="33"/>
                    <w:keepNext w:val="0"/>
                    <w:keepLines w:val="0"/>
                    <w:suppressLineNumbers w:val="0"/>
                    <w:tabs>
                      <w:tab w:val="left" w:pos="0"/>
                    </w:tabs>
                    <w:spacing w:before="0" w:beforeAutospacing="0" w:after="0" w:afterAutospacing="0"/>
                    <w:ind w:left="0" w:right="0" w:firstLine="0" w:firstLineChars="0"/>
                    <w:jc w:val="center"/>
                    <w:rPr>
                      <w:rFonts w:hint="eastAsia"/>
                      <w:sz w:val="21"/>
                      <w:szCs w:val="21"/>
                      <w:u w:val="single"/>
                      <w:lang w:val="en-US" w:eastAsia="zh-CN"/>
                    </w:rPr>
                  </w:pPr>
                  <w:r>
                    <w:rPr>
                      <w:rFonts w:hint="eastAsia"/>
                      <w:sz w:val="21"/>
                      <w:szCs w:val="21"/>
                      <w:u w:val="single"/>
                      <w:lang w:val="en-US" w:eastAsia="zh-CN"/>
                    </w:rPr>
                    <w:t>锅炉</w:t>
                  </w:r>
                </w:p>
                <w:p w14:paraId="0DB29B6A">
                  <w:pPr>
                    <w:pStyle w:val="33"/>
                    <w:keepNext w:val="0"/>
                    <w:keepLines w:val="0"/>
                    <w:suppressLineNumbers w:val="0"/>
                    <w:tabs>
                      <w:tab w:val="left" w:pos="0"/>
                    </w:tabs>
                    <w:spacing w:before="0" w:beforeAutospacing="0" w:after="0" w:afterAutospacing="0"/>
                    <w:ind w:left="0" w:right="0" w:firstLine="0" w:firstLineChars="0"/>
                    <w:jc w:val="center"/>
                    <w:rPr>
                      <w:rFonts w:hint="eastAsia" w:eastAsia="宋体"/>
                      <w:sz w:val="21"/>
                      <w:szCs w:val="21"/>
                      <w:u w:val="single"/>
                      <w:lang w:val="en-US" w:eastAsia="zh-CN"/>
                    </w:rPr>
                  </w:pPr>
                  <w:r>
                    <w:rPr>
                      <w:rFonts w:hint="eastAsia"/>
                      <w:sz w:val="21"/>
                      <w:szCs w:val="21"/>
                      <w:u w:val="single"/>
                      <w:lang w:val="en-US" w:eastAsia="zh-CN"/>
                    </w:rPr>
                    <w:t>废气</w:t>
                  </w:r>
                </w:p>
              </w:tc>
              <w:tc>
                <w:tcPr>
                  <w:tcW w:w="526" w:type="pct"/>
                  <w:tcBorders>
                    <w:tl2br w:val="nil"/>
                    <w:tr2bl w:val="nil"/>
                  </w:tcBorders>
                  <w:vAlign w:val="center"/>
                </w:tcPr>
                <w:p w14:paraId="1A6001EB">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rPr>
                    <w:t>颗粒物</w:t>
                  </w:r>
                </w:p>
              </w:tc>
              <w:tc>
                <w:tcPr>
                  <w:tcW w:w="281" w:type="pct"/>
                  <w:vMerge w:val="restart"/>
                  <w:tcBorders>
                    <w:tl2br w:val="nil"/>
                    <w:tr2bl w:val="nil"/>
                  </w:tcBorders>
                  <w:vAlign w:val="center"/>
                </w:tcPr>
                <w:p w14:paraId="78F56564">
                  <w:pPr>
                    <w:keepNext w:val="0"/>
                    <w:keepLines w:val="0"/>
                    <w:widowControl/>
                    <w:suppressLineNumbers w:val="0"/>
                    <w:autoSpaceDE w:val="0"/>
                    <w:adjustRightInd w:val="0"/>
                    <w:spacing w:before="0" w:beforeAutospacing="0" w:after="0" w:afterAutospacing="0"/>
                    <w:ind w:left="-105" w:leftChars="-50" w:right="-105" w:rightChars="-50"/>
                    <w:contextualSpacing/>
                    <w:jc w:val="center"/>
                    <w:rPr>
                      <w:rFonts w:hint="default"/>
                      <w:szCs w:val="21"/>
                      <w:u w:val="single"/>
                    </w:rPr>
                  </w:pPr>
                  <w:r>
                    <w:rPr>
                      <w:rFonts w:hint="default"/>
                      <w:szCs w:val="21"/>
                      <w:u w:val="single"/>
                    </w:rPr>
                    <w:t>有组织</w:t>
                  </w:r>
                </w:p>
              </w:tc>
              <w:tc>
                <w:tcPr>
                  <w:tcW w:w="1126" w:type="pct"/>
                  <w:tcBorders>
                    <w:tl2br w:val="nil"/>
                    <w:tr2bl w:val="nil"/>
                  </w:tcBorders>
                  <w:vAlign w:val="center"/>
                </w:tcPr>
                <w:p w14:paraId="3E22135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eastAsia="宋体"/>
                      <w:szCs w:val="21"/>
                      <w:u w:val="single"/>
                      <w:lang w:val="en-US" w:eastAsia="zh-CN"/>
                    </w:rPr>
                  </w:pPr>
                  <w:r>
                    <w:rPr>
                      <w:rFonts w:hint="eastAsia"/>
                      <w:szCs w:val="21"/>
                      <w:u w:val="single"/>
                      <w:lang w:val="en-US" w:eastAsia="zh-CN"/>
                    </w:rPr>
                    <w:t>单管旋风除尘+布袋除尘</w:t>
                  </w:r>
                </w:p>
              </w:tc>
              <w:tc>
                <w:tcPr>
                  <w:tcW w:w="548" w:type="pct"/>
                  <w:vMerge w:val="restart"/>
                  <w:tcBorders>
                    <w:tl2br w:val="nil"/>
                    <w:tr2bl w:val="nil"/>
                  </w:tcBorders>
                  <w:vAlign w:val="center"/>
                </w:tcPr>
                <w:p w14:paraId="4A558CD1">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rPr>
                    <w:t>是</w:t>
                  </w:r>
                </w:p>
              </w:tc>
              <w:tc>
                <w:tcPr>
                  <w:tcW w:w="540" w:type="pct"/>
                  <w:vMerge w:val="restart"/>
                  <w:tcBorders>
                    <w:tl2br w:val="nil"/>
                    <w:tr2bl w:val="nil"/>
                  </w:tcBorders>
                  <w:vAlign w:val="center"/>
                </w:tcPr>
                <w:p w14:paraId="46E9CF3A">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szCs w:val="21"/>
                      <w:u w:val="single"/>
                      <w:lang w:val="en-US" w:eastAsia="zh-CN"/>
                    </w:rPr>
                  </w:pPr>
                  <w:r>
                    <w:rPr>
                      <w:rFonts w:hint="eastAsia"/>
                      <w:szCs w:val="21"/>
                      <w:u w:val="single"/>
                      <w:lang w:val="en-US" w:eastAsia="zh-CN"/>
                    </w:rPr>
                    <w:t>DA001</w:t>
                  </w:r>
                </w:p>
                <w:p w14:paraId="2A05333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rPr>
                    <w:t>排气筒</w:t>
                  </w:r>
                </w:p>
              </w:tc>
              <w:tc>
                <w:tcPr>
                  <w:tcW w:w="1176" w:type="pct"/>
                  <w:vMerge w:val="restart"/>
                  <w:tcBorders>
                    <w:tl2br w:val="nil"/>
                    <w:tr2bl w:val="nil"/>
                  </w:tcBorders>
                  <w:vAlign w:val="center"/>
                </w:tcPr>
                <w:p w14:paraId="3C7434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textAlignment w:val="auto"/>
                    <w:rPr>
                      <w:rFonts w:hint="default"/>
                      <w:szCs w:val="21"/>
                      <w:u w:val="single"/>
                    </w:rPr>
                  </w:pPr>
                  <w:r>
                    <w:rPr>
                      <w:rFonts w:hint="eastAsia"/>
                      <w:szCs w:val="21"/>
                      <w:u w:val="single"/>
                      <w:lang w:val="en-US" w:eastAsia="zh-CN"/>
                    </w:rPr>
                    <w:t>《锅炉大气污染物排放标准》（GB13271-2014）表3大气污染物特别排放限值中燃煤锅炉标准</w:t>
                  </w:r>
                  <w:r>
                    <w:rPr>
                      <w:rFonts w:hint="default"/>
                      <w:szCs w:val="21"/>
                      <w:u w:val="single"/>
                    </w:rPr>
                    <w:t>要求</w:t>
                  </w:r>
                </w:p>
              </w:tc>
            </w:tr>
            <w:tr w14:paraId="0D8B7E0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9" w:hRule="atLeast"/>
                <w:jc w:val="center"/>
              </w:trPr>
              <w:tc>
                <w:tcPr>
                  <w:tcW w:w="230" w:type="pct"/>
                  <w:vMerge w:val="continue"/>
                  <w:tcBorders>
                    <w:tl2br w:val="nil"/>
                    <w:tr2bl w:val="nil"/>
                  </w:tcBorders>
                  <w:vAlign w:val="center"/>
                </w:tcPr>
                <w:p w14:paraId="35E96E34">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u w:val="single"/>
                    </w:rPr>
                  </w:pPr>
                </w:p>
              </w:tc>
              <w:tc>
                <w:tcPr>
                  <w:tcW w:w="569" w:type="pct"/>
                  <w:vMerge w:val="continue"/>
                  <w:tcBorders>
                    <w:tl2br w:val="nil"/>
                    <w:tr2bl w:val="nil"/>
                  </w:tcBorders>
                  <w:vAlign w:val="center"/>
                </w:tcPr>
                <w:p w14:paraId="3D5D817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u w:val="single"/>
                    </w:rPr>
                  </w:pPr>
                </w:p>
              </w:tc>
              <w:tc>
                <w:tcPr>
                  <w:tcW w:w="526" w:type="pct"/>
                  <w:tcBorders>
                    <w:tl2br w:val="nil"/>
                    <w:tr2bl w:val="nil"/>
                  </w:tcBorders>
                  <w:vAlign w:val="center"/>
                </w:tcPr>
                <w:p w14:paraId="7432AD1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二氧化硫</w:t>
                  </w:r>
                </w:p>
              </w:tc>
              <w:tc>
                <w:tcPr>
                  <w:tcW w:w="281" w:type="pct"/>
                  <w:vMerge w:val="continue"/>
                  <w:tcBorders>
                    <w:tl2br w:val="nil"/>
                    <w:tr2bl w:val="nil"/>
                  </w:tcBorders>
                  <w:vAlign w:val="center"/>
                </w:tcPr>
                <w:p w14:paraId="0A334CB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26" w:type="pct"/>
                  <w:tcBorders>
                    <w:tl2br w:val="nil"/>
                    <w:tr2bl w:val="nil"/>
                  </w:tcBorders>
                  <w:vAlign w:val="center"/>
                </w:tcPr>
                <w:p w14:paraId="27862CD8">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w:t>
                  </w:r>
                </w:p>
              </w:tc>
              <w:tc>
                <w:tcPr>
                  <w:tcW w:w="548" w:type="pct"/>
                  <w:vMerge w:val="continue"/>
                  <w:tcBorders>
                    <w:tl2br w:val="nil"/>
                    <w:tr2bl w:val="nil"/>
                  </w:tcBorders>
                  <w:vAlign w:val="center"/>
                </w:tcPr>
                <w:p w14:paraId="3C3B695A">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40" w:type="pct"/>
                  <w:vMerge w:val="continue"/>
                  <w:tcBorders>
                    <w:tl2br w:val="nil"/>
                    <w:tr2bl w:val="nil"/>
                  </w:tcBorders>
                  <w:vAlign w:val="center"/>
                </w:tcPr>
                <w:p w14:paraId="3FFF0DEA">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76" w:type="pct"/>
                  <w:vMerge w:val="continue"/>
                  <w:tcBorders>
                    <w:tl2br w:val="nil"/>
                    <w:tr2bl w:val="nil"/>
                  </w:tcBorders>
                  <w:vAlign w:val="center"/>
                </w:tcPr>
                <w:p w14:paraId="6B1FD4AB">
                  <w:pPr>
                    <w:keepNext w:val="0"/>
                    <w:keepLines w:val="0"/>
                    <w:pageBreakBefore w:val="0"/>
                    <w:widowControl/>
                    <w:suppressLineNumbers w:val="0"/>
                    <w:kinsoku/>
                    <w:wordWrap/>
                    <w:overflowPunct/>
                    <w:topLinePunct w:val="0"/>
                    <w:autoSpaceDE w:val="0"/>
                    <w:autoSpaceDN/>
                    <w:bidi w:val="0"/>
                    <w:adjustRightInd w:val="0"/>
                    <w:spacing w:before="0" w:beforeAutospacing="0" w:after="0" w:afterAutospacing="0"/>
                    <w:ind w:left="0" w:leftChars="0" w:right="0" w:rightChars="0" w:firstLine="0" w:firstLineChars="0"/>
                    <w:contextualSpacing/>
                    <w:jc w:val="center"/>
                    <w:textAlignment w:val="auto"/>
                    <w:rPr>
                      <w:rFonts w:hint="default"/>
                      <w:szCs w:val="21"/>
                      <w:u w:val="single"/>
                    </w:rPr>
                  </w:pPr>
                </w:p>
              </w:tc>
            </w:tr>
            <w:tr w14:paraId="08DEF8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9" w:hRule="atLeast"/>
                <w:jc w:val="center"/>
              </w:trPr>
              <w:tc>
                <w:tcPr>
                  <w:tcW w:w="230" w:type="pct"/>
                  <w:vMerge w:val="continue"/>
                  <w:tcBorders>
                    <w:tl2br w:val="nil"/>
                    <w:tr2bl w:val="nil"/>
                  </w:tcBorders>
                  <w:vAlign w:val="center"/>
                </w:tcPr>
                <w:p w14:paraId="1F3E2E4D">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69" w:type="pct"/>
                  <w:vMerge w:val="continue"/>
                  <w:tcBorders>
                    <w:tl2br w:val="nil"/>
                    <w:tr2bl w:val="nil"/>
                  </w:tcBorders>
                  <w:vAlign w:val="center"/>
                </w:tcPr>
                <w:p w14:paraId="5D7E3D4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26" w:type="pct"/>
                  <w:tcBorders>
                    <w:tl2br w:val="nil"/>
                    <w:tr2bl w:val="nil"/>
                  </w:tcBorders>
                  <w:vAlign w:val="center"/>
                </w:tcPr>
                <w:p w14:paraId="302E9973">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氮氧化物</w:t>
                  </w:r>
                </w:p>
              </w:tc>
              <w:tc>
                <w:tcPr>
                  <w:tcW w:w="281" w:type="pct"/>
                  <w:vMerge w:val="continue"/>
                  <w:tcBorders>
                    <w:tl2br w:val="nil"/>
                    <w:tr2bl w:val="nil"/>
                  </w:tcBorders>
                  <w:vAlign w:val="center"/>
                </w:tcPr>
                <w:p w14:paraId="3B8D7EC8">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26" w:type="pct"/>
                  <w:tcBorders>
                    <w:tl2br w:val="nil"/>
                    <w:tr2bl w:val="nil"/>
                  </w:tcBorders>
                  <w:vAlign w:val="center"/>
                </w:tcPr>
                <w:p w14:paraId="147E7CC0">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w:t>
                  </w:r>
                </w:p>
              </w:tc>
              <w:tc>
                <w:tcPr>
                  <w:tcW w:w="548" w:type="pct"/>
                  <w:vMerge w:val="continue"/>
                  <w:tcBorders>
                    <w:tl2br w:val="nil"/>
                    <w:tr2bl w:val="nil"/>
                  </w:tcBorders>
                  <w:vAlign w:val="center"/>
                </w:tcPr>
                <w:p w14:paraId="6E334197">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40" w:type="pct"/>
                  <w:vMerge w:val="continue"/>
                  <w:tcBorders>
                    <w:tl2br w:val="nil"/>
                    <w:tr2bl w:val="nil"/>
                  </w:tcBorders>
                  <w:vAlign w:val="center"/>
                </w:tcPr>
                <w:p w14:paraId="4DE45AA7">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76" w:type="pct"/>
                  <w:vMerge w:val="continue"/>
                  <w:tcBorders>
                    <w:tl2br w:val="nil"/>
                    <w:tr2bl w:val="nil"/>
                  </w:tcBorders>
                  <w:vAlign w:val="center"/>
                </w:tcPr>
                <w:p w14:paraId="6F335066">
                  <w:pPr>
                    <w:keepNext w:val="0"/>
                    <w:keepLines w:val="0"/>
                    <w:pageBreakBefore w:val="0"/>
                    <w:widowControl/>
                    <w:suppressLineNumbers w:val="0"/>
                    <w:kinsoku/>
                    <w:wordWrap/>
                    <w:overflowPunct/>
                    <w:topLinePunct w:val="0"/>
                    <w:autoSpaceDE w:val="0"/>
                    <w:autoSpaceDN/>
                    <w:bidi w:val="0"/>
                    <w:adjustRightInd w:val="0"/>
                    <w:spacing w:before="0" w:beforeAutospacing="0" w:after="0" w:afterAutospacing="0"/>
                    <w:ind w:left="0" w:leftChars="0" w:right="0" w:rightChars="0" w:firstLine="0" w:firstLineChars="0"/>
                    <w:contextualSpacing/>
                    <w:jc w:val="center"/>
                    <w:textAlignment w:val="auto"/>
                    <w:rPr>
                      <w:rFonts w:hint="default"/>
                      <w:szCs w:val="21"/>
                      <w:u w:val="single"/>
                    </w:rPr>
                  </w:pPr>
                </w:p>
              </w:tc>
            </w:tr>
            <w:tr w14:paraId="5BBEA6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7" w:hRule="atLeast"/>
                <w:jc w:val="center"/>
              </w:trPr>
              <w:tc>
                <w:tcPr>
                  <w:tcW w:w="230" w:type="pct"/>
                  <w:tcBorders>
                    <w:tl2br w:val="nil"/>
                    <w:tr2bl w:val="nil"/>
                  </w:tcBorders>
                  <w:vAlign w:val="center"/>
                </w:tcPr>
                <w:p w14:paraId="6B967C4F">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rPr>
                    <w:t>2</w:t>
                  </w:r>
                </w:p>
              </w:tc>
              <w:tc>
                <w:tcPr>
                  <w:tcW w:w="569" w:type="pct"/>
                  <w:tcBorders>
                    <w:tl2br w:val="nil"/>
                    <w:tr2bl w:val="nil"/>
                  </w:tcBorders>
                  <w:vAlign w:val="center"/>
                </w:tcPr>
                <w:p w14:paraId="0EA182DC">
                  <w:pPr>
                    <w:pStyle w:val="33"/>
                    <w:keepNext w:val="0"/>
                    <w:keepLines w:val="0"/>
                    <w:suppressLineNumbers w:val="0"/>
                    <w:tabs>
                      <w:tab w:val="left" w:pos="0"/>
                    </w:tabs>
                    <w:spacing w:before="0" w:beforeAutospacing="0" w:after="0" w:afterAutospacing="0"/>
                    <w:ind w:left="0" w:right="0" w:firstLine="0" w:firstLineChars="0"/>
                    <w:jc w:val="center"/>
                    <w:rPr>
                      <w:rFonts w:hint="eastAsia"/>
                      <w:bCs/>
                      <w:sz w:val="21"/>
                      <w:szCs w:val="21"/>
                      <w:u w:val="single"/>
                      <w:lang w:val="en-US" w:eastAsia="zh-CN"/>
                    </w:rPr>
                  </w:pPr>
                  <w:r>
                    <w:rPr>
                      <w:rFonts w:hint="eastAsia"/>
                      <w:bCs/>
                      <w:sz w:val="21"/>
                      <w:szCs w:val="21"/>
                      <w:u w:val="single"/>
                      <w:lang w:val="en-US" w:eastAsia="zh-CN"/>
                    </w:rPr>
                    <w:t>油炸</w:t>
                  </w:r>
                </w:p>
                <w:p w14:paraId="78E45E4E">
                  <w:pPr>
                    <w:pStyle w:val="33"/>
                    <w:keepNext w:val="0"/>
                    <w:keepLines w:val="0"/>
                    <w:suppressLineNumbers w:val="0"/>
                    <w:tabs>
                      <w:tab w:val="left" w:pos="0"/>
                    </w:tabs>
                    <w:spacing w:before="0" w:beforeAutospacing="0" w:after="0" w:afterAutospacing="0"/>
                    <w:ind w:left="0" w:right="0" w:firstLine="0" w:firstLineChars="0"/>
                    <w:jc w:val="center"/>
                    <w:rPr>
                      <w:rFonts w:hint="default"/>
                      <w:sz w:val="21"/>
                      <w:szCs w:val="21"/>
                      <w:u w:val="single"/>
                    </w:rPr>
                  </w:pPr>
                  <w:r>
                    <w:rPr>
                      <w:rFonts w:hint="default"/>
                      <w:bCs/>
                      <w:sz w:val="21"/>
                      <w:szCs w:val="21"/>
                      <w:u w:val="single"/>
                    </w:rPr>
                    <w:t>废气</w:t>
                  </w:r>
                </w:p>
              </w:tc>
              <w:tc>
                <w:tcPr>
                  <w:tcW w:w="526" w:type="pct"/>
                  <w:tcBorders>
                    <w:tl2br w:val="nil"/>
                    <w:tr2bl w:val="nil"/>
                  </w:tcBorders>
                  <w:vAlign w:val="center"/>
                </w:tcPr>
                <w:p w14:paraId="69A6932F">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eastAsia="zh-CN"/>
                    </w:rPr>
                  </w:pPr>
                  <w:r>
                    <w:rPr>
                      <w:rFonts w:hint="eastAsia"/>
                      <w:szCs w:val="21"/>
                      <w:u w:val="single"/>
                      <w:lang w:val="en-US" w:eastAsia="zh-CN"/>
                    </w:rPr>
                    <w:t>油烟</w:t>
                  </w:r>
                </w:p>
              </w:tc>
              <w:tc>
                <w:tcPr>
                  <w:tcW w:w="281" w:type="pct"/>
                  <w:tcBorders>
                    <w:tl2br w:val="nil"/>
                    <w:tr2bl w:val="nil"/>
                  </w:tcBorders>
                  <w:vAlign w:val="center"/>
                </w:tcPr>
                <w:p w14:paraId="4022F572">
                  <w:pPr>
                    <w:keepNext w:val="0"/>
                    <w:keepLines w:val="0"/>
                    <w:widowControl/>
                    <w:suppressLineNumbers w:val="0"/>
                    <w:autoSpaceDE w:val="0"/>
                    <w:adjustRightInd w:val="0"/>
                    <w:spacing w:before="0" w:beforeAutospacing="0" w:after="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有组织</w:t>
                  </w:r>
                </w:p>
              </w:tc>
              <w:tc>
                <w:tcPr>
                  <w:tcW w:w="1126" w:type="pct"/>
                  <w:tcBorders>
                    <w:tl2br w:val="nil"/>
                    <w:tr2bl w:val="nil"/>
                  </w:tcBorders>
                  <w:vAlign w:val="center"/>
                </w:tcPr>
                <w:p w14:paraId="20F9C49A">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eastAsia="宋体"/>
                      <w:szCs w:val="21"/>
                      <w:u w:val="single"/>
                      <w:lang w:val="en-US" w:eastAsia="zh-CN"/>
                    </w:rPr>
                  </w:pPr>
                  <w:r>
                    <w:rPr>
                      <w:rFonts w:hint="eastAsia"/>
                      <w:szCs w:val="21"/>
                      <w:u w:val="single"/>
                      <w:lang w:val="en-US" w:eastAsia="zh-CN"/>
                    </w:rPr>
                    <w:t>油烟净化处理设备</w:t>
                  </w:r>
                </w:p>
              </w:tc>
              <w:tc>
                <w:tcPr>
                  <w:tcW w:w="548" w:type="pct"/>
                  <w:tcBorders>
                    <w:tl2br w:val="nil"/>
                    <w:tr2bl w:val="nil"/>
                  </w:tcBorders>
                  <w:vAlign w:val="center"/>
                </w:tcPr>
                <w:p w14:paraId="45B3ACDB">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u w:val="single"/>
                    </w:rPr>
                  </w:pPr>
                  <w:r>
                    <w:rPr>
                      <w:rFonts w:hint="default"/>
                      <w:szCs w:val="21"/>
                      <w:u w:val="single"/>
                    </w:rPr>
                    <w:t>是</w:t>
                  </w:r>
                </w:p>
              </w:tc>
              <w:tc>
                <w:tcPr>
                  <w:tcW w:w="540" w:type="pct"/>
                  <w:tcBorders>
                    <w:tl2br w:val="nil"/>
                    <w:tr2bl w:val="nil"/>
                  </w:tcBorders>
                  <w:vAlign w:val="center"/>
                </w:tcPr>
                <w:p w14:paraId="5E6BDE7C">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szCs w:val="21"/>
                      <w:u w:val="single"/>
                      <w:lang w:val="en-US" w:eastAsia="zh-CN"/>
                    </w:rPr>
                  </w:pPr>
                  <w:r>
                    <w:rPr>
                      <w:rFonts w:hint="eastAsia"/>
                      <w:szCs w:val="21"/>
                      <w:u w:val="single"/>
                      <w:lang w:val="en-US" w:eastAsia="zh-CN"/>
                    </w:rPr>
                    <w:t>DA002</w:t>
                  </w:r>
                </w:p>
                <w:p w14:paraId="7D5C6D44">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eastAsia="宋体"/>
                      <w:u w:val="single"/>
                      <w:lang w:val="en-US" w:eastAsia="zh-CN"/>
                    </w:rPr>
                  </w:pPr>
                  <w:r>
                    <w:rPr>
                      <w:rFonts w:hint="eastAsia"/>
                      <w:szCs w:val="21"/>
                      <w:u w:val="single"/>
                      <w:lang w:val="en-US" w:eastAsia="zh-CN"/>
                    </w:rPr>
                    <w:t>排气筒</w:t>
                  </w:r>
                </w:p>
              </w:tc>
              <w:tc>
                <w:tcPr>
                  <w:tcW w:w="1176" w:type="pct"/>
                  <w:tcBorders>
                    <w:tl2br w:val="nil"/>
                    <w:tr2bl w:val="nil"/>
                  </w:tcBorders>
                  <w:vAlign w:val="center"/>
                </w:tcPr>
                <w:p w14:paraId="3901D291">
                  <w:pPr>
                    <w:keepNext w:val="0"/>
                    <w:keepLines w:val="0"/>
                    <w:pageBreakBefore w:val="0"/>
                    <w:widowControl w:val="0"/>
                    <w:suppressLineNumbers w:val="0"/>
                    <w:kinsoku/>
                    <w:wordWrap/>
                    <w:overflowPunct/>
                    <w:topLinePunct w:val="0"/>
                    <w:autoSpaceDN/>
                    <w:bidi w:val="0"/>
                    <w:adjustRightInd w:val="0"/>
                    <w:snapToGrid w:val="0"/>
                    <w:spacing w:before="0" w:beforeAutospacing="0" w:after="0" w:afterAutospacing="0"/>
                    <w:ind w:left="0" w:leftChars="0" w:right="0" w:rightChars="0" w:firstLine="0" w:firstLineChars="0"/>
                    <w:jc w:val="center"/>
                    <w:textAlignment w:val="auto"/>
                    <w:rPr>
                      <w:rFonts w:hint="default"/>
                      <w:szCs w:val="21"/>
                      <w:u w:val="single"/>
                    </w:rPr>
                  </w:pPr>
                  <w:r>
                    <w:rPr>
                      <w:rFonts w:hint="eastAsia"/>
                      <w:szCs w:val="21"/>
                      <w:u w:val="single"/>
                      <w:lang w:val="en-US" w:eastAsia="zh-CN"/>
                    </w:rPr>
                    <w:t>《饮食业油烟排放标准》（GB8483-2001）中表2的要求</w:t>
                  </w:r>
                </w:p>
              </w:tc>
            </w:tr>
            <w:tr w14:paraId="15EB51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230" w:type="pct"/>
                  <w:vMerge w:val="restart"/>
                  <w:tcBorders>
                    <w:tl2br w:val="nil"/>
                    <w:tr2bl w:val="nil"/>
                  </w:tcBorders>
                  <w:vAlign w:val="center"/>
                </w:tcPr>
                <w:p w14:paraId="5B0FF1D1">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rPr>
                    <w:t>3</w:t>
                  </w:r>
                </w:p>
              </w:tc>
              <w:tc>
                <w:tcPr>
                  <w:tcW w:w="569" w:type="pct"/>
                  <w:vMerge w:val="restart"/>
                  <w:tcBorders>
                    <w:tl2br w:val="nil"/>
                    <w:tr2bl w:val="nil"/>
                  </w:tcBorders>
                  <w:vAlign w:val="center"/>
                </w:tcPr>
                <w:p w14:paraId="19B6AE4D">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bCs/>
                      <w:sz w:val="21"/>
                      <w:szCs w:val="21"/>
                      <w:u w:val="single"/>
                      <w:lang w:val="en-US" w:eastAsia="zh-CN"/>
                    </w:rPr>
                  </w:pPr>
                  <w:r>
                    <w:rPr>
                      <w:rFonts w:hint="eastAsia"/>
                      <w:bCs/>
                      <w:sz w:val="21"/>
                      <w:szCs w:val="21"/>
                      <w:u w:val="single"/>
                      <w:lang w:val="en-US" w:eastAsia="zh-CN"/>
                    </w:rPr>
                    <w:t>车间</w:t>
                  </w:r>
                </w:p>
                <w:p w14:paraId="05E6A9E1">
                  <w:pPr>
                    <w:pStyle w:val="33"/>
                    <w:keepNext w:val="0"/>
                    <w:keepLines w:val="0"/>
                    <w:suppressLineNumbers w:val="0"/>
                    <w:tabs>
                      <w:tab w:val="left" w:pos="0"/>
                    </w:tabs>
                    <w:spacing w:before="0" w:beforeAutospacing="0" w:after="0" w:afterAutospacing="0"/>
                    <w:ind w:left="-105" w:leftChars="-50" w:right="-105" w:rightChars="-50" w:firstLine="0" w:firstLineChars="0"/>
                    <w:jc w:val="center"/>
                    <w:rPr>
                      <w:rFonts w:hint="eastAsia" w:eastAsia="宋体"/>
                      <w:sz w:val="21"/>
                      <w:szCs w:val="21"/>
                      <w:u w:val="single"/>
                      <w:lang w:val="en-US" w:eastAsia="zh-CN"/>
                    </w:rPr>
                  </w:pPr>
                  <w:r>
                    <w:rPr>
                      <w:rFonts w:hint="eastAsia"/>
                      <w:bCs/>
                      <w:sz w:val="21"/>
                      <w:szCs w:val="21"/>
                      <w:u w:val="single"/>
                      <w:lang w:val="en-US" w:eastAsia="zh-CN"/>
                    </w:rPr>
                    <w:t>恶臭</w:t>
                  </w:r>
                </w:p>
              </w:tc>
              <w:tc>
                <w:tcPr>
                  <w:tcW w:w="526" w:type="pct"/>
                  <w:tcBorders>
                    <w:tl2br w:val="nil"/>
                    <w:tr2bl w:val="nil"/>
                  </w:tcBorders>
                  <w:vAlign w:val="center"/>
                </w:tcPr>
                <w:p w14:paraId="11738F4B">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氨</w:t>
                  </w:r>
                </w:p>
              </w:tc>
              <w:tc>
                <w:tcPr>
                  <w:tcW w:w="281" w:type="pct"/>
                  <w:vMerge w:val="restart"/>
                  <w:tcBorders>
                    <w:tl2br w:val="nil"/>
                    <w:tr2bl w:val="nil"/>
                  </w:tcBorders>
                  <w:vAlign w:val="center"/>
                </w:tcPr>
                <w:p w14:paraId="4A378429">
                  <w:pPr>
                    <w:keepNext w:val="0"/>
                    <w:keepLines w:val="0"/>
                    <w:widowControl/>
                    <w:suppressLineNumbers w:val="0"/>
                    <w:autoSpaceDE w:val="0"/>
                    <w:adjustRightInd w:val="0"/>
                    <w:spacing w:before="0" w:beforeAutospacing="0" w:after="0" w:afterAutospacing="0"/>
                    <w:ind w:left="-105" w:leftChars="-50" w:right="-105" w:rightChars="-50"/>
                    <w:contextualSpacing/>
                    <w:jc w:val="center"/>
                    <w:rPr>
                      <w:rFonts w:hint="default"/>
                      <w:szCs w:val="21"/>
                      <w:u w:val="single"/>
                    </w:rPr>
                  </w:pPr>
                  <w:r>
                    <w:rPr>
                      <w:rFonts w:hint="eastAsia"/>
                      <w:szCs w:val="21"/>
                      <w:u w:val="single"/>
                      <w:lang w:val="en-US" w:eastAsia="zh-CN"/>
                    </w:rPr>
                    <w:t>无</w:t>
                  </w:r>
                  <w:r>
                    <w:rPr>
                      <w:rFonts w:hint="default"/>
                      <w:szCs w:val="21"/>
                      <w:u w:val="single"/>
                    </w:rPr>
                    <w:t>组织</w:t>
                  </w:r>
                </w:p>
              </w:tc>
              <w:tc>
                <w:tcPr>
                  <w:tcW w:w="1126" w:type="pct"/>
                  <w:vMerge w:val="restart"/>
                  <w:tcBorders>
                    <w:tl2br w:val="nil"/>
                    <w:tr2bl w:val="nil"/>
                  </w:tcBorders>
                  <w:vAlign w:val="center"/>
                </w:tcPr>
                <w:p w14:paraId="2093CB14">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eastAsia="宋体"/>
                      <w:szCs w:val="21"/>
                      <w:u w:val="single"/>
                      <w:lang w:val="en-US" w:eastAsia="zh-CN"/>
                    </w:rPr>
                  </w:pPr>
                  <w:r>
                    <w:rPr>
                      <w:rFonts w:hint="eastAsia"/>
                      <w:szCs w:val="21"/>
                      <w:u w:val="single"/>
                      <w:lang w:val="en-US" w:eastAsia="zh-CN"/>
                    </w:rPr>
                    <w:t>加强车间机械通风</w:t>
                  </w:r>
                </w:p>
              </w:tc>
              <w:tc>
                <w:tcPr>
                  <w:tcW w:w="548" w:type="pct"/>
                  <w:vMerge w:val="restart"/>
                  <w:tcBorders>
                    <w:tl2br w:val="nil"/>
                    <w:tr2bl w:val="nil"/>
                  </w:tcBorders>
                  <w:vAlign w:val="center"/>
                </w:tcPr>
                <w:p w14:paraId="7C4A1AB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rPr>
                    <w:t>是</w:t>
                  </w:r>
                </w:p>
              </w:tc>
              <w:tc>
                <w:tcPr>
                  <w:tcW w:w="540" w:type="pct"/>
                  <w:vMerge w:val="restart"/>
                  <w:tcBorders>
                    <w:tl2br w:val="nil"/>
                    <w:tr2bl w:val="nil"/>
                  </w:tcBorders>
                  <w:vAlign w:val="center"/>
                </w:tcPr>
                <w:p w14:paraId="7998B2E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厂界</w:t>
                  </w:r>
                </w:p>
              </w:tc>
              <w:tc>
                <w:tcPr>
                  <w:tcW w:w="1176" w:type="pct"/>
                  <w:vMerge w:val="restart"/>
                  <w:tcBorders>
                    <w:tl2br w:val="nil"/>
                    <w:tr2bl w:val="nil"/>
                  </w:tcBorders>
                  <w:vAlign w:val="center"/>
                </w:tcPr>
                <w:p w14:paraId="3303EF53">
                  <w:pPr>
                    <w:keepNext w:val="0"/>
                    <w:keepLines w:val="0"/>
                    <w:pageBreakBefore w:val="0"/>
                    <w:widowControl w:val="0"/>
                    <w:suppressLineNumbers w:val="0"/>
                    <w:kinsoku/>
                    <w:wordWrap/>
                    <w:overflowPunct/>
                    <w:topLinePunct w:val="0"/>
                    <w:autoSpaceDN/>
                    <w:bidi w:val="0"/>
                    <w:adjustRightInd w:val="0"/>
                    <w:snapToGrid w:val="0"/>
                    <w:spacing w:before="0" w:beforeAutospacing="0" w:after="0" w:afterAutospacing="0"/>
                    <w:ind w:left="0" w:leftChars="0" w:right="0" w:rightChars="0" w:firstLine="0" w:firstLineChars="0"/>
                    <w:jc w:val="center"/>
                    <w:textAlignment w:val="auto"/>
                    <w:rPr>
                      <w:rFonts w:hint="default"/>
                      <w:szCs w:val="21"/>
                      <w:u w:val="single"/>
                    </w:rPr>
                  </w:pPr>
                  <w:r>
                    <w:rPr>
                      <w:rFonts w:hint="eastAsia"/>
                      <w:szCs w:val="21"/>
                      <w:u w:val="single"/>
                      <w:lang w:val="en-US" w:eastAsia="zh-CN"/>
                    </w:rPr>
                    <w:t>《恶臭污染物排放标准》（GB14554-93）表1中二级新改扩建标准</w:t>
                  </w:r>
                </w:p>
              </w:tc>
            </w:tr>
            <w:tr w14:paraId="3949BB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6" w:hRule="atLeast"/>
                <w:jc w:val="center"/>
              </w:trPr>
              <w:tc>
                <w:tcPr>
                  <w:tcW w:w="230" w:type="pct"/>
                  <w:vMerge w:val="continue"/>
                  <w:tcBorders>
                    <w:tl2br w:val="nil"/>
                    <w:tr2bl w:val="nil"/>
                  </w:tcBorders>
                  <w:vAlign w:val="center"/>
                </w:tcPr>
                <w:p w14:paraId="2309E0B9">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u w:val="single"/>
                    </w:rPr>
                  </w:pPr>
                </w:p>
              </w:tc>
              <w:tc>
                <w:tcPr>
                  <w:tcW w:w="569" w:type="pct"/>
                  <w:vMerge w:val="continue"/>
                  <w:tcBorders>
                    <w:tl2br w:val="nil"/>
                    <w:tr2bl w:val="nil"/>
                  </w:tcBorders>
                  <w:vAlign w:val="center"/>
                </w:tcPr>
                <w:p w14:paraId="59E7E289">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u w:val="single"/>
                    </w:rPr>
                  </w:pPr>
                </w:p>
              </w:tc>
              <w:tc>
                <w:tcPr>
                  <w:tcW w:w="526" w:type="pct"/>
                  <w:tcBorders>
                    <w:tl2br w:val="nil"/>
                    <w:tr2bl w:val="nil"/>
                  </w:tcBorders>
                  <w:vAlign w:val="center"/>
                </w:tcPr>
                <w:p w14:paraId="4D6641EB">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硫化氢</w:t>
                  </w:r>
                </w:p>
              </w:tc>
              <w:tc>
                <w:tcPr>
                  <w:tcW w:w="281" w:type="pct"/>
                  <w:vMerge w:val="continue"/>
                  <w:tcBorders>
                    <w:tl2br w:val="nil"/>
                    <w:tr2bl w:val="nil"/>
                  </w:tcBorders>
                  <w:vAlign w:val="center"/>
                </w:tcPr>
                <w:p w14:paraId="1353DE23">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26" w:type="pct"/>
                  <w:vMerge w:val="continue"/>
                  <w:tcBorders>
                    <w:tl2br w:val="nil"/>
                    <w:tr2bl w:val="nil"/>
                  </w:tcBorders>
                  <w:vAlign w:val="center"/>
                </w:tcPr>
                <w:p w14:paraId="2BD57E7C">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48" w:type="pct"/>
                  <w:vMerge w:val="continue"/>
                  <w:tcBorders>
                    <w:tl2br w:val="nil"/>
                    <w:tr2bl w:val="nil"/>
                  </w:tcBorders>
                  <w:vAlign w:val="center"/>
                </w:tcPr>
                <w:p w14:paraId="7FFB78CC">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40" w:type="pct"/>
                  <w:vMerge w:val="continue"/>
                  <w:tcBorders>
                    <w:tl2br w:val="nil"/>
                    <w:tr2bl w:val="nil"/>
                  </w:tcBorders>
                  <w:vAlign w:val="center"/>
                </w:tcPr>
                <w:p w14:paraId="49D5BE6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76" w:type="pct"/>
                  <w:vMerge w:val="continue"/>
                  <w:tcBorders>
                    <w:tl2br w:val="nil"/>
                    <w:tr2bl w:val="nil"/>
                  </w:tcBorders>
                  <w:vAlign w:val="center"/>
                </w:tcPr>
                <w:p w14:paraId="06E1CD02">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r>
            <w:tr w14:paraId="03B7F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6" w:hRule="atLeast"/>
                <w:jc w:val="center"/>
              </w:trPr>
              <w:tc>
                <w:tcPr>
                  <w:tcW w:w="230" w:type="pct"/>
                  <w:vMerge w:val="continue"/>
                  <w:tcBorders>
                    <w:tl2br w:val="nil"/>
                    <w:tr2bl w:val="nil"/>
                  </w:tcBorders>
                  <w:vAlign w:val="center"/>
                </w:tcPr>
                <w:p w14:paraId="6B97E57F">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u w:val="single"/>
                    </w:rPr>
                  </w:pPr>
                </w:p>
              </w:tc>
              <w:tc>
                <w:tcPr>
                  <w:tcW w:w="569" w:type="pct"/>
                  <w:vMerge w:val="continue"/>
                  <w:tcBorders>
                    <w:tl2br w:val="nil"/>
                    <w:tr2bl w:val="nil"/>
                  </w:tcBorders>
                  <w:vAlign w:val="center"/>
                </w:tcPr>
                <w:p w14:paraId="50470A6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u w:val="single"/>
                    </w:rPr>
                  </w:pPr>
                </w:p>
              </w:tc>
              <w:tc>
                <w:tcPr>
                  <w:tcW w:w="526" w:type="pct"/>
                  <w:tcBorders>
                    <w:tl2br w:val="nil"/>
                    <w:tr2bl w:val="nil"/>
                  </w:tcBorders>
                  <w:vAlign w:val="center"/>
                </w:tcPr>
                <w:p w14:paraId="7CF88D38">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lang w:val="en-US" w:eastAsia="zh-CN"/>
                    </w:rPr>
                  </w:pPr>
                  <w:r>
                    <w:rPr>
                      <w:rFonts w:hint="eastAsia"/>
                      <w:szCs w:val="21"/>
                      <w:u w:val="single"/>
                      <w:lang w:val="en-US" w:eastAsia="zh-CN"/>
                    </w:rPr>
                    <w:t>臭气浓度</w:t>
                  </w:r>
                </w:p>
              </w:tc>
              <w:tc>
                <w:tcPr>
                  <w:tcW w:w="281" w:type="pct"/>
                  <w:vMerge w:val="continue"/>
                  <w:tcBorders>
                    <w:tl2br w:val="nil"/>
                    <w:tr2bl w:val="nil"/>
                  </w:tcBorders>
                  <w:vAlign w:val="center"/>
                </w:tcPr>
                <w:p w14:paraId="64E794AD">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26" w:type="pct"/>
                  <w:vMerge w:val="continue"/>
                  <w:tcBorders>
                    <w:tl2br w:val="nil"/>
                    <w:tr2bl w:val="nil"/>
                  </w:tcBorders>
                  <w:vAlign w:val="center"/>
                </w:tcPr>
                <w:p w14:paraId="1DBADCAC">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48" w:type="pct"/>
                  <w:vMerge w:val="continue"/>
                  <w:tcBorders>
                    <w:tl2br w:val="nil"/>
                    <w:tr2bl w:val="nil"/>
                  </w:tcBorders>
                  <w:vAlign w:val="center"/>
                </w:tcPr>
                <w:p w14:paraId="71F9CA44">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540" w:type="pct"/>
                  <w:vMerge w:val="continue"/>
                  <w:tcBorders>
                    <w:tl2br w:val="nil"/>
                    <w:tr2bl w:val="nil"/>
                  </w:tcBorders>
                  <w:vAlign w:val="center"/>
                </w:tcPr>
                <w:p w14:paraId="50B3040C">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c>
                <w:tcPr>
                  <w:tcW w:w="1176" w:type="pct"/>
                  <w:vMerge w:val="continue"/>
                  <w:tcBorders>
                    <w:tl2br w:val="nil"/>
                    <w:tr2bl w:val="nil"/>
                  </w:tcBorders>
                  <w:vAlign w:val="center"/>
                </w:tcPr>
                <w:p w14:paraId="010586E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p>
              </w:tc>
            </w:tr>
            <w:tr w14:paraId="1F1D82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6" w:hRule="atLeast"/>
                <w:jc w:val="center"/>
              </w:trPr>
              <w:tc>
                <w:tcPr>
                  <w:tcW w:w="230" w:type="pct"/>
                  <w:tcBorders>
                    <w:tl2br w:val="nil"/>
                    <w:tr2bl w:val="nil"/>
                  </w:tcBorders>
                  <w:vAlign w:val="center"/>
                </w:tcPr>
                <w:p w14:paraId="7447AD5E">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u w:val="single"/>
                      <w:lang w:val="en-US" w:eastAsia="zh-CN"/>
                    </w:rPr>
                  </w:pPr>
                  <w:r>
                    <w:rPr>
                      <w:rFonts w:hint="eastAsia"/>
                      <w:u w:val="single"/>
                      <w:lang w:val="en-US" w:eastAsia="zh-CN"/>
                    </w:rPr>
                    <w:t>4</w:t>
                  </w:r>
                </w:p>
              </w:tc>
              <w:tc>
                <w:tcPr>
                  <w:tcW w:w="569" w:type="pct"/>
                  <w:tcBorders>
                    <w:tl2br w:val="nil"/>
                    <w:tr2bl w:val="nil"/>
                  </w:tcBorders>
                  <w:vAlign w:val="center"/>
                </w:tcPr>
                <w:p w14:paraId="191E1400">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eastAsia="宋体"/>
                      <w:u w:val="single"/>
                      <w:lang w:val="en-US" w:eastAsia="zh-CN"/>
                    </w:rPr>
                  </w:pPr>
                  <w:r>
                    <w:rPr>
                      <w:rFonts w:hint="eastAsia"/>
                      <w:u w:val="single"/>
                      <w:lang w:val="en-US" w:eastAsia="zh-CN"/>
                    </w:rPr>
                    <w:t>生物质燃料转运废气</w:t>
                  </w:r>
                </w:p>
              </w:tc>
              <w:tc>
                <w:tcPr>
                  <w:tcW w:w="526" w:type="pct"/>
                  <w:tcBorders>
                    <w:tl2br w:val="nil"/>
                    <w:tr2bl w:val="nil"/>
                  </w:tcBorders>
                  <w:vAlign w:val="center"/>
                </w:tcPr>
                <w:p w14:paraId="4F7C6BEB">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lang w:val="en-US" w:eastAsia="zh-CN"/>
                    </w:rPr>
                  </w:pPr>
                  <w:r>
                    <w:rPr>
                      <w:rFonts w:hint="eastAsia"/>
                      <w:szCs w:val="21"/>
                      <w:u w:val="single"/>
                      <w:lang w:val="en-US" w:eastAsia="zh-CN"/>
                    </w:rPr>
                    <w:t>颗粒物</w:t>
                  </w:r>
                </w:p>
              </w:tc>
              <w:tc>
                <w:tcPr>
                  <w:tcW w:w="281" w:type="pct"/>
                  <w:tcBorders>
                    <w:tl2br w:val="nil"/>
                    <w:tr2bl w:val="nil"/>
                  </w:tcBorders>
                  <w:vAlign w:val="center"/>
                </w:tcPr>
                <w:p w14:paraId="6CF47455">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无组织</w:t>
                  </w:r>
                </w:p>
              </w:tc>
              <w:tc>
                <w:tcPr>
                  <w:tcW w:w="1126" w:type="pct"/>
                  <w:tcBorders>
                    <w:tl2br w:val="nil"/>
                    <w:tr2bl w:val="nil"/>
                  </w:tcBorders>
                  <w:vAlign w:val="center"/>
                </w:tcPr>
                <w:p w14:paraId="7560889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w:t>
                  </w:r>
                </w:p>
              </w:tc>
              <w:tc>
                <w:tcPr>
                  <w:tcW w:w="548" w:type="pct"/>
                  <w:tcBorders>
                    <w:tl2br w:val="nil"/>
                    <w:tr2bl w:val="nil"/>
                  </w:tcBorders>
                  <w:vAlign w:val="center"/>
                </w:tcPr>
                <w:p w14:paraId="77914984">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w:t>
                  </w:r>
                </w:p>
              </w:tc>
              <w:tc>
                <w:tcPr>
                  <w:tcW w:w="540" w:type="pct"/>
                  <w:tcBorders>
                    <w:tl2br w:val="nil"/>
                    <w:tr2bl w:val="nil"/>
                  </w:tcBorders>
                  <w:vAlign w:val="center"/>
                </w:tcPr>
                <w:p w14:paraId="75BD1E45">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eastAsia" w:eastAsia="宋体"/>
                      <w:szCs w:val="21"/>
                      <w:u w:val="single"/>
                      <w:lang w:val="en-US" w:eastAsia="zh-CN"/>
                    </w:rPr>
                  </w:pPr>
                  <w:r>
                    <w:rPr>
                      <w:rFonts w:hint="eastAsia"/>
                      <w:szCs w:val="21"/>
                      <w:u w:val="single"/>
                      <w:lang w:val="en-US" w:eastAsia="zh-CN"/>
                    </w:rPr>
                    <w:t>厂界</w:t>
                  </w:r>
                </w:p>
              </w:tc>
              <w:tc>
                <w:tcPr>
                  <w:tcW w:w="1176" w:type="pct"/>
                  <w:tcBorders>
                    <w:tl2br w:val="nil"/>
                    <w:tr2bl w:val="nil"/>
                  </w:tcBorders>
                  <w:vAlign w:val="center"/>
                </w:tcPr>
                <w:p w14:paraId="7F33A5F6">
                  <w:pPr>
                    <w:keepNext w:val="0"/>
                    <w:keepLines w:val="0"/>
                    <w:widowControl/>
                    <w:suppressLineNumbers w:val="0"/>
                    <w:autoSpaceDE w:val="0"/>
                    <w:adjustRightInd w:val="0"/>
                    <w:spacing w:before="48" w:beforeLines="20" w:beforeAutospacing="0" w:after="48" w:afterLines="20" w:afterAutospacing="0"/>
                    <w:ind w:left="-105" w:leftChars="-50" w:right="-105" w:rightChars="-50"/>
                    <w:contextualSpacing/>
                    <w:jc w:val="center"/>
                    <w:rPr>
                      <w:rFonts w:hint="default"/>
                      <w:szCs w:val="21"/>
                      <w:u w:val="single"/>
                    </w:rPr>
                  </w:pPr>
                  <w:r>
                    <w:rPr>
                      <w:rFonts w:hint="default"/>
                      <w:szCs w:val="21"/>
                      <w:u w:val="single"/>
                      <w:lang w:val="en-US" w:eastAsia="zh-CN"/>
                    </w:rPr>
                    <w:t>《大气污染物综合排放标准》（GB16297-1996）中表2无组织排放限值</w:t>
                  </w:r>
                </w:p>
              </w:tc>
            </w:tr>
          </w:tbl>
          <w:p w14:paraId="008710AC">
            <w:pPr>
              <w:keepNext w:val="0"/>
              <w:keepLines w:val="0"/>
              <w:widowControl/>
              <w:numPr>
                <w:ilvl w:val="0"/>
                <w:numId w:val="16"/>
              </w:numPr>
              <w:suppressLineNumbers w:val="0"/>
              <w:spacing w:before="120" w:beforeLines="50" w:beforeAutospacing="0" w:after="0" w:afterAutospacing="0" w:line="360" w:lineRule="auto"/>
              <w:ind w:left="0" w:leftChars="0" w:right="0" w:firstLine="480" w:firstLineChars="200"/>
              <w:rPr>
                <w:rFonts w:hint="default"/>
                <w:sz w:val="24"/>
                <w:u w:val="single"/>
              </w:rPr>
            </w:pPr>
            <w:r>
              <w:rPr>
                <w:rFonts w:hint="default"/>
                <w:sz w:val="24"/>
                <w:u w:val="single"/>
              </w:rPr>
              <w:t>排放口基本情况</w:t>
            </w:r>
          </w:p>
          <w:p w14:paraId="7A58CEA5">
            <w:pPr>
              <w:pStyle w:val="33"/>
              <w:keepNext w:val="0"/>
              <w:keepLines w:val="0"/>
              <w:numPr>
                <w:ilvl w:val="0"/>
                <w:numId w:val="19"/>
              </w:numPr>
              <w:suppressLineNumbers w:val="0"/>
              <w:spacing w:before="0" w:beforeAutospacing="0" w:after="0" w:afterAutospacing="0"/>
              <w:ind w:right="0" w:firstLineChars="0"/>
              <w:jc w:val="center"/>
              <w:rPr>
                <w:rFonts w:hint="default"/>
                <w:b/>
                <w:sz w:val="24"/>
                <w:szCs w:val="24"/>
                <w:u w:val="single"/>
              </w:rPr>
            </w:pPr>
            <w:r>
              <w:rPr>
                <w:rFonts w:hint="default"/>
                <w:b/>
                <w:sz w:val="24"/>
                <w:szCs w:val="24"/>
                <w:u w:val="single"/>
              </w:rPr>
              <w:t>废气排放口基本情况表</w:t>
            </w:r>
          </w:p>
          <w:tbl>
            <w:tblPr>
              <w:tblStyle w:val="24"/>
              <w:tblW w:w="503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6"/>
              <w:gridCol w:w="1434"/>
              <w:gridCol w:w="1192"/>
              <w:gridCol w:w="1184"/>
              <w:gridCol w:w="1084"/>
              <w:gridCol w:w="904"/>
              <w:gridCol w:w="1175"/>
              <w:gridCol w:w="1032"/>
            </w:tblGrid>
            <w:tr w14:paraId="4B62B03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269" w:type="pct"/>
                  <w:vMerge w:val="restart"/>
                  <w:tcBorders>
                    <w:tl2br w:val="nil"/>
                    <w:tr2bl w:val="nil"/>
                  </w:tcBorders>
                  <w:vAlign w:val="center"/>
                </w:tcPr>
                <w:p w14:paraId="287B4078">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序号</w:t>
                  </w:r>
                </w:p>
              </w:tc>
              <w:tc>
                <w:tcPr>
                  <w:tcW w:w="847" w:type="pct"/>
                  <w:vMerge w:val="restart"/>
                  <w:tcBorders>
                    <w:tl2br w:val="nil"/>
                    <w:tr2bl w:val="nil"/>
                  </w:tcBorders>
                  <w:vAlign w:val="center"/>
                </w:tcPr>
                <w:p w14:paraId="411D2337">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排放口编号</w:t>
                  </w:r>
                </w:p>
              </w:tc>
              <w:tc>
                <w:tcPr>
                  <w:tcW w:w="704" w:type="pct"/>
                  <w:vMerge w:val="restart"/>
                  <w:tcBorders>
                    <w:tl2br w:val="nil"/>
                    <w:tr2bl w:val="nil"/>
                  </w:tcBorders>
                  <w:vAlign w:val="center"/>
                </w:tcPr>
                <w:p w14:paraId="771C82B9">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排放口类型</w:t>
                  </w:r>
                </w:p>
              </w:tc>
              <w:tc>
                <w:tcPr>
                  <w:tcW w:w="1339" w:type="pct"/>
                  <w:gridSpan w:val="2"/>
                  <w:tcBorders>
                    <w:tl2br w:val="nil"/>
                    <w:tr2bl w:val="nil"/>
                  </w:tcBorders>
                  <w:vAlign w:val="center"/>
                </w:tcPr>
                <w:p w14:paraId="0B26E3BC">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排放口地理坐标</w:t>
                  </w:r>
                </w:p>
              </w:tc>
              <w:tc>
                <w:tcPr>
                  <w:tcW w:w="534" w:type="pct"/>
                  <w:vMerge w:val="restart"/>
                  <w:tcBorders>
                    <w:tl2br w:val="nil"/>
                    <w:tr2bl w:val="nil"/>
                  </w:tcBorders>
                  <w:vAlign w:val="center"/>
                </w:tcPr>
                <w:p w14:paraId="7B0207B5">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排气筒高度（m）</w:t>
                  </w:r>
                </w:p>
              </w:tc>
              <w:tc>
                <w:tcPr>
                  <w:tcW w:w="694" w:type="pct"/>
                  <w:vMerge w:val="restart"/>
                  <w:tcBorders>
                    <w:tl2br w:val="nil"/>
                    <w:tr2bl w:val="nil"/>
                  </w:tcBorders>
                  <w:vAlign w:val="center"/>
                </w:tcPr>
                <w:p w14:paraId="7F7AF85A">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排气筒出口内径（m）</w:t>
                  </w:r>
                </w:p>
              </w:tc>
              <w:tc>
                <w:tcPr>
                  <w:tcW w:w="609" w:type="pct"/>
                  <w:vMerge w:val="restart"/>
                  <w:tcBorders>
                    <w:tl2br w:val="nil"/>
                    <w:tr2bl w:val="nil"/>
                  </w:tcBorders>
                  <w:vAlign w:val="center"/>
                </w:tcPr>
                <w:p w14:paraId="474F34D7">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排气温度（℃）</w:t>
                  </w:r>
                </w:p>
              </w:tc>
            </w:tr>
            <w:tr w14:paraId="369424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269" w:type="pct"/>
                  <w:vMerge w:val="continue"/>
                  <w:tcBorders>
                    <w:tl2br w:val="nil"/>
                    <w:tr2bl w:val="nil"/>
                  </w:tcBorders>
                  <w:vAlign w:val="center"/>
                </w:tcPr>
                <w:p w14:paraId="456F7797">
                  <w:pPr>
                    <w:keepNext w:val="0"/>
                    <w:keepLines w:val="0"/>
                    <w:widowControl/>
                    <w:suppressLineNumbers w:val="0"/>
                    <w:spacing w:before="0" w:beforeAutospacing="0" w:after="0" w:afterAutospacing="0"/>
                    <w:ind w:left="0" w:right="0"/>
                    <w:rPr>
                      <w:rFonts w:hint="default"/>
                      <w:szCs w:val="21"/>
                      <w:u w:val="single"/>
                    </w:rPr>
                  </w:pPr>
                </w:p>
              </w:tc>
              <w:tc>
                <w:tcPr>
                  <w:tcW w:w="847" w:type="pct"/>
                  <w:vMerge w:val="continue"/>
                  <w:tcBorders>
                    <w:tl2br w:val="nil"/>
                    <w:tr2bl w:val="nil"/>
                  </w:tcBorders>
                  <w:vAlign w:val="center"/>
                </w:tcPr>
                <w:p w14:paraId="261FBE10">
                  <w:pPr>
                    <w:keepNext w:val="0"/>
                    <w:keepLines w:val="0"/>
                    <w:widowControl/>
                    <w:suppressLineNumbers w:val="0"/>
                    <w:spacing w:before="0" w:beforeAutospacing="0" w:after="0" w:afterAutospacing="0"/>
                    <w:ind w:left="0" w:right="0"/>
                    <w:rPr>
                      <w:rFonts w:hint="default"/>
                      <w:szCs w:val="21"/>
                      <w:u w:val="single"/>
                    </w:rPr>
                  </w:pPr>
                </w:p>
              </w:tc>
              <w:tc>
                <w:tcPr>
                  <w:tcW w:w="704" w:type="pct"/>
                  <w:vMerge w:val="continue"/>
                  <w:tcBorders>
                    <w:tl2br w:val="nil"/>
                    <w:tr2bl w:val="nil"/>
                  </w:tcBorders>
                  <w:vAlign w:val="center"/>
                </w:tcPr>
                <w:p w14:paraId="66D22BAF">
                  <w:pPr>
                    <w:keepNext w:val="0"/>
                    <w:keepLines w:val="0"/>
                    <w:widowControl/>
                    <w:suppressLineNumbers w:val="0"/>
                    <w:spacing w:before="0" w:beforeAutospacing="0" w:after="0" w:afterAutospacing="0"/>
                    <w:ind w:left="0" w:right="0"/>
                    <w:rPr>
                      <w:rFonts w:hint="default"/>
                      <w:szCs w:val="21"/>
                      <w:u w:val="single"/>
                    </w:rPr>
                  </w:pPr>
                </w:p>
              </w:tc>
              <w:tc>
                <w:tcPr>
                  <w:tcW w:w="699" w:type="pct"/>
                  <w:tcBorders>
                    <w:tl2br w:val="nil"/>
                    <w:tr2bl w:val="nil"/>
                  </w:tcBorders>
                  <w:vAlign w:val="center"/>
                </w:tcPr>
                <w:p w14:paraId="36495223">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经度</w:t>
                  </w:r>
                </w:p>
              </w:tc>
              <w:tc>
                <w:tcPr>
                  <w:tcW w:w="640" w:type="pct"/>
                  <w:tcBorders>
                    <w:tl2br w:val="nil"/>
                    <w:tr2bl w:val="nil"/>
                  </w:tcBorders>
                  <w:vAlign w:val="center"/>
                </w:tcPr>
                <w:p w14:paraId="74AC0AA2">
                  <w:pPr>
                    <w:keepNext w:val="0"/>
                    <w:keepLines w:val="0"/>
                    <w:widowControl/>
                    <w:suppressLineNumbers w:val="0"/>
                    <w:autoSpaceDE w:val="0"/>
                    <w:adjustRightInd w:val="0"/>
                    <w:snapToGrid w:val="0"/>
                    <w:spacing w:before="0" w:beforeAutospacing="0" w:after="0" w:afterAutospacing="0"/>
                    <w:ind w:left="-105" w:leftChars="-50" w:right="-105" w:rightChars="-50"/>
                    <w:jc w:val="center"/>
                    <w:rPr>
                      <w:rFonts w:hint="default"/>
                      <w:b/>
                      <w:bCs/>
                      <w:szCs w:val="21"/>
                      <w:u w:val="single"/>
                    </w:rPr>
                  </w:pPr>
                  <w:r>
                    <w:rPr>
                      <w:rFonts w:hint="default"/>
                      <w:b/>
                      <w:bCs/>
                      <w:szCs w:val="21"/>
                      <w:u w:val="single"/>
                    </w:rPr>
                    <w:t>纬度</w:t>
                  </w:r>
                </w:p>
              </w:tc>
              <w:tc>
                <w:tcPr>
                  <w:tcW w:w="534" w:type="pct"/>
                  <w:vMerge w:val="continue"/>
                  <w:tcBorders>
                    <w:tl2br w:val="nil"/>
                    <w:tr2bl w:val="nil"/>
                  </w:tcBorders>
                  <w:vAlign w:val="center"/>
                </w:tcPr>
                <w:p w14:paraId="4CF47D61">
                  <w:pPr>
                    <w:keepNext w:val="0"/>
                    <w:keepLines w:val="0"/>
                    <w:widowControl/>
                    <w:suppressLineNumbers w:val="0"/>
                    <w:spacing w:before="0" w:beforeAutospacing="0" w:after="0" w:afterAutospacing="0"/>
                    <w:ind w:left="0" w:right="0"/>
                    <w:rPr>
                      <w:rFonts w:hint="default"/>
                      <w:szCs w:val="21"/>
                      <w:u w:val="single"/>
                    </w:rPr>
                  </w:pPr>
                </w:p>
              </w:tc>
              <w:tc>
                <w:tcPr>
                  <w:tcW w:w="694" w:type="pct"/>
                  <w:vMerge w:val="continue"/>
                  <w:tcBorders>
                    <w:tl2br w:val="nil"/>
                    <w:tr2bl w:val="nil"/>
                  </w:tcBorders>
                  <w:vAlign w:val="center"/>
                </w:tcPr>
                <w:p w14:paraId="58513540">
                  <w:pPr>
                    <w:keepNext w:val="0"/>
                    <w:keepLines w:val="0"/>
                    <w:widowControl/>
                    <w:suppressLineNumbers w:val="0"/>
                    <w:spacing w:before="0" w:beforeAutospacing="0" w:after="0" w:afterAutospacing="0"/>
                    <w:ind w:left="0" w:right="0"/>
                    <w:rPr>
                      <w:rFonts w:hint="default"/>
                      <w:szCs w:val="21"/>
                      <w:u w:val="single"/>
                    </w:rPr>
                  </w:pPr>
                </w:p>
              </w:tc>
              <w:tc>
                <w:tcPr>
                  <w:tcW w:w="609" w:type="pct"/>
                  <w:vMerge w:val="continue"/>
                  <w:tcBorders>
                    <w:tl2br w:val="nil"/>
                    <w:tr2bl w:val="nil"/>
                  </w:tcBorders>
                  <w:vAlign w:val="center"/>
                </w:tcPr>
                <w:p w14:paraId="6B682E26">
                  <w:pPr>
                    <w:keepNext w:val="0"/>
                    <w:keepLines w:val="0"/>
                    <w:widowControl/>
                    <w:suppressLineNumbers w:val="0"/>
                    <w:spacing w:before="0" w:beforeAutospacing="0" w:after="0" w:afterAutospacing="0"/>
                    <w:ind w:left="0" w:right="0"/>
                    <w:rPr>
                      <w:rFonts w:hint="default"/>
                      <w:szCs w:val="21"/>
                      <w:u w:val="single"/>
                    </w:rPr>
                  </w:pPr>
                </w:p>
              </w:tc>
            </w:tr>
            <w:tr w14:paraId="3E5DF8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9" w:type="pct"/>
                  <w:tcBorders>
                    <w:tl2br w:val="nil"/>
                    <w:tr2bl w:val="nil"/>
                  </w:tcBorders>
                  <w:vAlign w:val="center"/>
                </w:tcPr>
                <w:p w14:paraId="0045A64B">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szCs w:val="21"/>
                      <w:u w:val="single"/>
                    </w:rPr>
                  </w:pPr>
                  <w:r>
                    <w:rPr>
                      <w:rFonts w:hint="default"/>
                      <w:szCs w:val="21"/>
                      <w:u w:val="single"/>
                    </w:rPr>
                    <w:t>1</w:t>
                  </w:r>
                </w:p>
              </w:tc>
              <w:tc>
                <w:tcPr>
                  <w:tcW w:w="847" w:type="pct"/>
                  <w:tcBorders>
                    <w:tl2br w:val="nil"/>
                    <w:tr2bl w:val="nil"/>
                  </w:tcBorders>
                  <w:vAlign w:val="center"/>
                </w:tcPr>
                <w:p w14:paraId="72BE7D7A">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szCs w:val="21"/>
                      <w:u w:val="single"/>
                    </w:rPr>
                  </w:pPr>
                  <w:r>
                    <w:rPr>
                      <w:rFonts w:hint="eastAsia"/>
                      <w:szCs w:val="21"/>
                      <w:u w:val="single"/>
                      <w:lang w:val="en-US" w:eastAsia="zh-CN"/>
                    </w:rPr>
                    <w:t>DA001</w:t>
                  </w:r>
                  <w:r>
                    <w:rPr>
                      <w:rFonts w:hint="default"/>
                      <w:szCs w:val="21"/>
                      <w:u w:val="single"/>
                    </w:rPr>
                    <w:t>排气筒</w:t>
                  </w:r>
                </w:p>
              </w:tc>
              <w:tc>
                <w:tcPr>
                  <w:tcW w:w="704" w:type="pct"/>
                  <w:tcBorders>
                    <w:tl2br w:val="nil"/>
                    <w:tr2bl w:val="nil"/>
                  </w:tcBorders>
                  <w:vAlign w:val="center"/>
                </w:tcPr>
                <w:p w14:paraId="7B16216D">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szCs w:val="21"/>
                      <w:u w:val="single"/>
                    </w:rPr>
                  </w:pPr>
                  <w:r>
                    <w:rPr>
                      <w:rFonts w:hint="default"/>
                      <w:szCs w:val="21"/>
                      <w:u w:val="single"/>
                    </w:rPr>
                    <w:t>一般排放口</w:t>
                  </w:r>
                </w:p>
              </w:tc>
              <w:tc>
                <w:tcPr>
                  <w:tcW w:w="699" w:type="pct"/>
                  <w:tcBorders>
                    <w:tl2br w:val="nil"/>
                    <w:tr2bl w:val="nil"/>
                  </w:tcBorders>
                  <w:vAlign w:val="center"/>
                </w:tcPr>
                <w:p w14:paraId="77B61607">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112.953835°</w:t>
                  </w:r>
                </w:p>
              </w:tc>
              <w:tc>
                <w:tcPr>
                  <w:tcW w:w="640" w:type="pct"/>
                  <w:tcBorders>
                    <w:tl2br w:val="nil"/>
                    <w:tr2bl w:val="nil"/>
                  </w:tcBorders>
                  <w:vAlign w:val="center"/>
                </w:tcPr>
                <w:p w14:paraId="51AAECBA">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ascii="Times New Roman" w:hAnsi="Times New Roman" w:eastAsia="宋体" w:cs="Times New Roman"/>
                      <w:szCs w:val="21"/>
                      <w:u w:val="single"/>
                      <w:lang w:val="en-US" w:eastAsia="zh-CN"/>
                    </w:rPr>
                  </w:pPr>
                  <w:r>
                    <w:rPr>
                      <w:rFonts w:hint="default" w:ascii="Times New Roman" w:hAnsi="Times New Roman" w:cs="Times New Roman"/>
                      <w:szCs w:val="21"/>
                      <w:u w:val="single"/>
                      <w:lang w:val="en-US" w:eastAsia="zh-CN"/>
                    </w:rPr>
                    <w:t>29.44432</w:t>
                  </w:r>
                  <w:r>
                    <w:rPr>
                      <w:rFonts w:hint="eastAsia" w:cs="Times New Roman"/>
                      <w:szCs w:val="21"/>
                      <w:u w:val="single"/>
                      <w:lang w:val="en-US" w:eastAsia="zh-CN"/>
                    </w:rPr>
                    <w:t>2</w:t>
                  </w:r>
                  <w:r>
                    <w:rPr>
                      <w:rFonts w:hint="default" w:ascii="Times New Roman" w:hAnsi="Times New Roman" w:cs="Times New Roman"/>
                      <w:szCs w:val="21"/>
                      <w:u w:val="single"/>
                      <w:lang w:val="en-US" w:eastAsia="zh-CN"/>
                    </w:rPr>
                    <w:t>°</w:t>
                  </w:r>
                </w:p>
              </w:tc>
              <w:tc>
                <w:tcPr>
                  <w:tcW w:w="534" w:type="pct"/>
                  <w:tcBorders>
                    <w:tl2br w:val="nil"/>
                    <w:tr2bl w:val="nil"/>
                  </w:tcBorders>
                  <w:vAlign w:val="center"/>
                </w:tcPr>
                <w:p w14:paraId="00AA5C9F">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35</w:t>
                  </w:r>
                </w:p>
              </w:tc>
              <w:tc>
                <w:tcPr>
                  <w:tcW w:w="694" w:type="pct"/>
                  <w:tcBorders>
                    <w:tl2br w:val="nil"/>
                    <w:tr2bl w:val="nil"/>
                  </w:tcBorders>
                  <w:vAlign w:val="center"/>
                </w:tcPr>
                <w:p w14:paraId="05E08FC2">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0.75</w:t>
                  </w:r>
                </w:p>
              </w:tc>
              <w:tc>
                <w:tcPr>
                  <w:tcW w:w="609" w:type="pct"/>
                  <w:tcBorders>
                    <w:tl2br w:val="nil"/>
                    <w:tr2bl w:val="nil"/>
                  </w:tcBorders>
                  <w:vAlign w:val="center"/>
                </w:tcPr>
                <w:p w14:paraId="5605F6FE">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88.7</w:t>
                  </w:r>
                </w:p>
              </w:tc>
            </w:tr>
            <w:tr w14:paraId="01A6B4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9" w:type="pct"/>
                  <w:tcBorders>
                    <w:tl2br w:val="nil"/>
                    <w:tr2bl w:val="nil"/>
                  </w:tcBorders>
                  <w:vAlign w:val="center"/>
                </w:tcPr>
                <w:p w14:paraId="21D6F606">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2</w:t>
                  </w:r>
                </w:p>
              </w:tc>
              <w:tc>
                <w:tcPr>
                  <w:tcW w:w="847" w:type="pct"/>
                  <w:tcBorders>
                    <w:tl2br w:val="nil"/>
                    <w:tr2bl w:val="nil"/>
                  </w:tcBorders>
                  <w:vAlign w:val="center"/>
                </w:tcPr>
                <w:p w14:paraId="5AC2B0BF">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DA002排气筒</w:t>
                  </w:r>
                </w:p>
              </w:tc>
              <w:tc>
                <w:tcPr>
                  <w:tcW w:w="704" w:type="pct"/>
                  <w:tcBorders>
                    <w:tl2br w:val="nil"/>
                    <w:tr2bl w:val="nil"/>
                  </w:tcBorders>
                  <w:shd w:val="clear" w:color="auto" w:fill="auto"/>
                  <w:vAlign w:val="center"/>
                </w:tcPr>
                <w:p w14:paraId="545CD035">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ascii="Times New Roman" w:hAnsi="Times New Roman" w:eastAsia="宋体" w:cs="Times New Roman"/>
                      <w:kern w:val="2"/>
                      <w:sz w:val="21"/>
                      <w:szCs w:val="21"/>
                      <w:u w:val="single"/>
                      <w:lang w:val="en-US" w:eastAsia="zh-CN" w:bidi="ar-SA"/>
                    </w:rPr>
                  </w:pPr>
                  <w:r>
                    <w:rPr>
                      <w:rFonts w:hint="default"/>
                      <w:szCs w:val="21"/>
                      <w:u w:val="single"/>
                    </w:rPr>
                    <w:t>一般排放口</w:t>
                  </w:r>
                </w:p>
              </w:tc>
              <w:tc>
                <w:tcPr>
                  <w:tcW w:w="699" w:type="pct"/>
                  <w:tcBorders>
                    <w:tl2br w:val="nil"/>
                    <w:tr2bl w:val="nil"/>
                  </w:tcBorders>
                  <w:shd w:val="clear" w:color="auto" w:fill="auto"/>
                  <w:vAlign w:val="center"/>
                </w:tcPr>
                <w:p w14:paraId="3092DBD1">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ascii="Times New Roman" w:hAnsi="Times New Roman" w:eastAsia="宋体" w:cs="Times New Roman"/>
                      <w:kern w:val="2"/>
                      <w:sz w:val="21"/>
                      <w:szCs w:val="21"/>
                      <w:u w:val="single"/>
                      <w:lang w:val="en-US" w:eastAsia="zh-CN" w:bidi="ar-SA"/>
                    </w:rPr>
                  </w:pPr>
                  <w:r>
                    <w:rPr>
                      <w:rFonts w:hint="default" w:ascii="Times New Roman" w:hAnsi="Times New Roman" w:cs="Times New Roman"/>
                      <w:szCs w:val="21"/>
                      <w:u w:val="single"/>
                      <w:lang w:val="en-US" w:eastAsia="zh-CN"/>
                    </w:rPr>
                    <w:t>112.95</w:t>
                  </w:r>
                  <w:r>
                    <w:rPr>
                      <w:rFonts w:hint="eastAsia" w:cs="Times New Roman"/>
                      <w:szCs w:val="21"/>
                      <w:u w:val="single"/>
                      <w:lang w:val="en-US" w:eastAsia="zh-CN"/>
                    </w:rPr>
                    <w:t>2363</w:t>
                  </w:r>
                  <w:r>
                    <w:rPr>
                      <w:rFonts w:hint="default" w:ascii="Times New Roman" w:hAnsi="Times New Roman" w:cs="Times New Roman"/>
                      <w:szCs w:val="21"/>
                      <w:u w:val="single"/>
                      <w:lang w:val="en-US" w:eastAsia="zh-CN"/>
                    </w:rPr>
                    <w:t>°</w:t>
                  </w:r>
                </w:p>
              </w:tc>
              <w:tc>
                <w:tcPr>
                  <w:tcW w:w="640" w:type="pct"/>
                  <w:tcBorders>
                    <w:tl2br w:val="nil"/>
                    <w:tr2bl w:val="nil"/>
                  </w:tcBorders>
                  <w:shd w:val="clear" w:color="auto" w:fill="auto"/>
                  <w:vAlign w:val="center"/>
                </w:tcPr>
                <w:p w14:paraId="67ECA515">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ascii="Times New Roman" w:hAnsi="Times New Roman" w:eastAsia="宋体" w:cs="Times New Roman"/>
                      <w:kern w:val="2"/>
                      <w:sz w:val="21"/>
                      <w:szCs w:val="21"/>
                      <w:u w:val="single"/>
                      <w:lang w:val="en-US" w:eastAsia="zh-CN" w:bidi="ar-SA"/>
                    </w:rPr>
                  </w:pPr>
                  <w:r>
                    <w:rPr>
                      <w:rFonts w:hint="default" w:ascii="Times New Roman" w:hAnsi="Times New Roman" w:cs="Times New Roman"/>
                      <w:szCs w:val="21"/>
                      <w:u w:val="single"/>
                      <w:lang w:val="en-US" w:eastAsia="zh-CN"/>
                    </w:rPr>
                    <w:t>29.44</w:t>
                  </w:r>
                  <w:r>
                    <w:rPr>
                      <w:rFonts w:hint="eastAsia" w:cs="Times New Roman"/>
                      <w:szCs w:val="21"/>
                      <w:u w:val="single"/>
                      <w:lang w:val="en-US" w:eastAsia="zh-CN"/>
                    </w:rPr>
                    <w:t>4224</w:t>
                  </w:r>
                  <w:r>
                    <w:rPr>
                      <w:rFonts w:hint="default" w:ascii="Times New Roman" w:hAnsi="Times New Roman" w:cs="Times New Roman"/>
                      <w:szCs w:val="21"/>
                      <w:u w:val="single"/>
                      <w:lang w:val="en-US" w:eastAsia="zh-CN"/>
                    </w:rPr>
                    <w:t>°</w:t>
                  </w:r>
                </w:p>
              </w:tc>
              <w:tc>
                <w:tcPr>
                  <w:tcW w:w="534" w:type="pct"/>
                  <w:tcBorders>
                    <w:tl2br w:val="nil"/>
                    <w:tr2bl w:val="nil"/>
                  </w:tcBorders>
                  <w:vAlign w:val="center"/>
                </w:tcPr>
                <w:p w14:paraId="4CE0C65E">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21</w:t>
                  </w:r>
                </w:p>
              </w:tc>
              <w:tc>
                <w:tcPr>
                  <w:tcW w:w="694" w:type="pct"/>
                  <w:tcBorders>
                    <w:tl2br w:val="nil"/>
                    <w:tr2bl w:val="nil"/>
                  </w:tcBorders>
                  <w:vAlign w:val="center"/>
                </w:tcPr>
                <w:p w14:paraId="4852F04B">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0.81</w:t>
                  </w:r>
                </w:p>
              </w:tc>
              <w:tc>
                <w:tcPr>
                  <w:tcW w:w="609" w:type="pct"/>
                  <w:tcBorders>
                    <w:tl2br w:val="nil"/>
                    <w:tr2bl w:val="nil"/>
                  </w:tcBorders>
                  <w:vAlign w:val="center"/>
                </w:tcPr>
                <w:p w14:paraId="18ABE77E">
                  <w:pPr>
                    <w:keepNext w:val="0"/>
                    <w:keepLines w:val="0"/>
                    <w:widowControl/>
                    <w:suppressLineNumbers w:val="0"/>
                    <w:autoSpaceDE w:val="0"/>
                    <w:adjustRightInd w:val="0"/>
                    <w:snapToGrid w:val="0"/>
                    <w:spacing w:before="48" w:beforeLines="20" w:beforeAutospacing="0" w:after="48" w:afterLines="20" w:afterAutospacing="0"/>
                    <w:ind w:left="-105" w:leftChars="-50" w:right="-105" w:rightChars="-50"/>
                    <w:jc w:val="center"/>
                    <w:rPr>
                      <w:rFonts w:hint="default" w:eastAsia="宋体"/>
                      <w:szCs w:val="21"/>
                      <w:u w:val="single"/>
                      <w:lang w:val="en-US" w:eastAsia="zh-CN"/>
                    </w:rPr>
                  </w:pPr>
                  <w:r>
                    <w:rPr>
                      <w:rFonts w:hint="eastAsia"/>
                      <w:szCs w:val="21"/>
                      <w:u w:val="single"/>
                      <w:lang w:val="en-US" w:eastAsia="zh-CN"/>
                    </w:rPr>
                    <w:t>30.9</w:t>
                  </w:r>
                </w:p>
              </w:tc>
            </w:tr>
          </w:tbl>
          <w:p w14:paraId="4F658424">
            <w:pPr>
              <w:keepNext w:val="0"/>
              <w:keepLines w:val="0"/>
              <w:widowControl/>
              <w:suppressLineNumbers w:val="0"/>
              <w:spacing w:before="120" w:beforeLines="50" w:beforeAutospacing="0" w:after="0" w:afterAutospacing="0" w:line="360" w:lineRule="auto"/>
              <w:ind w:left="0" w:right="0"/>
              <w:rPr>
                <w:rFonts w:hint="eastAsia"/>
                <w:b/>
                <w:bCs/>
                <w:sz w:val="24"/>
                <w:highlight w:val="none"/>
                <w:lang w:val="en-US" w:eastAsia="zh-CN"/>
              </w:rPr>
            </w:pPr>
            <w:r>
              <w:rPr>
                <w:rFonts w:hint="eastAsia"/>
                <w:b/>
                <w:bCs/>
                <w:sz w:val="24"/>
                <w:highlight w:val="none"/>
                <w:lang w:val="en-US" w:eastAsia="zh-CN"/>
              </w:rPr>
              <w:t>1.4排气筒可行性分析</w:t>
            </w:r>
          </w:p>
          <w:p w14:paraId="6C67DF3D">
            <w:pPr>
              <w:pStyle w:val="7"/>
              <w:keepNext w:val="0"/>
              <w:keepLines w:val="0"/>
              <w:suppressLineNumbers w:val="0"/>
              <w:spacing w:before="0" w:beforeAutospacing="0" w:after="0" w:afterAutospacing="0" w:line="360" w:lineRule="auto"/>
              <w:ind w:left="0" w:right="0"/>
              <w:rPr>
                <w:rFonts w:hint="eastAsia"/>
                <w:sz w:val="24"/>
                <w:u w:val="single"/>
                <w:lang w:val="en-US" w:eastAsia="zh-CN"/>
              </w:rPr>
            </w:pPr>
            <w:r>
              <w:rPr>
                <w:rFonts w:hint="eastAsia"/>
                <w:sz w:val="24"/>
                <w:u w:val="single"/>
                <w:lang w:val="en-US" w:eastAsia="zh-CN"/>
              </w:rPr>
              <w:t>1、锅炉排气筒合格分析</w:t>
            </w:r>
          </w:p>
          <w:p w14:paraId="4BD7E0D2">
            <w:pPr>
              <w:keepNext w:val="0"/>
              <w:keepLines w:val="0"/>
              <w:suppressLineNumbers w:val="0"/>
              <w:spacing w:before="0" w:beforeAutospacing="0" w:after="0" w:afterAutospacing="0" w:line="360" w:lineRule="auto"/>
              <w:ind w:left="0" w:right="0" w:firstLine="480" w:firstLineChars="200"/>
              <w:rPr>
                <w:rFonts w:hint="eastAsia"/>
                <w:sz w:val="24"/>
                <w:szCs w:val="24"/>
                <w:u w:val="single"/>
                <w:lang w:val="en-US" w:eastAsia="zh-CN"/>
              </w:rPr>
            </w:pPr>
            <w:r>
              <w:rPr>
                <w:rFonts w:hint="eastAsia"/>
                <w:sz w:val="24"/>
                <w:szCs w:val="24"/>
                <w:u w:val="single"/>
                <w:lang w:val="en-US" w:eastAsia="zh-CN"/>
              </w:rPr>
              <w:t>根据《锅炉房实用手册》，对于电站锅炉、工业锅炉等烟气排放量较大的情况，锅炉排气筒烟气出口烟气流速宜在10-30m/s，15m/s为最佳，本项目锅炉排气筒为新建排气筒，高度为35m，烟道截面积为0.4418m</w:t>
            </w:r>
            <w:r>
              <w:rPr>
                <w:rFonts w:hint="eastAsia"/>
                <w:sz w:val="24"/>
                <w:szCs w:val="24"/>
                <w:u w:val="single"/>
                <w:vertAlign w:val="superscript"/>
                <w:lang w:val="en-US" w:eastAsia="zh-CN"/>
              </w:rPr>
              <w:t>2</w:t>
            </w:r>
            <w:r>
              <w:rPr>
                <w:rFonts w:hint="eastAsia"/>
                <w:sz w:val="24"/>
                <w:szCs w:val="24"/>
                <w:u w:val="single"/>
                <w:lang w:val="en-US" w:eastAsia="zh-CN"/>
              </w:rPr>
              <w:t>，引风机流量为30000m</w:t>
            </w:r>
            <w:r>
              <w:rPr>
                <w:rFonts w:hint="eastAsia"/>
                <w:sz w:val="24"/>
                <w:szCs w:val="24"/>
                <w:u w:val="single"/>
                <w:vertAlign w:val="superscript"/>
                <w:lang w:val="en-US" w:eastAsia="zh-CN"/>
              </w:rPr>
              <w:t>3</w:t>
            </w:r>
            <w:r>
              <w:rPr>
                <w:rFonts w:hint="eastAsia"/>
                <w:sz w:val="24"/>
                <w:szCs w:val="24"/>
                <w:u w:val="single"/>
                <w:lang w:val="en-US" w:eastAsia="zh-CN"/>
              </w:rPr>
              <w:t>/h，根据计算，本项目锅炉排气筒出口烟气流速为18.86m/s，符合要求，本项目新建锅炉废气排气筒合格。</w:t>
            </w:r>
          </w:p>
          <w:p w14:paraId="1E184EEB">
            <w:pPr>
              <w:pStyle w:val="7"/>
              <w:keepNext w:val="0"/>
              <w:keepLines w:val="0"/>
              <w:suppressLineNumbers w:val="0"/>
              <w:spacing w:before="0" w:beforeAutospacing="0" w:after="0" w:afterAutospacing="0" w:line="360" w:lineRule="auto"/>
              <w:ind w:left="0" w:right="0"/>
              <w:rPr>
                <w:rFonts w:hint="eastAsia"/>
                <w:sz w:val="24"/>
                <w:szCs w:val="24"/>
                <w:u w:val="single"/>
                <w:lang w:val="en-US" w:eastAsia="zh-CN"/>
              </w:rPr>
            </w:pPr>
            <w:r>
              <w:rPr>
                <w:rFonts w:hint="eastAsia"/>
                <w:sz w:val="24"/>
                <w:szCs w:val="24"/>
                <w:u w:val="single"/>
                <w:lang w:val="en-US" w:eastAsia="zh-CN"/>
              </w:rPr>
              <w:t>2、油烟排气筒依托可行性分析</w:t>
            </w:r>
          </w:p>
          <w:p w14:paraId="03C86825">
            <w:pPr>
              <w:keepNext w:val="0"/>
              <w:keepLines w:val="0"/>
              <w:suppressLineNumbers w:val="0"/>
              <w:spacing w:before="0" w:beforeAutospacing="0" w:after="0" w:afterAutospacing="0" w:line="360" w:lineRule="auto"/>
              <w:ind w:left="0" w:right="0" w:firstLine="480" w:firstLineChars="200"/>
              <w:rPr>
                <w:rFonts w:hint="eastAsia"/>
                <w:sz w:val="24"/>
                <w:szCs w:val="24"/>
                <w:u w:val="single"/>
                <w:lang w:val="en-US" w:eastAsia="zh-CN"/>
              </w:rPr>
            </w:pPr>
            <w:r>
              <w:rPr>
                <w:rFonts w:hint="eastAsia"/>
                <w:sz w:val="24"/>
                <w:szCs w:val="24"/>
                <w:u w:val="single"/>
                <w:lang w:val="en-US" w:eastAsia="zh-CN"/>
              </w:rPr>
              <w:t>根据《大气污染治理治理工程技术导则》（HJ2000-2010），排气筒烟气出口流速宜取15m/s左右，本项目油烟排气筒高度为21m，根据建设方提供资料，厂区鱼制品油炸工序和肉制品油炸工序错峰生产，本项目新增风机风量28000m</w:t>
            </w:r>
            <w:r>
              <w:rPr>
                <w:rFonts w:hint="eastAsia"/>
                <w:sz w:val="24"/>
                <w:szCs w:val="24"/>
                <w:u w:val="single"/>
                <w:vertAlign w:val="superscript"/>
                <w:lang w:val="en-US" w:eastAsia="zh-CN"/>
              </w:rPr>
              <w:t>3</w:t>
            </w:r>
            <w:r>
              <w:rPr>
                <w:rFonts w:hint="eastAsia"/>
                <w:sz w:val="24"/>
                <w:szCs w:val="24"/>
                <w:u w:val="single"/>
                <w:lang w:val="en-US" w:eastAsia="zh-CN"/>
              </w:rPr>
              <w:t>/h，烟道截面积为</w:t>
            </w:r>
            <w:r>
              <w:rPr>
                <w:rFonts w:hint="eastAsia"/>
                <w:sz w:val="24"/>
                <w:szCs w:val="24"/>
                <w:highlight w:val="none"/>
                <w:u w:val="single"/>
                <w:lang w:val="en-US" w:eastAsia="zh-CN"/>
              </w:rPr>
              <w:t>0.5027m</w:t>
            </w:r>
            <w:r>
              <w:rPr>
                <w:rFonts w:hint="eastAsia"/>
                <w:sz w:val="24"/>
                <w:szCs w:val="24"/>
                <w:highlight w:val="none"/>
                <w:u w:val="single"/>
                <w:vertAlign w:val="superscript"/>
                <w:lang w:val="en-US" w:eastAsia="zh-CN"/>
              </w:rPr>
              <w:t>2</w:t>
            </w:r>
            <w:r>
              <w:rPr>
                <w:rFonts w:hint="eastAsia"/>
                <w:sz w:val="24"/>
                <w:szCs w:val="24"/>
                <w:highlight w:val="none"/>
                <w:u w:val="single"/>
                <w:lang w:val="en-US" w:eastAsia="zh-CN"/>
              </w:rPr>
              <w:t>，根据计算本项目油烟排气筒出口烟气流速为15.47m/s，</w:t>
            </w:r>
            <w:r>
              <w:rPr>
                <w:rFonts w:hint="eastAsia"/>
                <w:sz w:val="24"/>
                <w:szCs w:val="24"/>
                <w:u w:val="single"/>
                <w:lang w:val="en-US" w:eastAsia="zh-CN"/>
              </w:rPr>
              <w:t>符合要求。故本项目依托厂区现有油烟废气排气筒具有可行性。</w:t>
            </w:r>
          </w:p>
          <w:p w14:paraId="3866979F">
            <w:pPr>
              <w:keepNext w:val="0"/>
              <w:keepLines w:val="0"/>
              <w:suppressLineNumbers w:val="0"/>
              <w:spacing w:before="0" w:beforeAutospacing="0" w:after="0" w:afterAutospacing="0" w:line="360" w:lineRule="auto"/>
              <w:ind w:left="0" w:right="0"/>
              <w:rPr>
                <w:rFonts w:hint="default" w:ascii="Times New Roman" w:hAnsi="Times New Roman" w:cs="Times New Roman"/>
                <w:b/>
                <w:bCs/>
                <w:sz w:val="24"/>
                <w:u w:val="single"/>
                <w:lang w:val="en-US" w:eastAsia="zh-CN"/>
              </w:rPr>
            </w:pPr>
            <w:r>
              <w:rPr>
                <w:rFonts w:hint="default" w:ascii="Times New Roman" w:hAnsi="Times New Roman" w:cs="Times New Roman"/>
                <w:b/>
                <w:bCs/>
                <w:sz w:val="24"/>
                <w:lang w:val="en-US" w:eastAsia="zh-CN"/>
              </w:rPr>
              <w:t>1.</w:t>
            </w:r>
            <w:r>
              <w:rPr>
                <w:rFonts w:hint="eastAsia" w:cs="Times New Roman"/>
                <w:b/>
                <w:bCs/>
                <w:sz w:val="24"/>
                <w:lang w:val="en-US" w:eastAsia="zh-CN"/>
              </w:rPr>
              <w:t>5</w:t>
            </w:r>
            <w:r>
              <w:rPr>
                <w:rFonts w:hint="eastAsia" w:ascii="Times New Roman" w:hAnsi="Times New Roman" w:cs="Times New Roman"/>
                <w:b/>
                <w:bCs/>
                <w:sz w:val="24"/>
                <w:u w:val="single"/>
                <w:lang w:val="en-US" w:eastAsia="zh-CN"/>
              </w:rPr>
              <w:t>废气</w:t>
            </w:r>
            <w:r>
              <w:rPr>
                <w:rFonts w:hint="default" w:ascii="Times New Roman" w:hAnsi="Times New Roman" w:cs="Times New Roman"/>
                <w:b/>
                <w:bCs/>
                <w:sz w:val="24"/>
                <w:u w:val="single"/>
                <w:lang w:val="en-US" w:eastAsia="zh-CN"/>
              </w:rPr>
              <w:t>处理措施可行性</w:t>
            </w:r>
            <w:r>
              <w:rPr>
                <w:rFonts w:hint="eastAsia" w:ascii="Times New Roman" w:hAnsi="Times New Roman" w:cs="Times New Roman"/>
                <w:b/>
                <w:bCs/>
                <w:sz w:val="24"/>
                <w:u w:val="single"/>
                <w:lang w:val="en-US" w:eastAsia="zh-CN"/>
              </w:rPr>
              <w:t>分析</w:t>
            </w:r>
          </w:p>
          <w:p w14:paraId="4E21742D">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kern w:val="2"/>
                <w:sz w:val="24"/>
                <w:szCs w:val="24"/>
                <w:u w:val="single"/>
                <w:lang w:val="en-US" w:eastAsia="zh-CN" w:bidi="ar-SA"/>
              </w:rPr>
            </w:pPr>
            <w:r>
              <w:rPr>
                <w:rFonts w:hint="eastAsia" w:ascii="Times New Roman" w:hAnsi="Times New Roman" w:eastAsia="宋体" w:cs="Times New Roman"/>
                <w:kern w:val="2"/>
                <w:sz w:val="24"/>
                <w:szCs w:val="24"/>
                <w:u w:val="single"/>
                <w:lang w:val="en-US" w:eastAsia="zh-CN" w:bidi="ar-SA"/>
              </w:rPr>
              <w:t>1、锅炉废气处理措施可行性分析</w:t>
            </w:r>
          </w:p>
          <w:p w14:paraId="7AA95350">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kern w:val="2"/>
                <w:sz w:val="24"/>
                <w:szCs w:val="24"/>
                <w:u w:val="single"/>
                <w:lang w:val="en-US" w:eastAsia="zh-CN" w:bidi="ar-SA"/>
              </w:rPr>
            </w:pPr>
            <w:r>
              <w:rPr>
                <w:rFonts w:hint="eastAsia" w:ascii="Times New Roman" w:hAnsi="Times New Roman" w:eastAsia="宋体" w:cs="Times New Roman"/>
                <w:kern w:val="2"/>
                <w:sz w:val="24"/>
                <w:szCs w:val="24"/>
                <w:u w:val="single"/>
                <w:lang w:val="en-US" w:eastAsia="zh-CN" w:bidi="ar-SA"/>
              </w:rPr>
              <w:t>本项目锅炉废气通过单管旋风除尘+布袋除尘技术处理后通过35m高DA001排气筒排放。</w:t>
            </w:r>
            <w:r>
              <w:rPr>
                <w:rFonts w:hint="default" w:ascii="Times New Roman" w:hAnsi="Times New Roman" w:eastAsia="宋体" w:cs="Times New Roman"/>
                <w:kern w:val="2"/>
                <w:sz w:val="24"/>
                <w:szCs w:val="24"/>
                <w:u w:val="single"/>
                <w:lang w:val="en-US" w:eastAsia="zh-CN" w:bidi="ar-SA"/>
              </w:rPr>
              <w:t xml:space="preserve">根据《排污许可证申请与核发技术规范 </w:t>
            </w:r>
            <w:r>
              <w:rPr>
                <w:rFonts w:hint="eastAsia" w:ascii="Times New Roman" w:hAnsi="Times New Roman" w:eastAsia="宋体" w:cs="Times New Roman"/>
                <w:kern w:val="2"/>
                <w:sz w:val="24"/>
                <w:szCs w:val="24"/>
                <w:u w:val="single"/>
                <w:lang w:val="en-US" w:eastAsia="zh-CN" w:bidi="ar-SA"/>
              </w:rPr>
              <w:t>锅炉</w:t>
            </w:r>
            <w:r>
              <w:rPr>
                <w:rFonts w:hint="default" w:ascii="Times New Roman" w:hAnsi="Times New Roman" w:eastAsia="宋体" w:cs="Times New Roman"/>
                <w:kern w:val="2"/>
                <w:sz w:val="24"/>
                <w:szCs w:val="24"/>
                <w:u w:val="single"/>
                <w:lang w:val="en-US" w:eastAsia="zh-CN" w:bidi="ar-SA"/>
              </w:rPr>
              <w:t>》</w:t>
            </w:r>
            <w:r>
              <w:rPr>
                <w:rFonts w:hint="eastAsia" w:ascii="Times New Roman" w:hAnsi="Times New Roman" w:eastAsia="宋体" w:cs="Times New Roman"/>
                <w:kern w:val="2"/>
                <w:sz w:val="24"/>
                <w:szCs w:val="24"/>
                <w:u w:val="single"/>
                <w:lang w:val="en-US" w:eastAsia="zh-CN" w:bidi="ar-SA"/>
              </w:rPr>
              <w:t>（HJ953-2018）旋风除尘+袋式除尘技术为燃生物质锅炉废气处理可行性技术。</w:t>
            </w:r>
          </w:p>
          <w:p w14:paraId="3AFE94DC">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kern w:val="2"/>
                <w:sz w:val="24"/>
                <w:szCs w:val="24"/>
                <w:u w:val="single"/>
                <w:lang w:val="en-US" w:eastAsia="zh-CN" w:bidi="ar-SA"/>
              </w:rPr>
            </w:pPr>
            <w:r>
              <w:rPr>
                <w:rFonts w:hint="eastAsia" w:cs="Times New Roman"/>
                <w:kern w:val="2"/>
                <w:sz w:val="24"/>
                <w:szCs w:val="24"/>
                <w:u w:val="single"/>
                <w:lang w:val="en-US" w:eastAsia="zh-CN" w:bidi="ar-SA"/>
              </w:rPr>
              <w:t>根据表4-5计算数据，在不使用低氮燃烧技术及采用脱硫塔除硫的条件下，本项目锅炉废气氮氧化物和二氧化硫排放浓度均未超过《锅炉大气污染物排放标准》（GB13271-2014）表3大气污染物特别排放限值中燃煤锅炉标准相关要求，故本项目不使用低氮燃烧技术理论上可行。</w:t>
            </w:r>
          </w:p>
          <w:p w14:paraId="1F947BBC">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sz w:val="24"/>
                <w:u w:val="single"/>
                <w:lang w:val="en-US" w:eastAsia="zh-CN"/>
              </w:rPr>
            </w:pPr>
            <w:r>
              <w:rPr>
                <w:rFonts w:hint="default" w:ascii="Times New Roman" w:hAnsi="Times New Roman" w:eastAsia="宋体" w:cs="Times New Roman"/>
                <w:sz w:val="24"/>
                <w:u w:val="single"/>
                <w:lang w:val="en-US" w:eastAsia="zh-CN"/>
              </w:rPr>
              <w:t>旋风</w:t>
            </w:r>
            <w:r>
              <w:rPr>
                <w:rFonts w:hint="default" w:ascii="Times New Roman" w:hAnsi="Times New Roman" w:eastAsia="宋体" w:cs="Times New Roman"/>
                <w:sz w:val="24"/>
                <w:u w:val="single"/>
                <w:lang w:val="en-US" w:eastAsia="zh-CN"/>
              </w:rPr>
              <w:fldChar w:fldCharType="begin"/>
            </w:r>
            <w:r>
              <w:rPr>
                <w:rFonts w:hint="default" w:ascii="Times New Roman" w:hAnsi="Times New Roman" w:eastAsia="宋体" w:cs="Times New Roman"/>
                <w:sz w:val="24"/>
                <w:u w:val="single"/>
                <w:lang w:val="en-US" w:eastAsia="zh-CN"/>
              </w:rPr>
              <w:instrText xml:space="preserve"> HYPERLINK "https://baike.baidu.com/item/%E9%99%A4%E5%B0%98%E5%99%A8/391130?fromModule=lemma_inlink" \t "https://baike.baidu.com/item/%E6%97%8B%E9%A3%8E%E9%99%A4%E5%B0%98%E5%99%A8/_blank" </w:instrText>
            </w:r>
            <w:r>
              <w:rPr>
                <w:rFonts w:hint="default" w:ascii="Times New Roman" w:hAnsi="Times New Roman" w:eastAsia="宋体" w:cs="Times New Roman"/>
                <w:sz w:val="24"/>
                <w:u w:val="single"/>
                <w:lang w:val="en-US" w:eastAsia="zh-CN"/>
              </w:rPr>
              <w:fldChar w:fldCharType="separate"/>
            </w:r>
            <w:r>
              <w:rPr>
                <w:rFonts w:hint="default" w:ascii="Times New Roman" w:hAnsi="Times New Roman" w:eastAsia="宋体" w:cs="Times New Roman"/>
                <w:sz w:val="24"/>
                <w:u w:val="single"/>
                <w:lang w:val="en-US" w:eastAsia="zh-CN"/>
              </w:rPr>
              <w:t>除尘器</w:t>
            </w:r>
            <w:r>
              <w:rPr>
                <w:rFonts w:hint="default" w:ascii="Times New Roman" w:hAnsi="Times New Roman" w:eastAsia="宋体" w:cs="Times New Roman"/>
                <w:sz w:val="24"/>
                <w:u w:val="single"/>
                <w:lang w:val="en-US" w:eastAsia="zh-CN"/>
              </w:rPr>
              <w:fldChar w:fldCharType="end"/>
            </w:r>
            <w:r>
              <w:rPr>
                <w:rFonts w:hint="default" w:ascii="Times New Roman" w:hAnsi="Times New Roman" w:eastAsia="宋体" w:cs="Times New Roman"/>
                <w:sz w:val="24"/>
                <w:u w:val="single"/>
                <w:lang w:val="en-US" w:eastAsia="zh-CN"/>
              </w:rPr>
              <w:t>是除尘装置的一类</w:t>
            </w:r>
            <w:r>
              <w:rPr>
                <w:rFonts w:hint="eastAsia" w:ascii="Times New Roman" w:hAnsi="Times New Roman" w:eastAsia="宋体" w:cs="Times New Roman"/>
                <w:sz w:val="24"/>
                <w:u w:val="single"/>
                <w:lang w:val="en-US" w:eastAsia="zh-CN"/>
              </w:rPr>
              <w:t>，</w:t>
            </w:r>
            <w:r>
              <w:rPr>
                <w:rFonts w:hint="default" w:ascii="Times New Roman" w:hAnsi="Times New Roman" w:eastAsia="宋体" w:cs="Times New Roman"/>
                <w:sz w:val="24"/>
                <w:u w:val="single"/>
                <w:lang w:val="en-US" w:eastAsia="zh-CN"/>
              </w:rPr>
              <w:t>由</w:t>
            </w:r>
            <w:r>
              <w:rPr>
                <w:rFonts w:hint="default" w:ascii="Times New Roman" w:hAnsi="Times New Roman" w:eastAsia="宋体" w:cs="Times New Roman"/>
                <w:sz w:val="24"/>
                <w:u w:val="single"/>
                <w:lang w:val="en-US" w:eastAsia="zh-CN"/>
              </w:rPr>
              <w:fldChar w:fldCharType="begin"/>
            </w:r>
            <w:r>
              <w:rPr>
                <w:rFonts w:hint="default" w:ascii="Times New Roman" w:hAnsi="Times New Roman" w:eastAsia="宋体" w:cs="Times New Roman"/>
                <w:sz w:val="24"/>
                <w:u w:val="single"/>
                <w:lang w:val="en-US" w:eastAsia="zh-CN"/>
              </w:rPr>
              <w:instrText xml:space="preserve"> HYPERLINK "https://baike.baidu.com/item/%E8%BF%9B%E6%B0%94%E7%AE%A1/10118194?fromModule=lemma_inlink" \t "https://baike.baidu.com/item/%E6%97%8B%E9%A3%8E%E9%99%A4%E5%B0%98%E5%99%A8/_blank" </w:instrText>
            </w:r>
            <w:r>
              <w:rPr>
                <w:rFonts w:hint="default" w:ascii="Times New Roman" w:hAnsi="Times New Roman" w:eastAsia="宋体" w:cs="Times New Roman"/>
                <w:sz w:val="24"/>
                <w:u w:val="single"/>
                <w:lang w:val="en-US" w:eastAsia="zh-CN"/>
              </w:rPr>
              <w:fldChar w:fldCharType="separate"/>
            </w:r>
            <w:r>
              <w:rPr>
                <w:rFonts w:hint="default" w:ascii="Times New Roman" w:hAnsi="Times New Roman" w:eastAsia="宋体" w:cs="Times New Roman"/>
                <w:sz w:val="24"/>
                <w:u w:val="single"/>
                <w:lang w:val="en-US" w:eastAsia="zh-CN"/>
              </w:rPr>
              <w:t>进气管</w:t>
            </w:r>
            <w:r>
              <w:rPr>
                <w:rFonts w:hint="default" w:ascii="Times New Roman" w:hAnsi="Times New Roman" w:eastAsia="宋体" w:cs="Times New Roman"/>
                <w:sz w:val="24"/>
                <w:u w:val="single"/>
                <w:lang w:val="en-US" w:eastAsia="zh-CN"/>
              </w:rPr>
              <w:fldChar w:fldCharType="end"/>
            </w:r>
            <w:r>
              <w:rPr>
                <w:rFonts w:hint="default" w:ascii="Times New Roman" w:hAnsi="Times New Roman" w:eastAsia="宋体" w:cs="Times New Roman"/>
                <w:sz w:val="24"/>
                <w:u w:val="single"/>
                <w:lang w:val="en-US" w:eastAsia="zh-CN"/>
              </w:rPr>
              <w:t>、</w:t>
            </w:r>
            <w:r>
              <w:rPr>
                <w:rFonts w:hint="default" w:ascii="Times New Roman" w:hAnsi="Times New Roman" w:eastAsia="宋体" w:cs="Times New Roman"/>
                <w:sz w:val="24"/>
                <w:u w:val="single"/>
                <w:lang w:val="en-US" w:eastAsia="zh-CN"/>
              </w:rPr>
              <w:fldChar w:fldCharType="begin"/>
            </w:r>
            <w:r>
              <w:rPr>
                <w:rFonts w:hint="default" w:ascii="Times New Roman" w:hAnsi="Times New Roman" w:eastAsia="宋体" w:cs="Times New Roman"/>
                <w:sz w:val="24"/>
                <w:u w:val="single"/>
                <w:lang w:val="en-US" w:eastAsia="zh-CN"/>
              </w:rPr>
              <w:instrText xml:space="preserve"> HYPERLINK "https://baike.baidu.com/item/%E6%8E%92%E6%B0%94%E7%AE%A1/6591407?fromModule=lemma_inlink" \t "https://baike.baidu.com/item/%E6%97%8B%E9%A3%8E%E9%99%A4%E5%B0%98%E5%99%A8/_blank" </w:instrText>
            </w:r>
            <w:r>
              <w:rPr>
                <w:rFonts w:hint="default" w:ascii="Times New Roman" w:hAnsi="Times New Roman" w:eastAsia="宋体" w:cs="Times New Roman"/>
                <w:sz w:val="24"/>
                <w:u w:val="single"/>
                <w:lang w:val="en-US" w:eastAsia="zh-CN"/>
              </w:rPr>
              <w:fldChar w:fldCharType="separate"/>
            </w:r>
            <w:r>
              <w:rPr>
                <w:rFonts w:hint="default" w:ascii="Times New Roman" w:hAnsi="Times New Roman" w:eastAsia="宋体" w:cs="Times New Roman"/>
                <w:sz w:val="24"/>
                <w:u w:val="single"/>
                <w:lang w:val="en-US" w:eastAsia="zh-CN"/>
              </w:rPr>
              <w:t>排气管</w:t>
            </w:r>
            <w:r>
              <w:rPr>
                <w:rFonts w:hint="default" w:ascii="Times New Roman" w:hAnsi="Times New Roman" w:eastAsia="宋体" w:cs="Times New Roman"/>
                <w:sz w:val="24"/>
                <w:u w:val="single"/>
                <w:lang w:val="en-US" w:eastAsia="zh-CN"/>
              </w:rPr>
              <w:fldChar w:fldCharType="end"/>
            </w:r>
            <w:r>
              <w:rPr>
                <w:rFonts w:hint="default" w:ascii="Times New Roman" w:hAnsi="Times New Roman" w:eastAsia="宋体" w:cs="Times New Roman"/>
                <w:sz w:val="24"/>
                <w:u w:val="single"/>
                <w:lang w:val="en-US" w:eastAsia="zh-CN"/>
              </w:rPr>
              <w:t>、圆筒体、</w:t>
            </w:r>
            <w:r>
              <w:rPr>
                <w:rFonts w:hint="default" w:ascii="Times New Roman" w:hAnsi="Times New Roman" w:eastAsia="宋体" w:cs="Times New Roman"/>
                <w:sz w:val="24"/>
                <w:u w:val="single"/>
                <w:lang w:val="en-US" w:eastAsia="zh-CN"/>
              </w:rPr>
              <w:fldChar w:fldCharType="begin"/>
            </w:r>
            <w:r>
              <w:rPr>
                <w:rFonts w:hint="default" w:ascii="Times New Roman" w:hAnsi="Times New Roman" w:eastAsia="宋体" w:cs="Times New Roman"/>
                <w:sz w:val="24"/>
                <w:u w:val="single"/>
                <w:lang w:val="en-US" w:eastAsia="zh-CN"/>
              </w:rPr>
              <w:instrText xml:space="preserve"> HYPERLINK "https://baike.baidu.com/item/%E5%9C%86%E9%94%A5/2453504?fromModule=lemma_inlink" \t "https://baike.baidu.com/item/%E6%97%8B%E9%A3%8E%E9%99%A4%E5%B0%98%E5%99%A8/_blank" </w:instrText>
            </w:r>
            <w:r>
              <w:rPr>
                <w:rFonts w:hint="default" w:ascii="Times New Roman" w:hAnsi="Times New Roman" w:eastAsia="宋体" w:cs="Times New Roman"/>
                <w:sz w:val="24"/>
                <w:u w:val="single"/>
                <w:lang w:val="en-US" w:eastAsia="zh-CN"/>
              </w:rPr>
              <w:fldChar w:fldCharType="separate"/>
            </w:r>
            <w:r>
              <w:rPr>
                <w:rFonts w:hint="default" w:ascii="Times New Roman" w:hAnsi="Times New Roman" w:eastAsia="宋体" w:cs="Times New Roman"/>
                <w:sz w:val="24"/>
                <w:u w:val="single"/>
                <w:lang w:val="en-US" w:eastAsia="zh-CN"/>
              </w:rPr>
              <w:t>圆锥</w:t>
            </w:r>
            <w:r>
              <w:rPr>
                <w:rFonts w:hint="default" w:ascii="Times New Roman" w:hAnsi="Times New Roman" w:eastAsia="宋体" w:cs="Times New Roman"/>
                <w:sz w:val="24"/>
                <w:u w:val="single"/>
                <w:lang w:val="en-US" w:eastAsia="zh-CN"/>
              </w:rPr>
              <w:fldChar w:fldCharType="end"/>
            </w:r>
            <w:r>
              <w:rPr>
                <w:rFonts w:hint="default" w:ascii="Times New Roman" w:hAnsi="Times New Roman" w:eastAsia="宋体" w:cs="Times New Roman"/>
                <w:sz w:val="24"/>
                <w:u w:val="single"/>
                <w:lang w:val="en-US" w:eastAsia="zh-CN"/>
              </w:rPr>
              <w:t>体和灰斗组成。除尘机理是使含尘气流作</w:t>
            </w:r>
            <w:r>
              <w:rPr>
                <w:rFonts w:hint="default" w:ascii="Times New Roman" w:hAnsi="Times New Roman" w:eastAsia="宋体" w:cs="Times New Roman"/>
                <w:sz w:val="24"/>
                <w:u w:val="single"/>
                <w:lang w:val="en-US" w:eastAsia="zh-CN"/>
              </w:rPr>
              <w:fldChar w:fldCharType="begin"/>
            </w:r>
            <w:r>
              <w:rPr>
                <w:rFonts w:hint="default" w:ascii="Times New Roman" w:hAnsi="Times New Roman" w:eastAsia="宋体" w:cs="Times New Roman"/>
                <w:sz w:val="24"/>
                <w:u w:val="single"/>
                <w:lang w:val="en-US" w:eastAsia="zh-CN"/>
              </w:rPr>
              <w:instrText xml:space="preserve"> HYPERLINK "https://baike.baidu.com/item/%E6%97%8B%E8%BD%AC%E8%BF%90%E5%8A%A8/56428204?fromModule=lemma_inlink" \t "https://baike.baidu.com/item/%E6%97%8B%E9%A3%8E%E9%99%A4%E5%B0%98%E5%99%A8/_blank" </w:instrText>
            </w:r>
            <w:r>
              <w:rPr>
                <w:rFonts w:hint="default" w:ascii="Times New Roman" w:hAnsi="Times New Roman" w:eastAsia="宋体" w:cs="Times New Roman"/>
                <w:sz w:val="24"/>
                <w:u w:val="single"/>
                <w:lang w:val="en-US" w:eastAsia="zh-CN"/>
              </w:rPr>
              <w:fldChar w:fldCharType="separate"/>
            </w:r>
            <w:r>
              <w:rPr>
                <w:rFonts w:hint="default" w:ascii="Times New Roman" w:hAnsi="Times New Roman" w:eastAsia="宋体" w:cs="Times New Roman"/>
                <w:sz w:val="24"/>
                <w:u w:val="single"/>
                <w:lang w:val="en-US" w:eastAsia="zh-CN"/>
              </w:rPr>
              <w:t>旋转运动</w:t>
            </w:r>
            <w:r>
              <w:rPr>
                <w:rFonts w:hint="default" w:ascii="Times New Roman" w:hAnsi="Times New Roman" w:eastAsia="宋体" w:cs="Times New Roman"/>
                <w:sz w:val="24"/>
                <w:u w:val="single"/>
                <w:lang w:val="en-US" w:eastAsia="zh-CN"/>
              </w:rPr>
              <w:fldChar w:fldCharType="end"/>
            </w:r>
            <w:r>
              <w:rPr>
                <w:rFonts w:hint="default" w:ascii="Times New Roman" w:hAnsi="Times New Roman" w:eastAsia="宋体" w:cs="Times New Roman"/>
                <w:sz w:val="24"/>
                <w:u w:val="single"/>
                <w:lang w:val="en-US" w:eastAsia="zh-CN"/>
              </w:rPr>
              <w:t>，借助于</w:t>
            </w:r>
            <w:r>
              <w:rPr>
                <w:rFonts w:hint="default" w:ascii="Times New Roman" w:hAnsi="Times New Roman" w:eastAsia="宋体" w:cs="Times New Roman"/>
                <w:sz w:val="24"/>
                <w:u w:val="single"/>
                <w:lang w:val="en-US" w:eastAsia="zh-CN"/>
              </w:rPr>
              <w:fldChar w:fldCharType="begin"/>
            </w:r>
            <w:r>
              <w:rPr>
                <w:rFonts w:hint="default" w:ascii="Times New Roman" w:hAnsi="Times New Roman" w:eastAsia="宋体" w:cs="Times New Roman"/>
                <w:sz w:val="24"/>
                <w:u w:val="single"/>
                <w:lang w:val="en-US" w:eastAsia="zh-CN"/>
              </w:rPr>
              <w:instrText xml:space="preserve"> HYPERLINK "https://baike.baidu.com/item/%E7%A6%BB%E5%BF%83%E5%8A%9B/290769?fromModule=lemma_inlink" \t "https://baike.baidu.com/item/%E6%97%8B%E9%A3%8E%E9%99%A4%E5%B0%98%E5%99%A8/_blank" </w:instrText>
            </w:r>
            <w:r>
              <w:rPr>
                <w:rFonts w:hint="default" w:ascii="Times New Roman" w:hAnsi="Times New Roman" w:eastAsia="宋体" w:cs="Times New Roman"/>
                <w:sz w:val="24"/>
                <w:u w:val="single"/>
                <w:lang w:val="en-US" w:eastAsia="zh-CN"/>
              </w:rPr>
              <w:fldChar w:fldCharType="separate"/>
            </w:r>
            <w:r>
              <w:rPr>
                <w:rFonts w:hint="default" w:ascii="Times New Roman" w:hAnsi="Times New Roman" w:eastAsia="宋体" w:cs="Times New Roman"/>
                <w:sz w:val="24"/>
                <w:u w:val="single"/>
                <w:lang w:val="en-US" w:eastAsia="zh-CN"/>
              </w:rPr>
              <w:t>离心力</w:t>
            </w:r>
            <w:r>
              <w:rPr>
                <w:rFonts w:hint="default" w:ascii="Times New Roman" w:hAnsi="Times New Roman" w:eastAsia="宋体" w:cs="Times New Roman"/>
                <w:sz w:val="24"/>
                <w:u w:val="single"/>
                <w:lang w:val="en-US" w:eastAsia="zh-CN"/>
              </w:rPr>
              <w:fldChar w:fldCharType="end"/>
            </w:r>
            <w:r>
              <w:rPr>
                <w:rFonts w:hint="default" w:ascii="Times New Roman" w:hAnsi="Times New Roman" w:eastAsia="宋体" w:cs="Times New Roman"/>
                <w:sz w:val="24"/>
                <w:u w:val="single"/>
                <w:lang w:val="en-US" w:eastAsia="zh-CN"/>
              </w:rPr>
              <w:t>将尘粒从气流中分离并捕集于器壁，再借助重力作用使尘粒落入灰斗。</w:t>
            </w:r>
            <w:r>
              <w:rPr>
                <w:rFonts w:hint="eastAsia" w:ascii="Times New Roman" w:hAnsi="Times New Roman" w:eastAsia="宋体" w:cs="Times New Roman"/>
                <w:sz w:val="24"/>
                <w:u w:val="single"/>
                <w:lang w:val="en-US" w:eastAsia="zh-CN"/>
              </w:rPr>
              <w:t>旋风除尘器</w:t>
            </w:r>
            <w:r>
              <w:rPr>
                <w:rFonts w:hint="default" w:ascii="Times New Roman" w:hAnsi="Times New Roman" w:eastAsia="宋体" w:cs="Times New Roman"/>
                <w:sz w:val="24"/>
                <w:u w:val="single"/>
                <w:lang w:val="en-US" w:eastAsia="zh-CN"/>
              </w:rPr>
              <w:t>适用于非黏性及非纤维性粉尘的去除，大多用来去除5μm以上的粒子。从技术、经济诸方面考虑旋风除尘器压力损失控制范围一般为500～2000Pa。因此，它属于中效除尘器，且可用于高温烟气的净化，是应用广泛的一种除尘器，可应用于锅炉烟气除尘、多级除尘及预除尘。</w:t>
            </w:r>
            <w:r>
              <w:rPr>
                <w:rFonts w:hint="eastAsia" w:ascii="Times New Roman" w:hAnsi="Times New Roman" w:eastAsia="宋体" w:cs="Times New Roman"/>
                <w:sz w:val="24"/>
                <w:u w:val="single"/>
                <w:lang w:val="en-US" w:eastAsia="zh-CN"/>
              </w:rPr>
              <w:t>本项目采用单管旋风除尘器用作预除尘。</w:t>
            </w:r>
          </w:p>
          <w:p w14:paraId="216F70C7">
            <w:pPr>
              <w:pStyle w:val="7"/>
              <w:keepNext w:val="0"/>
              <w:keepLines w:val="0"/>
              <w:suppressLineNumbers w:val="0"/>
              <w:spacing w:before="0" w:beforeAutospacing="0" w:after="0" w:afterAutospacing="0" w:line="360" w:lineRule="auto"/>
              <w:ind w:left="0" w:right="0"/>
              <w:rPr>
                <w:rFonts w:hint="default"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布袋除尘器也称为过滤式除尘器，是一种干式高效除尘器，它是利用纤维编织物制作的袋式过滤元件来捕集含尘气体中固体颗粒物的除尘装置。其作用原理是尘粒在绕过滤布纤维时因惯性力作用与纤维碰撞而被拦截。细微的尘粒（粒径为1微米或更小）则受气体分子冲击（布朗运动）不断改变着运动方向，由于纤维间的空隙小于气体分子布朗运动的自由路径，尘粒便与纤维碰撞接触而被分离出来。含尘气体从袋式除尘器入口进入后，通过废气分配装置均匀分配进入滤袋，当含尘气体穿过滤袋时，粉尘即被吸附在滤料上，而被净化的气体则从滤袋内排除。当吸附在滤料上的粉尘达到一定厚度时进行清灰，将吸附在滤袋外表面的粉尘清落至下面的灰斗中。一般情况下，布袋除尘器的除尘效率能达到95%以上。</w:t>
            </w:r>
          </w:p>
          <w:p w14:paraId="0BCB159E">
            <w:pPr>
              <w:keepNext w:val="0"/>
              <w:keepLines w:val="0"/>
              <w:suppressLineNumbers w:val="0"/>
              <w:spacing w:before="0" w:beforeAutospacing="0" w:after="0" w:afterAutospacing="0" w:line="360" w:lineRule="auto"/>
              <w:ind w:left="0" w:right="0" w:firstLine="480" w:firstLineChars="200"/>
              <w:rPr>
                <w:rFonts w:hint="default"/>
                <w:sz w:val="24"/>
                <w:lang w:val="en-US"/>
              </w:rPr>
            </w:pPr>
            <w:r>
              <w:rPr>
                <w:rFonts w:hint="default"/>
                <w:sz w:val="24"/>
                <w:u w:val="single"/>
                <w:lang w:val="en-US"/>
              </w:rPr>
              <w:t>结合本项目实际情况，本项目生产过程产生的颗粒物采用“</w:t>
            </w:r>
            <w:r>
              <w:rPr>
                <w:rFonts w:hint="eastAsia" w:ascii="Times New Roman" w:eastAsia="宋体"/>
                <w:sz w:val="24"/>
                <w:u w:val="single"/>
                <w:lang w:val="en-US" w:eastAsia="zh-CN"/>
              </w:rPr>
              <w:t>单管旋风除尘+布袋除尘</w:t>
            </w:r>
            <w:r>
              <w:rPr>
                <w:rFonts w:hint="default"/>
                <w:sz w:val="24"/>
                <w:u w:val="single"/>
                <w:lang w:val="en-US"/>
              </w:rPr>
              <w:t>”</w:t>
            </w:r>
            <w:r>
              <w:rPr>
                <w:rFonts w:hint="eastAsia" w:ascii="Times New Roman" w:eastAsia="宋体"/>
                <w:sz w:val="24"/>
                <w:u w:val="single"/>
                <w:lang w:val="en-US" w:eastAsia="zh-CN"/>
              </w:rPr>
              <w:t>技术</w:t>
            </w:r>
            <w:r>
              <w:rPr>
                <w:rFonts w:hint="default"/>
                <w:sz w:val="24"/>
                <w:u w:val="single"/>
                <w:lang w:val="en-US"/>
              </w:rPr>
              <w:t>处理，</w:t>
            </w:r>
            <w:r>
              <w:rPr>
                <w:rFonts w:hint="eastAsia" w:ascii="Times New Roman" w:eastAsia="宋体"/>
                <w:sz w:val="24"/>
                <w:u w:val="single"/>
                <w:lang w:val="en-US" w:eastAsia="zh-CN"/>
              </w:rPr>
              <w:t>根据建设单位提供数据，本项目使用的布袋除尘器最高耐受温度为2</w:t>
            </w:r>
            <w:r>
              <w:rPr>
                <w:rFonts w:hint="eastAsia"/>
                <w:sz w:val="24"/>
                <w:u w:val="single"/>
                <w:lang w:val="en-US" w:eastAsia="zh-CN"/>
              </w:rPr>
              <w:t>6</w:t>
            </w:r>
            <w:r>
              <w:rPr>
                <w:rFonts w:hint="eastAsia" w:ascii="Times New Roman" w:eastAsia="宋体"/>
                <w:sz w:val="24"/>
                <w:u w:val="single"/>
                <w:lang w:val="en-US" w:eastAsia="zh-CN"/>
              </w:rPr>
              <w:t>0℃，满足使用温度，综上，本项目采取“单管旋风除尘+布袋除尘”技术处理</w:t>
            </w:r>
            <w:r>
              <w:rPr>
                <w:rFonts w:hint="default"/>
                <w:sz w:val="24"/>
                <w:u w:val="single"/>
                <w:lang w:val="en-US"/>
              </w:rPr>
              <w:t xml:space="preserve">符合《排污许可证申请与核发技术规范 </w:t>
            </w:r>
            <w:r>
              <w:rPr>
                <w:rFonts w:hint="eastAsia" w:ascii="Times New Roman" w:eastAsia="宋体"/>
                <w:sz w:val="24"/>
                <w:u w:val="single"/>
                <w:lang w:val="en-US" w:eastAsia="zh-CN"/>
              </w:rPr>
              <w:t>锅炉</w:t>
            </w:r>
            <w:r>
              <w:rPr>
                <w:rFonts w:hint="default"/>
                <w:sz w:val="24"/>
                <w:u w:val="single"/>
                <w:lang w:val="en-US"/>
              </w:rPr>
              <w:t>》（</w:t>
            </w:r>
            <w:r>
              <w:rPr>
                <w:rFonts w:hint="default"/>
                <w:sz w:val="24"/>
                <w:u w:val="single"/>
                <w:lang w:val="en-US" w:eastAsia="zh-CN"/>
              </w:rPr>
              <w:t>HJ953-2018</w:t>
            </w:r>
            <w:r>
              <w:rPr>
                <w:rFonts w:hint="default"/>
                <w:sz w:val="24"/>
                <w:u w:val="single"/>
                <w:lang w:val="en-US"/>
              </w:rPr>
              <w:t>）中要求，故治理设施为可行技术。</w:t>
            </w:r>
          </w:p>
          <w:p w14:paraId="62E0C0C8">
            <w:pPr>
              <w:pStyle w:val="7"/>
              <w:keepNext w:val="0"/>
              <w:keepLines w:val="0"/>
              <w:suppressLineNumbers w:val="0"/>
              <w:spacing w:before="0" w:beforeAutospacing="0" w:after="0" w:afterAutospacing="0" w:line="360" w:lineRule="auto"/>
              <w:ind w:left="0" w:right="0"/>
              <w:rPr>
                <w:rFonts w:hint="eastAsia"/>
                <w:sz w:val="24"/>
                <w:lang w:val="en-US" w:eastAsia="zh-CN"/>
              </w:rPr>
            </w:pPr>
            <w:r>
              <w:rPr>
                <w:rFonts w:hint="eastAsia"/>
                <w:sz w:val="24"/>
                <w:lang w:val="en-US" w:eastAsia="zh-CN"/>
              </w:rPr>
              <w:t>2、油烟处理措施可行性分析</w:t>
            </w:r>
          </w:p>
          <w:p w14:paraId="3D01DF7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根据《饮食业油烟净化设备技术要求及检测技术规范（试行）》（HJ/T62-2001）相关要求，在实验室测试条件下，油烟净化设备在额定处理风量条件下的油烟去除效率应满足</w:t>
            </w:r>
            <w:r>
              <w:rPr>
                <w:rFonts w:hint="eastAsia" w:ascii="Times New Roman" w:hAnsi="Times New Roman" w:cs="Times New Roman"/>
                <w:sz w:val="24"/>
                <w:lang w:val="en-US" w:eastAsia="zh-CN"/>
              </w:rPr>
              <w:t>下表</w:t>
            </w:r>
            <w:r>
              <w:rPr>
                <w:rFonts w:hint="default" w:ascii="Times New Roman" w:hAnsi="Times New Roman" w:cs="Times New Roman"/>
                <w:sz w:val="24"/>
                <w:lang w:val="en-US" w:eastAsia="zh-CN"/>
              </w:rPr>
              <w:t>的要求。对于运行使用时间小于1年的设备去除效率的检测，其检测值应按</w:t>
            </w:r>
            <w:r>
              <w:rPr>
                <w:rFonts w:hint="eastAsia" w:ascii="Times New Roman" w:hAnsi="Times New Roman" w:cs="Times New Roman"/>
                <w:sz w:val="24"/>
                <w:lang w:val="en-US" w:eastAsia="zh-CN"/>
              </w:rPr>
              <w:t>下表</w:t>
            </w:r>
            <w:r>
              <w:rPr>
                <w:rFonts w:hint="default" w:ascii="Times New Roman" w:hAnsi="Times New Roman" w:cs="Times New Roman"/>
                <w:sz w:val="24"/>
                <w:lang w:val="en-US" w:eastAsia="zh-CN"/>
              </w:rPr>
              <w:t>乘以运行时间修正系数K进行修正。</w:t>
            </w:r>
          </w:p>
          <w:p w14:paraId="4AA2CCC7">
            <w:pPr>
              <w:pStyle w:val="33"/>
              <w:keepNext w:val="0"/>
              <w:keepLines w:val="0"/>
              <w:numPr>
                <w:ilvl w:val="0"/>
                <w:numId w:val="19"/>
              </w:numPr>
              <w:suppressLineNumbers w:val="0"/>
              <w:spacing w:before="0" w:beforeAutospacing="0" w:after="0" w:afterAutospacing="0"/>
              <w:ind w:right="0" w:firstLineChars="0"/>
              <w:jc w:val="center"/>
              <w:rPr>
                <w:rFonts w:hint="default"/>
                <w:lang w:val="en-US" w:eastAsia="zh-CN"/>
              </w:rPr>
            </w:pPr>
            <w:r>
              <w:rPr>
                <w:rFonts w:hint="eastAsia"/>
                <w:b/>
                <w:bCs/>
                <w:sz w:val="24"/>
                <w:lang w:val="en-US" w:eastAsia="zh-CN"/>
              </w:rPr>
              <w:t>油烟净化设备最低处理效率限值</w:t>
            </w:r>
          </w:p>
          <w:tbl>
            <w:tblPr>
              <w:tblStyle w:val="25"/>
              <w:tblW w:w="0" w:type="auto"/>
              <w:tblInd w:w="-2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13"/>
              <w:gridCol w:w="2040"/>
              <w:gridCol w:w="2090"/>
              <w:gridCol w:w="2029"/>
            </w:tblGrid>
            <w:tr w14:paraId="3372C2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13" w:type="dxa"/>
                  <w:tcBorders>
                    <w:tl2br w:val="nil"/>
                    <w:tr2bl w:val="nil"/>
                  </w:tcBorders>
                  <w:vAlign w:val="center"/>
                </w:tcPr>
                <w:p w14:paraId="3D7D946F">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额定处理风量，m</w:t>
                  </w:r>
                  <w:r>
                    <w:rPr>
                      <w:rFonts w:hint="eastAsia"/>
                      <w:szCs w:val="21"/>
                      <w:vertAlign w:val="superscript"/>
                      <w:lang w:val="en-US" w:eastAsia="zh-CN"/>
                    </w:rPr>
                    <w:t>3</w:t>
                  </w:r>
                  <w:r>
                    <w:rPr>
                      <w:rFonts w:hint="eastAsia"/>
                      <w:szCs w:val="21"/>
                      <w:vertAlign w:val="baseline"/>
                      <w:lang w:val="en-US" w:eastAsia="zh-CN"/>
                    </w:rPr>
                    <w:t>/h</w:t>
                  </w:r>
                </w:p>
              </w:tc>
              <w:tc>
                <w:tcPr>
                  <w:tcW w:w="2040" w:type="dxa"/>
                  <w:tcBorders>
                    <w:tl2br w:val="nil"/>
                    <w:tr2bl w:val="nil"/>
                  </w:tcBorders>
                  <w:vAlign w:val="center"/>
                </w:tcPr>
                <w:p w14:paraId="5EC8F27B">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ascii="微软雅黑" w:hAnsi="微软雅黑" w:eastAsia="微软雅黑" w:cs="微软雅黑"/>
                      <w:szCs w:val="21"/>
                      <w:vertAlign w:val="baseline"/>
                      <w:lang w:val="en-US" w:eastAsia="zh-CN"/>
                    </w:rPr>
                    <w:t>≧</w:t>
                  </w:r>
                  <w:r>
                    <w:rPr>
                      <w:rFonts w:hint="eastAsia"/>
                      <w:szCs w:val="21"/>
                      <w:vertAlign w:val="baseline"/>
                      <w:lang w:val="en-US" w:eastAsia="zh-CN"/>
                    </w:rPr>
                    <w:t>2000~</w:t>
                  </w:r>
                  <w:r>
                    <w:rPr>
                      <w:rFonts w:hint="eastAsia" w:ascii="微软雅黑" w:hAnsi="微软雅黑" w:eastAsia="微软雅黑" w:cs="微软雅黑"/>
                      <w:szCs w:val="21"/>
                      <w:vertAlign w:val="baseline"/>
                      <w:lang w:val="en-US" w:eastAsia="zh-CN"/>
                    </w:rPr>
                    <w:t>&lt;</w:t>
                  </w:r>
                  <w:r>
                    <w:rPr>
                      <w:rFonts w:hint="eastAsia"/>
                      <w:szCs w:val="21"/>
                      <w:vertAlign w:val="baseline"/>
                      <w:lang w:val="en-US" w:eastAsia="zh-CN"/>
                    </w:rPr>
                    <w:t>6000</w:t>
                  </w:r>
                </w:p>
              </w:tc>
              <w:tc>
                <w:tcPr>
                  <w:tcW w:w="2090" w:type="dxa"/>
                  <w:tcBorders>
                    <w:tl2br w:val="nil"/>
                    <w:tr2bl w:val="nil"/>
                  </w:tcBorders>
                  <w:vAlign w:val="center"/>
                </w:tcPr>
                <w:p w14:paraId="2B659152">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default"/>
                      <w:szCs w:val="21"/>
                      <w:vertAlign w:val="baseline"/>
                      <w:lang w:val="en-US" w:eastAsia="zh-CN"/>
                    </w:rPr>
                    <w:t>≧</w:t>
                  </w:r>
                  <w:r>
                    <w:rPr>
                      <w:rFonts w:hint="eastAsia"/>
                      <w:szCs w:val="21"/>
                      <w:vertAlign w:val="baseline"/>
                      <w:lang w:val="en-US" w:eastAsia="zh-CN"/>
                    </w:rPr>
                    <w:t>6</w:t>
                  </w:r>
                  <w:r>
                    <w:rPr>
                      <w:rFonts w:hint="default"/>
                      <w:szCs w:val="21"/>
                      <w:vertAlign w:val="baseline"/>
                      <w:lang w:val="en-US" w:eastAsia="zh-CN"/>
                    </w:rPr>
                    <w:t>000~&lt;</w:t>
                  </w:r>
                  <w:r>
                    <w:rPr>
                      <w:rFonts w:hint="eastAsia"/>
                      <w:szCs w:val="21"/>
                      <w:vertAlign w:val="baseline"/>
                      <w:lang w:val="en-US" w:eastAsia="zh-CN"/>
                    </w:rPr>
                    <w:t>12</w:t>
                  </w:r>
                  <w:r>
                    <w:rPr>
                      <w:rFonts w:hint="default"/>
                      <w:szCs w:val="21"/>
                      <w:vertAlign w:val="baseline"/>
                      <w:lang w:val="en-US" w:eastAsia="zh-CN"/>
                    </w:rPr>
                    <w:t>000</w:t>
                  </w:r>
                </w:p>
              </w:tc>
              <w:tc>
                <w:tcPr>
                  <w:tcW w:w="2029" w:type="dxa"/>
                  <w:tcBorders>
                    <w:tl2br w:val="nil"/>
                    <w:tr2bl w:val="nil"/>
                  </w:tcBorders>
                  <w:vAlign w:val="center"/>
                </w:tcPr>
                <w:p w14:paraId="2D6DBB43">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default"/>
                      <w:szCs w:val="21"/>
                      <w:vertAlign w:val="baseline"/>
                      <w:lang w:val="en-US" w:eastAsia="zh-CN"/>
                    </w:rPr>
                    <w:t>≧</w:t>
                  </w:r>
                  <w:r>
                    <w:rPr>
                      <w:rFonts w:hint="eastAsia"/>
                      <w:szCs w:val="21"/>
                      <w:vertAlign w:val="baseline"/>
                      <w:lang w:val="en-US" w:eastAsia="zh-CN"/>
                    </w:rPr>
                    <w:t>12000</w:t>
                  </w:r>
                </w:p>
              </w:tc>
            </w:tr>
            <w:tr w14:paraId="189648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13" w:type="dxa"/>
                  <w:tcBorders>
                    <w:tl2br w:val="nil"/>
                    <w:tr2bl w:val="nil"/>
                  </w:tcBorders>
                  <w:vAlign w:val="center"/>
                </w:tcPr>
                <w:p w14:paraId="50556E02">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运行时间修正系数K</w:t>
                  </w:r>
                </w:p>
              </w:tc>
              <w:tc>
                <w:tcPr>
                  <w:tcW w:w="2040" w:type="dxa"/>
                  <w:tcBorders>
                    <w:tl2br w:val="nil"/>
                    <w:tr2bl w:val="nil"/>
                  </w:tcBorders>
                  <w:vAlign w:val="center"/>
                </w:tcPr>
                <w:p w14:paraId="3F375D30">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0.85</w:t>
                  </w:r>
                </w:p>
              </w:tc>
              <w:tc>
                <w:tcPr>
                  <w:tcW w:w="2090" w:type="dxa"/>
                  <w:tcBorders>
                    <w:tl2br w:val="nil"/>
                    <w:tr2bl w:val="nil"/>
                  </w:tcBorders>
                  <w:vAlign w:val="center"/>
                </w:tcPr>
                <w:p w14:paraId="2DD8FDFF">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0.95</w:t>
                  </w:r>
                </w:p>
              </w:tc>
              <w:tc>
                <w:tcPr>
                  <w:tcW w:w="2029" w:type="dxa"/>
                  <w:tcBorders>
                    <w:tl2br w:val="nil"/>
                    <w:tr2bl w:val="nil"/>
                  </w:tcBorders>
                  <w:vAlign w:val="center"/>
                </w:tcPr>
                <w:p w14:paraId="4F3962BE">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1.0</w:t>
                  </w:r>
                </w:p>
              </w:tc>
            </w:tr>
            <w:tr w14:paraId="47B7E2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13" w:type="dxa"/>
                  <w:tcBorders>
                    <w:tl2br w:val="nil"/>
                    <w:tr2bl w:val="nil"/>
                  </w:tcBorders>
                  <w:vAlign w:val="center"/>
                </w:tcPr>
                <w:p w14:paraId="6E72A543">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最低去除效率，%</w:t>
                  </w:r>
                </w:p>
              </w:tc>
              <w:tc>
                <w:tcPr>
                  <w:tcW w:w="2040" w:type="dxa"/>
                  <w:tcBorders>
                    <w:tl2br w:val="nil"/>
                    <w:tr2bl w:val="nil"/>
                  </w:tcBorders>
                  <w:vAlign w:val="center"/>
                </w:tcPr>
                <w:p w14:paraId="41052162">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60</w:t>
                  </w:r>
                </w:p>
              </w:tc>
              <w:tc>
                <w:tcPr>
                  <w:tcW w:w="2090" w:type="dxa"/>
                  <w:tcBorders>
                    <w:tl2br w:val="nil"/>
                    <w:tr2bl w:val="nil"/>
                  </w:tcBorders>
                  <w:vAlign w:val="center"/>
                </w:tcPr>
                <w:p w14:paraId="5352FC00">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75</w:t>
                  </w:r>
                </w:p>
              </w:tc>
              <w:tc>
                <w:tcPr>
                  <w:tcW w:w="2029" w:type="dxa"/>
                  <w:tcBorders>
                    <w:tl2br w:val="nil"/>
                    <w:tr2bl w:val="nil"/>
                  </w:tcBorders>
                  <w:vAlign w:val="center"/>
                </w:tcPr>
                <w:p w14:paraId="5BFED871">
                  <w:pPr>
                    <w:pStyle w:val="7"/>
                    <w:keepNext w:val="0"/>
                    <w:keepLines w:val="0"/>
                    <w:suppressLineNumbers w:val="0"/>
                    <w:spacing w:before="0" w:beforeAutospacing="0" w:after="0" w:afterAutospacing="0"/>
                    <w:ind w:left="0" w:right="0" w:firstLine="0" w:firstLineChars="0"/>
                    <w:jc w:val="center"/>
                    <w:rPr>
                      <w:rFonts w:hint="default"/>
                      <w:szCs w:val="21"/>
                      <w:vertAlign w:val="baseline"/>
                      <w:lang w:val="en-US" w:eastAsia="zh-CN"/>
                    </w:rPr>
                  </w:pPr>
                  <w:r>
                    <w:rPr>
                      <w:rFonts w:hint="eastAsia"/>
                      <w:szCs w:val="21"/>
                      <w:vertAlign w:val="baseline"/>
                      <w:lang w:val="en-US" w:eastAsia="zh-CN"/>
                    </w:rPr>
                    <w:t>85</w:t>
                  </w:r>
                </w:p>
              </w:tc>
            </w:tr>
          </w:tbl>
          <w:p w14:paraId="3D40D95A">
            <w:pPr>
              <w:pStyle w:val="7"/>
              <w:keepNext w:val="0"/>
              <w:keepLines w:val="0"/>
              <w:suppressLineNumbers w:val="0"/>
              <w:spacing w:before="157" w:beforeLines="50" w:beforeAutospacing="0" w:after="0" w:afterAutospacing="0" w:line="360" w:lineRule="auto"/>
              <w:ind w:left="0" w:right="0" w:firstLine="480" w:firstLineChars="200"/>
              <w:rPr>
                <w:rFonts w:hint="eastAsia"/>
                <w:sz w:val="24"/>
                <w:lang w:val="en-US" w:eastAsia="zh-CN"/>
              </w:rPr>
            </w:pPr>
            <w:r>
              <w:rPr>
                <w:rFonts w:hint="eastAsia"/>
                <w:sz w:val="24"/>
                <w:lang w:val="en-US" w:eastAsia="zh-CN"/>
              </w:rPr>
              <w:t>本项目使用工业静电油烟净化处理设备处理油炸废气，根据建设单位提供资料，本项目使用油烟净化设备的净化效率为95%，满足上表要求。</w:t>
            </w:r>
          </w:p>
          <w:p w14:paraId="760EDF8E">
            <w:pPr>
              <w:keepNext w:val="0"/>
              <w:keepLines w:val="0"/>
              <w:suppressLineNumbers w:val="0"/>
              <w:spacing w:before="0" w:beforeAutospacing="0" w:after="0" w:afterAutospacing="0" w:line="360" w:lineRule="auto"/>
              <w:ind w:left="0" w:right="0" w:firstLine="480" w:firstLineChars="200"/>
              <w:rPr>
                <w:rFonts w:hint="default"/>
                <w:lang w:val="en-US" w:eastAsia="zh-CN"/>
              </w:rPr>
            </w:pPr>
            <w:r>
              <w:rPr>
                <w:rFonts w:hint="eastAsia" w:ascii="Times New Roman" w:eastAsia="宋体"/>
                <w:sz w:val="24"/>
                <w:lang w:val="en-US" w:eastAsia="zh-CN"/>
              </w:rPr>
              <w:t>综上，本项目锅炉废气经单管旋风除尘器+布袋除尘器处理后满足《锅炉大气污染物排放标准》（GB13271-2014）表3大气污染物特别排放限值中燃煤锅炉标准要求；油炸废气经静电式油烟净化设备处理后排放浓度能满足《饮食业油烟排放标准（试行）》（GB18483-2001）要求，对周边环境影响较小，在可接受范围内。</w:t>
            </w:r>
          </w:p>
          <w:p w14:paraId="45D1AA15">
            <w:pPr>
              <w:keepNext w:val="0"/>
              <w:keepLines w:val="0"/>
              <w:widowControl/>
              <w:suppressLineNumbers w:val="0"/>
              <w:spacing w:before="0" w:beforeLines="0" w:beforeAutospacing="0" w:after="0" w:afterAutospacing="0" w:line="360" w:lineRule="auto"/>
              <w:ind w:left="0" w:right="0"/>
              <w:rPr>
                <w:rFonts w:hint="default"/>
                <w:b/>
                <w:bCs/>
                <w:sz w:val="24"/>
              </w:rPr>
            </w:pPr>
            <w:r>
              <w:rPr>
                <w:rFonts w:hint="default"/>
                <w:b/>
                <w:bCs/>
                <w:sz w:val="24"/>
              </w:rPr>
              <w:t>1.</w:t>
            </w:r>
            <w:r>
              <w:rPr>
                <w:rFonts w:hint="eastAsia"/>
                <w:b/>
                <w:bCs/>
                <w:sz w:val="24"/>
                <w:lang w:val="en-US" w:eastAsia="zh-CN"/>
              </w:rPr>
              <w:t>6</w:t>
            </w:r>
            <w:r>
              <w:rPr>
                <w:rFonts w:hint="default"/>
                <w:b/>
                <w:bCs/>
                <w:sz w:val="24"/>
              </w:rPr>
              <w:t>非正常工况分析</w:t>
            </w:r>
          </w:p>
          <w:p w14:paraId="144AA7EE">
            <w:pPr>
              <w:keepNext w:val="0"/>
              <w:keepLines w:val="0"/>
              <w:widowControl/>
              <w:suppressLineNumbers w:val="0"/>
              <w:spacing w:before="0" w:beforeAutospacing="0" w:after="0" w:afterAutospacing="0" w:line="360" w:lineRule="auto"/>
              <w:ind w:left="0" w:right="0" w:firstLine="480" w:firstLineChars="200"/>
              <w:rPr>
                <w:rFonts w:hint="default"/>
                <w:sz w:val="24"/>
              </w:rPr>
            </w:pPr>
            <w:r>
              <w:rPr>
                <w:rFonts w:hint="default"/>
                <w:sz w:val="24"/>
              </w:rPr>
              <w:t>根据《环境影响评价技术导则 大气环境》（HJ2.2-2018）中对废气非正常排放的定义“生产过程中开停车（工、炉）、设备检修、工艺设备运转异常等非正常工况下的污染物排放，以及污染物排放控制措施达不到应有效率等情况下的排放”。本评价非正常排放主要考虑本项目车间</w:t>
            </w:r>
            <w:r>
              <w:rPr>
                <w:rFonts w:hint="eastAsia"/>
                <w:sz w:val="24"/>
                <w:lang w:val="en-US" w:eastAsia="zh-CN"/>
              </w:rPr>
              <w:t>锅炉废气</w:t>
            </w:r>
            <w:r>
              <w:rPr>
                <w:rFonts w:hint="default"/>
                <w:sz w:val="24"/>
              </w:rPr>
              <w:t>处理设施</w:t>
            </w:r>
            <w:r>
              <w:rPr>
                <w:rFonts w:hint="default"/>
                <w:bCs/>
                <w:sz w:val="24"/>
              </w:rPr>
              <w:t>、</w:t>
            </w:r>
            <w:r>
              <w:rPr>
                <w:rFonts w:hint="eastAsia"/>
                <w:bCs/>
                <w:sz w:val="24"/>
                <w:lang w:val="en-US" w:eastAsia="zh-CN"/>
              </w:rPr>
              <w:t>油炸</w:t>
            </w:r>
            <w:r>
              <w:rPr>
                <w:rFonts w:hint="default"/>
                <w:bCs/>
                <w:sz w:val="24"/>
              </w:rPr>
              <w:t>工序废气</w:t>
            </w:r>
            <w:r>
              <w:rPr>
                <w:rFonts w:hint="default"/>
                <w:sz w:val="24"/>
              </w:rPr>
              <w:t>处理设施失效时的情况，具体非正常排放情况见下表。</w:t>
            </w:r>
          </w:p>
          <w:p w14:paraId="5310668A">
            <w:pPr>
              <w:pStyle w:val="33"/>
              <w:keepNext w:val="0"/>
              <w:keepLines w:val="0"/>
              <w:numPr>
                <w:ilvl w:val="0"/>
                <w:numId w:val="19"/>
              </w:numPr>
              <w:suppressLineNumbers w:val="0"/>
              <w:spacing w:before="0" w:beforeAutospacing="0" w:after="0" w:afterAutospacing="0"/>
              <w:ind w:right="0" w:firstLineChars="0"/>
              <w:jc w:val="center"/>
              <w:rPr>
                <w:rFonts w:hint="default"/>
                <w:b/>
                <w:sz w:val="24"/>
                <w:szCs w:val="24"/>
              </w:rPr>
            </w:pPr>
            <w:r>
              <w:rPr>
                <w:rFonts w:hint="default"/>
                <w:b/>
                <w:sz w:val="24"/>
                <w:szCs w:val="24"/>
              </w:rPr>
              <w:t>污染源非正常排放量核算表</w:t>
            </w:r>
          </w:p>
          <w:tbl>
            <w:tblPr>
              <w:tblStyle w:val="24"/>
              <w:tblW w:w="4996"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28" w:type="dxa"/>
                <w:bottom w:w="0" w:type="dxa"/>
                <w:right w:w="28" w:type="dxa"/>
              </w:tblCellMar>
            </w:tblPr>
            <w:tblGrid>
              <w:gridCol w:w="841"/>
              <w:gridCol w:w="1006"/>
              <w:gridCol w:w="759"/>
              <w:gridCol w:w="1260"/>
              <w:gridCol w:w="892"/>
              <w:gridCol w:w="1444"/>
              <w:gridCol w:w="778"/>
              <w:gridCol w:w="1414"/>
            </w:tblGrid>
            <w:tr w14:paraId="433334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570" w:hRule="atLeast"/>
                <w:jc w:val="center"/>
              </w:trPr>
              <w:tc>
                <w:tcPr>
                  <w:tcW w:w="501" w:type="pct"/>
                  <w:tcBorders>
                    <w:tl2br w:val="nil"/>
                    <w:tr2bl w:val="nil"/>
                  </w:tcBorders>
                  <w:shd w:val="clear" w:color="auto" w:fill="FFFFFF"/>
                  <w:vAlign w:val="center"/>
                </w:tcPr>
                <w:p w14:paraId="3CF2A5EF">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b/>
                      <w:bCs/>
                      <w:sz w:val="21"/>
                      <w:szCs w:val="21"/>
                    </w:rPr>
                  </w:pPr>
                  <w:r>
                    <w:rPr>
                      <w:rFonts w:hint="default" w:ascii="Times New Roman" w:hAnsi="Times New Roman"/>
                      <w:b/>
                      <w:bCs/>
                      <w:sz w:val="21"/>
                      <w:szCs w:val="21"/>
                    </w:rPr>
                    <w:t>污染源</w:t>
                  </w:r>
                </w:p>
              </w:tc>
              <w:tc>
                <w:tcPr>
                  <w:tcW w:w="599" w:type="pct"/>
                  <w:tcBorders>
                    <w:tl2br w:val="nil"/>
                    <w:tr2bl w:val="nil"/>
                  </w:tcBorders>
                  <w:shd w:val="clear" w:color="auto" w:fill="FFFFFF"/>
                  <w:vAlign w:val="center"/>
                </w:tcPr>
                <w:p w14:paraId="3D1E8859">
                  <w:pPr>
                    <w:pStyle w:val="40"/>
                    <w:keepNext w:val="0"/>
                    <w:keepLines w:val="0"/>
                    <w:widowControl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非正常排放原因</w:t>
                  </w:r>
                </w:p>
              </w:tc>
              <w:tc>
                <w:tcPr>
                  <w:tcW w:w="452" w:type="pct"/>
                  <w:tcBorders>
                    <w:tl2br w:val="nil"/>
                    <w:tr2bl w:val="nil"/>
                  </w:tcBorders>
                  <w:shd w:val="clear" w:color="auto" w:fill="FFFFFF"/>
                  <w:vAlign w:val="center"/>
                </w:tcPr>
                <w:p w14:paraId="1DA2A9DE">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b/>
                      <w:bCs/>
                      <w:sz w:val="21"/>
                      <w:szCs w:val="21"/>
                    </w:rPr>
                  </w:pPr>
                  <w:r>
                    <w:rPr>
                      <w:rFonts w:hint="default" w:ascii="Times New Roman" w:hAnsi="Times New Roman"/>
                      <w:b/>
                      <w:bCs/>
                      <w:sz w:val="21"/>
                      <w:szCs w:val="21"/>
                    </w:rPr>
                    <w:t>污染物</w:t>
                  </w:r>
                </w:p>
              </w:tc>
              <w:tc>
                <w:tcPr>
                  <w:tcW w:w="750" w:type="pct"/>
                  <w:tcBorders>
                    <w:tl2br w:val="nil"/>
                    <w:tr2bl w:val="nil"/>
                  </w:tcBorders>
                  <w:shd w:val="clear" w:color="auto" w:fill="FFFFFF"/>
                  <w:vAlign w:val="center"/>
                </w:tcPr>
                <w:p w14:paraId="303838BA">
                  <w:pPr>
                    <w:pStyle w:val="40"/>
                    <w:keepNext w:val="0"/>
                    <w:keepLines w:val="0"/>
                    <w:widowControl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非正常排放浓度/(mg/m</w:t>
                  </w:r>
                  <w:r>
                    <w:rPr>
                      <w:rFonts w:hint="default" w:ascii="Times New Roman" w:hAnsi="Times New Roman"/>
                      <w:b/>
                      <w:bCs/>
                      <w:sz w:val="21"/>
                      <w:szCs w:val="21"/>
                      <w:vertAlign w:val="superscript"/>
                    </w:rPr>
                    <w:t>3</w:t>
                  </w:r>
                  <w:r>
                    <w:rPr>
                      <w:rFonts w:hint="default" w:ascii="Times New Roman" w:hAnsi="Times New Roman"/>
                      <w:b/>
                      <w:bCs/>
                      <w:sz w:val="21"/>
                      <w:szCs w:val="21"/>
                    </w:rPr>
                    <w:t>)</w:t>
                  </w:r>
                </w:p>
              </w:tc>
              <w:tc>
                <w:tcPr>
                  <w:tcW w:w="531" w:type="pct"/>
                  <w:tcBorders>
                    <w:tl2br w:val="nil"/>
                    <w:tr2bl w:val="nil"/>
                  </w:tcBorders>
                  <w:shd w:val="clear" w:color="auto" w:fill="FFFFFF"/>
                  <w:vAlign w:val="center"/>
                </w:tcPr>
                <w:p w14:paraId="26F03FFA">
                  <w:pPr>
                    <w:pStyle w:val="40"/>
                    <w:keepNext w:val="0"/>
                    <w:keepLines w:val="0"/>
                    <w:widowControl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非正常排放速率/</w:t>
                  </w:r>
                  <w:r>
                    <w:rPr>
                      <w:rFonts w:ascii="Times New Roman" w:hAnsi="Times New Roman"/>
                      <w:b/>
                      <w:bCs/>
                      <w:sz w:val="21"/>
                      <w:szCs w:val="21"/>
                    </w:rPr>
                    <w:t>（</w:t>
                  </w:r>
                  <w:r>
                    <w:rPr>
                      <w:rFonts w:hint="default" w:ascii="Times New Roman" w:hAnsi="Times New Roman"/>
                      <w:b/>
                      <w:bCs/>
                      <w:sz w:val="21"/>
                      <w:szCs w:val="21"/>
                    </w:rPr>
                    <w:t>kg/h）</w:t>
                  </w:r>
                </w:p>
              </w:tc>
              <w:tc>
                <w:tcPr>
                  <w:tcW w:w="860" w:type="pct"/>
                  <w:tcBorders>
                    <w:tl2br w:val="nil"/>
                    <w:tr2bl w:val="nil"/>
                  </w:tcBorders>
                  <w:shd w:val="clear" w:color="auto" w:fill="FFFFFF"/>
                  <w:vAlign w:val="center"/>
                </w:tcPr>
                <w:p w14:paraId="648EAD00">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b/>
                      <w:bCs/>
                      <w:sz w:val="21"/>
                      <w:szCs w:val="21"/>
                    </w:rPr>
                  </w:pPr>
                  <w:r>
                    <w:rPr>
                      <w:rFonts w:hint="default" w:ascii="Times New Roman" w:hAnsi="Times New Roman"/>
                      <w:b/>
                      <w:bCs/>
                      <w:sz w:val="21"/>
                      <w:szCs w:val="21"/>
                    </w:rPr>
                    <w:t>单次持续时间/h</w:t>
                  </w:r>
                </w:p>
              </w:tc>
              <w:tc>
                <w:tcPr>
                  <w:tcW w:w="463" w:type="pct"/>
                  <w:tcBorders>
                    <w:tl2br w:val="nil"/>
                    <w:tr2bl w:val="nil"/>
                  </w:tcBorders>
                  <w:shd w:val="clear" w:color="auto" w:fill="FFFFFF"/>
                  <w:vAlign w:val="center"/>
                </w:tcPr>
                <w:p w14:paraId="064BA599">
                  <w:pPr>
                    <w:pStyle w:val="40"/>
                    <w:keepNext w:val="0"/>
                    <w:keepLines w:val="0"/>
                    <w:widowControl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年发生频次/次</w:t>
                  </w:r>
                </w:p>
              </w:tc>
              <w:tc>
                <w:tcPr>
                  <w:tcW w:w="842" w:type="pct"/>
                  <w:tcBorders>
                    <w:tl2br w:val="nil"/>
                    <w:tr2bl w:val="nil"/>
                  </w:tcBorders>
                  <w:shd w:val="clear" w:color="auto" w:fill="FFFFFF"/>
                  <w:vAlign w:val="center"/>
                </w:tcPr>
                <w:p w14:paraId="0E79C875">
                  <w:pPr>
                    <w:pStyle w:val="40"/>
                    <w:keepNext w:val="0"/>
                    <w:keepLines w:val="0"/>
                    <w:widowControl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应对</w:t>
                  </w:r>
                </w:p>
                <w:p w14:paraId="0793D285">
                  <w:pPr>
                    <w:pStyle w:val="40"/>
                    <w:keepNext w:val="0"/>
                    <w:keepLines w:val="0"/>
                    <w:widowControl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措施</w:t>
                  </w:r>
                </w:p>
              </w:tc>
            </w:tr>
            <w:tr w14:paraId="0B98000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667" w:hRule="atLeast"/>
                <w:jc w:val="center"/>
              </w:trPr>
              <w:tc>
                <w:tcPr>
                  <w:tcW w:w="501" w:type="pct"/>
                  <w:vMerge w:val="restart"/>
                  <w:tcBorders>
                    <w:tl2br w:val="nil"/>
                    <w:tr2bl w:val="nil"/>
                  </w:tcBorders>
                  <w:shd w:val="clear" w:color="auto" w:fill="FFFFFF"/>
                  <w:vAlign w:val="center"/>
                </w:tcPr>
                <w:p w14:paraId="4241276D">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r>
                    <w:rPr>
                      <w:rFonts w:hint="eastAsia" w:ascii="Times New Roman" w:hAnsi="Times New Roman"/>
                      <w:sz w:val="21"/>
                      <w:szCs w:val="21"/>
                      <w:lang w:val="en-US" w:eastAsia="zh-CN"/>
                    </w:rPr>
                    <w:t>DA001</w:t>
                  </w:r>
                  <w:r>
                    <w:rPr>
                      <w:rFonts w:hint="default" w:ascii="Times New Roman" w:hAnsi="Times New Roman"/>
                      <w:sz w:val="21"/>
                      <w:szCs w:val="21"/>
                    </w:rPr>
                    <w:t>排气筒</w:t>
                  </w:r>
                </w:p>
              </w:tc>
              <w:tc>
                <w:tcPr>
                  <w:tcW w:w="599" w:type="pct"/>
                  <w:vMerge w:val="restart"/>
                  <w:tcBorders>
                    <w:tl2br w:val="nil"/>
                    <w:tr2bl w:val="nil"/>
                  </w:tcBorders>
                  <w:shd w:val="clear" w:color="auto" w:fill="FFFFFF"/>
                  <w:vAlign w:val="center"/>
                </w:tcPr>
                <w:p w14:paraId="70EC560F">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r>
                    <w:rPr>
                      <w:rFonts w:hint="default" w:ascii="Times New Roman" w:hAnsi="Times New Roman"/>
                      <w:sz w:val="21"/>
                      <w:szCs w:val="21"/>
                    </w:rPr>
                    <w:t>废气处理设施故障</w:t>
                  </w:r>
                </w:p>
              </w:tc>
              <w:tc>
                <w:tcPr>
                  <w:tcW w:w="452" w:type="pct"/>
                  <w:tcBorders>
                    <w:tl2br w:val="nil"/>
                    <w:tr2bl w:val="nil"/>
                  </w:tcBorders>
                  <w:shd w:val="clear" w:color="auto" w:fill="FFFFFF"/>
                  <w:vAlign w:val="center"/>
                </w:tcPr>
                <w:p w14:paraId="7B99DF14">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sz w:val="21"/>
                      <w:szCs w:val="21"/>
                    </w:rPr>
                  </w:pPr>
                  <w:r>
                    <w:rPr>
                      <w:rFonts w:hint="default" w:ascii="Times New Roman" w:hAnsi="Times New Roman"/>
                      <w:sz w:val="21"/>
                      <w:szCs w:val="21"/>
                    </w:rPr>
                    <w:t>颗粒物</w:t>
                  </w:r>
                </w:p>
              </w:tc>
              <w:tc>
                <w:tcPr>
                  <w:tcW w:w="750" w:type="pct"/>
                  <w:tcBorders>
                    <w:tl2br w:val="nil"/>
                    <w:tr2bl w:val="nil"/>
                  </w:tcBorders>
                  <w:shd w:val="clear" w:color="auto" w:fill="FFFFFF"/>
                  <w:vAlign w:val="center"/>
                </w:tcPr>
                <w:p w14:paraId="00D2D259">
                  <w:pPr>
                    <w:keepNext w:val="0"/>
                    <w:keepLines w:val="0"/>
                    <w:widowControl/>
                    <w:suppressLineNumbers w:val="0"/>
                    <w:spacing w:before="0" w:beforeAutospacing="0" w:after="0" w:afterAutospacing="0"/>
                    <w:ind w:left="-105" w:leftChars="-50" w:right="-105" w:rightChars="-50"/>
                    <w:jc w:val="center"/>
                    <w:rPr>
                      <w:rFonts w:hint="default" w:eastAsia="宋体"/>
                      <w:szCs w:val="21"/>
                      <w:lang w:val="en-US" w:eastAsia="zh-CN"/>
                    </w:rPr>
                  </w:pPr>
                  <w:r>
                    <w:rPr>
                      <w:rFonts w:hint="eastAsia"/>
                      <w:szCs w:val="21"/>
                      <w:lang w:val="en-US" w:eastAsia="zh-CN"/>
                    </w:rPr>
                    <w:t>80.128</w:t>
                  </w:r>
                </w:p>
              </w:tc>
              <w:tc>
                <w:tcPr>
                  <w:tcW w:w="531" w:type="pct"/>
                  <w:tcBorders>
                    <w:tl2br w:val="nil"/>
                    <w:tr2bl w:val="nil"/>
                  </w:tcBorders>
                  <w:shd w:val="clear" w:color="auto" w:fill="FFFFFF"/>
                  <w:vAlign w:val="center"/>
                </w:tcPr>
                <w:p w14:paraId="0C650F45">
                  <w:pPr>
                    <w:keepNext w:val="0"/>
                    <w:keepLines w:val="0"/>
                    <w:widowControl/>
                    <w:suppressLineNumbers w:val="0"/>
                    <w:spacing w:before="0" w:beforeAutospacing="0" w:after="0" w:afterAutospacing="0"/>
                    <w:ind w:left="-105" w:leftChars="-50" w:right="-105" w:rightChars="-50"/>
                    <w:jc w:val="center"/>
                    <w:rPr>
                      <w:rFonts w:hint="default" w:eastAsia="宋体"/>
                      <w:szCs w:val="21"/>
                      <w:lang w:val="en-US" w:eastAsia="zh-CN"/>
                    </w:rPr>
                  </w:pPr>
                  <w:r>
                    <w:rPr>
                      <w:rFonts w:hint="eastAsia"/>
                      <w:szCs w:val="21"/>
                      <w:lang w:val="en-US" w:eastAsia="zh-CN"/>
                    </w:rPr>
                    <w:t>0.3396</w:t>
                  </w:r>
                </w:p>
              </w:tc>
              <w:tc>
                <w:tcPr>
                  <w:tcW w:w="860" w:type="pct"/>
                  <w:vMerge w:val="restart"/>
                  <w:tcBorders>
                    <w:tl2br w:val="nil"/>
                    <w:tr2bl w:val="nil"/>
                  </w:tcBorders>
                  <w:shd w:val="clear" w:color="auto" w:fill="FFFFFF"/>
                  <w:vAlign w:val="center"/>
                </w:tcPr>
                <w:p w14:paraId="179B4910">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sz w:val="21"/>
                      <w:szCs w:val="21"/>
                    </w:rPr>
                  </w:pPr>
                  <w:r>
                    <w:rPr>
                      <w:rFonts w:hint="default" w:ascii="Times New Roman" w:hAnsi="Times New Roman"/>
                      <w:sz w:val="21"/>
                      <w:szCs w:val="21"/>
                    </w:rPr>
                    <w:t>0.5</w:t>
                  </w:r>
                </w:p>
              </w:tc>
              <w:tc>
                <w:tcPr>
                  <w:tcW w:w="463" w:type="pct"/>
                  <w:vMerge w:val="restart"/>
                  <w:tcBorders>
                    <w:tl2br w:val="nil"/>
                    <w:tr2bl w:val="nil"/>
                  </w:tcBorders>
                  <w:shd w:val="clear" w:color="auto" w:fill="FFFFFF"/>
                  <w:vAlign w:val="center"/>
                </w:tcPr>
                <w:p w14:paraId="47FEBD74">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r>
                    <w:rPr>
                      <w:rFonts w:hint="default" w:ascii="Times New Roman" w:hAnsi="Times New Roman"/>
                      <w:sz w:val="21"/>
                      <w:szCs w:val="21"/>
                    </w:rPr>
                    <w:t>0-1</w:t>
                  </w:r>
                </w:p>
              </w:tc>
              <w:tc>
                <w:tcPr>
                  <w:tcW w:w="842" w:type="pct"/>
                  <w:vMerge w:val="restart"/>
                  <w:tcBorders>
                    <w:tl2br w:val="nil"/>
                    <w:tr2bl w:val="nil"/>
                  </w:tcBorders>
                  <w:shd w:val="clear" w:color="auto" w:fill="FFFFFF"/>
                  <w:vAlign w:val="center"/>
                </w:tcPr>
                <w:p w14:paraId="1E8F3BFA">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r>
                    <w:rPr>
                      <w:rFonts w:hint="default" w:ascii="Times New Roman" w:hAnsi="Times New Roman"/>
                      <w:sz w:val="21"/>
                      <w:szCs w:val="21"/>
                    </w:rPr>
                    <w:t>停工检修，待废气处理设施正常运行后方可继续生产</w:t>
                  </w:r>
                </w:p>
              </w:tc>
            </w:tr>
            <w:tr w14:paraId="4C04A22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667" w:hRule="atLeast"/>
                <w:jc w:val="center"/>
              </w:trPr>
              <w:tc>
                <w:tcPr>
                  <w:tcW w:w="501" w:type="pct"/>
                  <w:vMerge w:val="continue"/>
                  <w:tcBorders>
                    <w:tl2br w:val="nil"/>
                    <w:tr2bl w:val="nil"/>
                  </w:tcBorders>
                  <w:shd w:val="clear" w:color="auto" w:fill="FFFFFF"/>
                  <w:vAlign w:val="center"/>
                </w:tcPr>
                <w:p w14:paraId="5C2F50DF">
                  <w:pPr>
                    <w:pStyle w:val="40"/>
                    <w:keepNext w:val="0"/>
                    <w:keepLines w:val="0"/>
                    <w:widowControl w:val="0"/>
                    <w:suppressLineNumbers w:val="0"/>
                    <w:spacing w:before="0" w:beforeAutospacing="0" w:afterAutospacing="0" w:line="240" w:lineRule="auto"/>
                    <w:ind w:left="0" w:right="0"/>
                    <w:rPr>
                      <w:rFonts w:hint="eastAsia" w:ascii="Times New Roman" w:hAnsi="Times New Roman"/>
                      <w:sz w:val="21"/>
                      <w:szCs w:val="21"/>
                      <w:lang w:val="en-US" w:eastAsia="zh-CN"/>
                    </w:rPr>
                  </w:pPr>
                </w:p>
              </w:tc>
              <w:tc>
                <w:tcPr>
                  <w:tcW w:w="599" w:type="pct"/>
                  <w:vMerge w:val="continue"/>
                  <w:tcBorders>
                    <w:tl2br w:val="nil"/>
                    <w:tr2bl w:val="nil"/>
                  </w:tcBorders>
                  <w:shd w:val="clear" w:color="auto" w:fill="FFFFFF"/>
                  <w:vAlign w:val="center"/>
                </w:tcPr>
                <w:p w14:paraId="3078FEC7">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c>
                <w:tcPr>
                  <w:tcW w:w="452" w:type="pct"/>
                  <w:tcBorders>
                    <w:tl2br w:val="nil"/>
                    <w:tr2bl w:val="nil"/>
                  </w:tcBorders>
                  <w:shd w:val="clear" w:color="auto" w:fill="FFFFFF"/>
                  <w:vAlign w:val="center"/>
                </w:tcPr>
                <w:p w14:paraId="7301B83C">
                  <w:pPr>
                    <w:pStyle w:val="40"/>
                    <w:keepNext w:val="0"/>
                    <w:keepLines w:val="0"/>
                    <w:widowControl w:val="0"/>
                    <w:suppressLineNumbers w:val="0"/>
                    <w:spacing w:before="0" w:beforeAutospacing="0" w:afterAutospacing="0" w:line="240" w:lineRule="auto"/>
                    <w:ind w:left="-105" w:leftChars="-50" w:right="-105" w:rightChars="-50"/>
                    <w:rPr>
                      <w:rFonts w:hint="eastAsia" w:ascii="Times New Roman" w:hAnsi="Times New Roman"/>
                      <w:sz w:val="21"/>
                      <w:szCs w:val="21"/>
                      <w:lang w:val="en-US" w:eastAsia="zh-CN"/>
                    </w:rPr>
                  </w:pPr>
                  <w:r>
                    <w:rPr>
                      <w:rFonts w:hint="eastAsia" w:ascii="Times New Roman" w:hAnsi="Times New Roman"/>
                      <w:sz w:val="21"/>
                      <w:szCs w:val="21"/>
                      <w:lang w:val="en-US" w:eastAsia="zh-CN"/>
                    </w:rPr>
                    <w:t>二氧</w:t>
                  </w:r>
                </w:p>
                <w:p w14:paraId="40F86706">
                  <w:pPr>
                    <w:pStyle w:val="40"/>
                    <w:keepNext w:val="0"/>
                    <w:keepLines w:val="0"/>
                    <w:widowControl w:val="0"/>
                    <w:suppressLineNumbers w:val="0"/>
                    <w:spacing w:before="0" w:beforeAutospacing="0" w:afterAutospacing="0" w:line="240" w:lineRule="auto"/>
                    <w:ind w:left="-105" w:leftChars="-50" w:right="-105" w:rightChars="-50"/>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化硫</w:t>
                  </w:r>
                </w:p>
              </w:tc>
              <w:tc>
                <w:tcPr>
                  <w:tcW w:w="750" w:type="pct"/>
                  <w:tcBorders>
                    <w:tl2br w:val="nil"/>
                    <w:tr2bl w:val="nil"/>
                  </w:tcBorders>
                  <w:shd w:val="clear" w:color="auto" w:fill="FFFFFF"/>
                  <w:vAlign w:val="center"/>
                </w:tcPr>
                <w:p w14:paraId="3984266C">
                  <w:pPr>
                    <w:keepNext w:val="0"/>
                    <w:keepLines w:val="0"/>
                    <w:widowControl/>
                    <w:suppressLineNumbers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108.961</w:t>
                  </w:r>
                </w:p>
              </w:tc>
              <w:tc>
                <w:tcPr>
                  <w:tcW w:w="531" w:type="pct"/>
                  <w:tcBorders>
                    <w:tl2br w:val="nil"/>
                    <w:tr2bl w:val="nil"/>
                  </w:tcBorders>
                  <w:shd w:val="clear" w:color="auto" w:fill="FFFFFF"/>
                  <w:vAlign w:val="center"/>
                </w:tcPr>
                <w:p w14:paraId="389DF0EC">
                  <w:pPr>
                    <w:keepNext w:val="0"/>
                    <w:keepLines w:val="0"/>
                    <w:widowControl/>
                    <w:suppressLineNumbers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0.4618</w:t>
                  </w:r>
                </w:p>
              </w:tc>
              <w:tc>
                <w:tcPr>
                  <w:tcW w:w="860" w:type="pct"/>
                  <w:vMerge w:val="continue"/>
                  <w:tcBorders>
                    <w:tl2br w:val="nil"/>
                    <w:tr2bl w:val="nil"/>
                  </w:tcBorders>
                  <w:shd w:val="clear" w:color="auto" w:fill="FFFFFF"/>
                  <w:vAlign w:val="center"/>
                </w:tcPr>
                <w:p w14:paraId="74237557">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sz w:val="21"/>
                      <w:szCs w:val="21"/>
                    </w:rPr>
                  </w:pPr>
                </w:p>
              </w:tc>
              <w:tc>
                <w:tcPr>
                  <w:tcW w:w="463" w:type="pct"/>
                  <w:vMerge w:val="continue"/>
                  <w:tcBorders>
                    <w:tl2br w:val="nil"/>
                    <w:tr2bl w:val="nil"/>
                  </w:tcBorders>
                  <w:shd w:val="clear" w:color="auto" w:fill="FFFFFF"/>
                  <w:vAlign w:val="center"/>
                </w:tcPr>
                <w:p w14:paraId="350AD165">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c>
                <w:tcPr>
                  <w:tcW w:w="842" w:type="pct"/>
                  <w:vMerge w:val="continue"/>
                  <w:tcBorders>
                    <w:tl2br w:val="nil"/>
                    <w:tr2bl w:val="nil"/>
                  </w:tcBorders>
                  <w:shd w:val="clear" w:color="auto" w:fill="FFFFFF"/>
                  <w:vAlign w:val="center"/>
                </w:tcPr>
                <w:p w14:paraId="4442F7E1">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r>
            <w:tr w14:paraId="5FC3A05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667" w:hRule="atLeast"/>
                <w:jc w:val="center"/>
              </w:trPr>
              <w:tc>
                <w:tcPr>
                  <w:tcW w:w="501" w:type="pct"/>
                  <w:vMerge w:val="continue"/>
                  <w:tcBorders>
                    <w:tl2br w:val="nil"/>
                    <w:tr2bl w:val="nil"/>
                  </w:tcBorders>
                  <w:shd w:val="clear" w:color="auto" w:fill="FFFFFF"/>
                  <w:vAlign w:val="center"/>
                </w:tcPr>
                <w:p w14:paraId="744BA69D">
                  <w:pPr>
                    <w:pStyle w:val="40"/>
                    <w:keepNext w:val="0"/>
                    <w:keepLines w:val="0"/>
                    <w:widowControl w:val="0"/>
                    <w:suppressLineNumbers w:val="0"/>
                    <w:spacing w:before="0" w:beforeAutospacing="0" w:afterAutospacing="0" w:line="240" w:lineRule="auto"/>
                    <w:ind w:left="0" w:right="0"/>
                    <w:rPr>
                      <w:rFonts w:hint="eastAsia" w:ascii="Times New Roman" w:hAnsi="Times New Roman"/>
                      <w:sz w:val="21"/>
                      <w:szCs w:val="21"/>
                      <w:lang w:val="en-US" w:eastAsia="zh-CN"/>
                    </w:rPr>
                  </w:pPr>
                </w:p>
              </w:tc>
              <w:tc>
                <w:tcPr>
                  <w:tcW w:w="599" w:type="pct"/>
                  <w:vMerge w:val="continue"/>
                  <w:tcBorders>
                    <w:tl2br w:val="nil"/>
                    <w:tr2bl w:val="nil"/>
                  </w:tcBorders>
                  <w:shd w:val="clear" w:color="auto" w:fill="FFFFFF"/>
                  <w:vAlign w:val="center"/>
                </w:tcPr>
                <w:p w14:paraId="331D824D">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c>
                <w:tcPr>
                  <w:tcW w:w="452" w:type="pct"/>
                  <w:tcBorders>
                    <w:tl2br w:val="nil"/>
                    <w:tr2bl w:val="nil"/>
                  </w:tcBorders>
                  <w:shd w:val="clear" w:color="auto" w:fill="FFFFFF"/>
                  <w:vAlign w:val="center"/>
                </w:tcPr>
                <w:p w14:paraId="090A4C52">
                  <w:pPr>
                    <w:pStyle w:val="40"/>
                    <w:keepNext w:val="0"/>
                    <w:keepLines w:val="0"/>
                    <w:widowControl w:val="0"/>
                    <w:suppressLineNumbers w:val="0"/>
                    <w:spacing w:before="0" w:beforeAutospacing="0" w:afterAutospacing="0" w:line="240" w:lineRule="auto"/>
                    <w:ind w:left="-105" w:leftChars="-50" w:right="-105" w:rightChars="-50"/>
                    <w:rPr>
                      <w:rFonts w:hint="eastAsia" w:ascii="Times New Roman" w:hAnsi="Times New Roman"/>
                      <w:sz w:val="21"/>
                      <w:szCs w:val="21"/>
                      <w:lang w:val="en-US" w:eastAsia="zh-CN"/>
                    </w:rPr>
                  </w:pPr>
                  <w:r>
                    <w:rPr>
                      <w:rFonts w:hint="eastAsia" w:ascii="Times New Roman" w:hAnsi="Times New Roman"/>
                      <w:sz w:val="21"/>
                      <w:szCs w:val="21"/>
                      <w:lang w:val="en-US" w:eastAsia="zh-CN"/>
                    </w:rPr>
                    <w:t>氮氧</w:t>
                  </w:r>
                </w:p>
                <w:p w14:paraId="74D57399">
                  <w:pPr>
                    <w:pStyle w:val="40"/>
                    <w:keepNext w:val="0"/>
                    <w:keepLines w:val="0"/>
                    <w:widowControl w:val="0"/>
                    <w:suppressLineNumbers w:val="0"/>
                    <w:spacing w:before="0" w:beforeAutospacing="0" w:afterAutospacing="0" w:line="240" w:lineRule="auto"/>
                    <w:ind w:left="-105" w:leftChars="-50" w:right="-105" w:rightChars="-50"/>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化物</w:t>
                  </w:r>
                </w:p>
              </w:tc>
              <w:tc>
                <w:tcPr>
                  <w:tcW w:w="750" w:type="pct"/>
                  <w:tcBorders>
                    <w:tl2br w:val="nil"/>
                    <w:tr2bl w:val="nil"/>
                  </w:tcBorders>
                  <w:shd w:val="clear" w:color="auto" w:fill="FFFFFF"/>
                  <w:vAlign w:val="center"/>
                </w:tcPr>
                <w:p w14:paraId="69AB4AEA">
                  <w:pPr>
                    <w:keepNext w:val="0"/>
                    <w:keepLines w:val="0"/>
                    <w:widowControl/>
                    <w:suppressLineNumbers w:val="0"/>
                    <w:spacing w:before="0" w:beforeAutospacing="0" w:after="0" w:afterAutospacing="0"/>
                    <w:ind w:left="-105" w:leftChars="-50" w:right="-105" w:rightChars="-50"/>
                    <w:jc w:val="center"/>
                    <w:rPr>
                      <w:rFonts w:hint="default" w:eastAsia="宋体"/>
                      <w:szCs w:val="21"/>
                      <w:lang w:val="en-US" w:eastAsia="zh-CN"/>
                    </w:rPr>
                  </w:pPr>
                  <w:r>
                    <w:rPr>
                      <w:rFonts w:hint="eastAsia"/>
                      <w:szCs w:val="21"/>
                      <w:lang w:val="en-US" w:eastAsia="zh-CN"/>
                    </w:rPr>
                    <w:t>163.465</w:t>
                  </w:r>
                </w:p>
              </w:tc>
              <w:tc>
                <w:tcPr>
                  <w:tcW w:w="531" w:type="pct"/>
                  <w:tcBorders>
                    <w:tl2br w:val="nil"/>
                    <w:tr2bl w:val="nil"/>
                  </w:tcBorders>
                  <w:shd w:val="clear" w:color="auto" w:fill="FFFFFF"/>
                  <w:vAlign w:val="center"/>
                </w:tcPr>
                <w:p w14:paraId="1CFA1DE1">
                  <w:pPr>
                    <w:keepNext w:val="0"/>
                    <w:keepLines w:val="0"/>
                    <w:widowControl/>
                    <w:suppressLineNumbers w:val="0"/>
                    <w:spacing w:before="0" w:beforeAutospacing="0" w:after="0" w:afterAutospacing="0"/>
                    <w:ind w:left="-105" w:leftChars="-50" w:right="-105" w:rightChars="-50"/>
                    <w:jc w:val="center"/>
                    <w:rPr>
                      <w:rFonts w:hint="default" w:eastAsia="宋体"/>
                      <w:szCs w:val="21"/>
                      <w:lang w:val="en-US" w:eastAsia="zh-CN"/>
                    </w:rPr>
                  </w:pPr>
                  <w:r>
                    <w:rPr>
                      <w:rFonts w:hint="eastAsia"/>
                      <w:szCs w:val="21"/>
                      <w:lang w:val="en-US" w:eastAsia="zh-CN"/>
                    </w:rPr>
                    <w:t>0.6928</w:t>
                  </w:r>
                </w:p>
              </w:tc>
              <w:tc>
                <w:tcPr>
                  <w:tcW w:w="860" w:type="pct"/>
                  <w:vMerge w:val="continue"/>
                  <w:tcBorders>
                    <w:tl2br w:val="nil"/>
                    <w:tr2bl w:val="nil"/>
                  </w:tcBorders>
                  <w:shd w:val="clear" w:color="auto" w:fill="FFFFFF"/>
                  <w:vAlign w:val="center"/>
                </w:tcPr>
                <w:p w14:paraId="661CEF27">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sz w:val="21"/>
                      <w:szCs w:val="21"/>
                    </w:rPr>
                  </w:pPr>
                </w:p>
              </w:tc>
              <w:tc>
                <w:tcPr>
                  <w:tcW w:w="463" w:type="pct"/>
                  <w:vMerge w:val="continue"/>
                  <w:tcBorders>
                    <w:tl2br w:val="nil"/>
                    <w:tr2bl w:val="nil"/>
                  </w:tcBorders>
                  <w:shd w:val="clear" w:color="auto" w:fill="FFFFFF"/>
                  <w:vAlign w:val="center"/>
                </w:tcPr>
                <w:p w14:paraId="68A78189">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c>
                <w:tcPr>
                  <w:tcW w:w="842" w:type="pct"/>
                  <w:vMerge w:val="continue"/>
                  <w:tcBorders>
                    <w:tl2br w:val="nil"/>
                    <w:tr2bl w:val="nil"/>
                  </w:tcBorders>
                  <w:shd w:val="clear" w:color="auto" w:fill="FFFFFF"/>
                  <w:vAlign w:val="center"/>
                </w:tcPr>
                <w:p w14:paraId="71260C06">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r>
            <w:tr w14:paraId="7CDD817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28" w:type="dxa"/>
                  <w:bottom w:w="0" w:type="dxa"/>
                  <w:right w:w="28" w:type="dxa"/>
                </w:tblCellMar>
              </w:tblPrEx>
              <w:trPr>
                <w:trHeight w:val="667" w:hRule="atLeast"/>
                <w:jc w:val="center"/>
              </w:trPr>
              <w:tc>
                <w:tcPr>
                  <w:tcW w:w="501" w:type="pct"/>
                  <w:tcBorders>
                    <w:tl2br w:val="nil"/>
                    <w:tr2bl w:val="nil"/>
                  </w:tcBorders>
                  <w:shd w:val="clear" w:color="auto" w:fill="FFFFFF"/>
                  <w:vAlign w:val="center"/>
                </w:tcPr>
                <w:p w14:paraId="79A7843F">
                  <w:pPr>
                    <w:pStyle w:val="40"/>
                    <w:keepNext w:val="0"/>
                    <w:keepLines w:val="0"/>
                    <w:widowControl w:val="0"/>
                    <w:suppressLineNumbers w:val="0"/>
                    <w:spacing w:before="0" w:beforeAutospacing="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DA002排气筒</w:t>
                  </w:r>
                </w:p>
              </w:tc>
              <w:tc>
                <w:tcPr>
                  <w:tcW w:w="599" w:type="pct"/>
                  <w:tcBorders>
                    <w:tl2br w:val="nil"/>
                    <w:tr2bl w:val="nil"/>
                  </w:tcBorders>
                  <w:shd w:val="clear" w:color="auto" w:fill="FFFFFF"/>
                  <w:vAlign w:val="center"/>
                </w:tcPr>
                <w:p w14:paraId="2975322C">
                  <w:pPr>
                    <w:pStyle w:val="40"/>
                    <w:keepNext w:val="0"/>
                    <w:keepLines w:val="0"/>
                    <w:widowControl w:val="0"/>
                    <w:suppressLineNumbers w:val="0"/>
                    <w:spacing w:before="0" w:beforeAutospacing="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废气处理设施故障</w:t>
                  </w:r>
                </w:p>
              </w:tc>
              <w:tc>
                <w:tcPr>
                  <w:tcW w:w="452" w:type="pct"/>
                  <w:tcBorders>
                    <w:tl2br w:val="nil"/>
                    <w:tr2bl w:val="nil"/>
                  </w:tcBorders>
                  <w:shd w:val="clear" w:color="auto" w:fill="FFFFFF"/>
                  <w:vAlign w:val="center"/>
                </w:tcPr>
                <w:p w14:paraId="6CB3D567">
                  <w:pPr>
                    <w:pStyle w:val="40"/>
                    <w:keepNext w:val="0"/>
                    <w:keepLines w:val="0"/>
                    <w:widowControl w:val="0"/>
                    <w:suppressLineNumbers w:val="0"/>
                    <w:spacing w:before="0" w:beforeAutospacing="0" w:afterAutospacing="0" w:line="240" w:lineRule="auto"/>
                    <w:ind w:left="-105" w:leftChars="-50" w:right="-105" w:rightChars="-50"/>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油烟</w:t>
                  </w:r>
                </w:p>
              </w:tc>
              <w:tc>
                <w:tcPr>
                  <w:tcW w:w="750" w:type="pct"/>
                  <w:tcBorders>
                    <w:tl2br w:val="nil"/>
                    <w:tr2bl w:val="nil"/>
                  </w:tcBorders>
                  <w:shd w:val="clear" w:color="auto" w:fill="FFFFFF"/>
                  <w:vAlign w:val="center"/>
                </w:tcPr>
                <w:p w14:paraId="28B0CB8D">
                  <w:pPr>
                    <w:keepNext w:val="0"/>
                    <w:keepLines w:val="0"/>
                    <w:widowControl/>
                    <w:suppressLineNumbers w:val="0"/>
                    <w:spacing w:before="0" w:beforeAutospacing="0" w:after="0" w:afterAutospacing="0"/>
                    <w:ind w:left="-105" w:leftChars="-50" w:right="-105" w:rightChars="-50"/>
                    <w:jc w:val="center"/>
                    <w:rPr>
                      <w:rFonts w:hint="default" w:eastAsia="宋体"/>
                      <w:szCs w:val="21"/>
                      <w:lang w:val="en-US" w:eastAsia="zh-CN"/>
                    </w:rPr>
                  </w:pPr>
                  <w:r>
                    <w:rPr>
                      <w:rFonts w:hint="eastAsia"/>
                      <w:szCs w:val="21"/>
                      <w:lang w:val="en-US" w:eastAsia="zh-CN"/>
                    </w:rPr>
                    <w:t>33.96</w:t>
                  </w:r>
                </w:p>
              </w:tc>
              <w:tc>
                <w:tcPr>
                  <w:tcW w:w="531" w:type="pct"/>
                  <w:tcBorders>
                    <w:tl2br w:val="nil"/>
                    <w:tr2bl w:val="nil"/>
                  </w:tcBorders>
                  <w:shd w:val="clear" w:color="auto" w:fill="FFFFFF"/>
                  <w:vAlign w:val="center"/>
                </w:tcPr>
                <w:p w14:paraId="0F2436C6">
                  <w:pPr>
                    <w:keepNext w:val="0"/>
                    <w:keepLines w:val="0"/>
                    <w:widowControl/>
                    <w:suppressLineNumbers w:val="0"/>
                    <w:spacing w:before="0" w:beforeAutospacing="0" w:after="0" w:afterAutospacing="0"/>
                    <w:ind w:left="-105" w:leftChars="-50" w:right="-105" w:rightChars="-50"/>
                    <w:jc w:val="center"/>
                    <w:rPr>
                      <w:rFonts w:hint="default" w:eastAsia="宋体"/>
                      <w:szCs w:val="21"/>
                      <w:lang w:val="en-US" w:eastAsia="zh-CN"/>
                    </w:rPr>
                  </w:pPr>
                  <w:r>
                    <w:rPr>
                      <w:rFonts w:hint="eastAsia"/>
                      <w:szCs w:val="21"/>
                      <w:lang w:val="en-US" w:eastAsia="zh-CN"/>
                    </w:rPr>
                    <w:t>0.951</w:t>
                  </w:r>
                </w:p>
              </w:tc>
              <w:tc>
                <w:tcPr>
                  <w:tcW w:w="860" w:type="pct"/>
                  <w:vMerge w:val="continue"/>
                  <w:tcBorders>
                    <w:tl2br w:val="nil"/>
                    <w:tr2bl w:val="nil"/>
                  </w:tcBorders>
                  <w:shd w:val="clear" w:color="auto" w:fill="FFFFFF"/>
                  <w:vAlign w:val="center"/>
                </w:tcPr>
                <w:p w14:paraId="23080A46">
                  <w:pPr>
                    <w:pStyle w:val="40"/>
                    <w:keepNext w:val="0"/>
                    <w:keepLines w:val="0"/>
                    <w:widowControl w:val="0"/>
                    <w:suppressLineNumbers w:val="0"/>
                    <w:spacing w:before="0" w:beforeAutospacing="0" w:afterAutospacing="0" w:line="240" w:lineRule="auto"/>
                    <w:ind w:left="-105" w:leftChars="-50" w:right="-105" w:rightChars="-50"/>
                    <w:rPr>
                      <w:rFonts w:hint="default" w:ascii="Times New Roman" w:hAnsi="Times New Roman"/>
                      <w:sz w:val="21"/>
                      <w:szCs w:val="21"/>
                    </w:rPr>
                  </w:pPr>
                </w:p>
              </w:tc>
              <w:tc>
                <w:tcPr>
                  <w:tcW w:w="463" w:type="pct"/>
                  <w:vMerge w:val="continue"/>
                  <w:tcBorders>
                    <w:tl2br w:val="nil"/>
                    <w:tr2bl w:val="nil"/>
                  </w:tcBorders>
                  <w:shd w:val="clear" w:color="auto" w:fill="FFFFFF"/>
                  <w:vAlign w:val="center"/>
                </w:tcPr>
                <w:p w14:paraId="5D448D44">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c>
                <w:tcPr>
                  <w:tcW w:w="842" w:type="pct"/>
                  <w:vMerge w:val="continue"/>
                  <w:tcBorders>
                    <w:tl2br w:val="nil"/>
                    <w:tr2bl w:val="nil"/>
                  </w:tcBorders>
                  <w:shd w:val="clear" w:color="auto" w:fill="FFFFFF"/>
                  <w:vAlign w:val="center"/>
                </w:tcPr>
                <w:p w14:paraId="5C8B5254">
                  <w:pPr>
                    <w:pStyle w:val="40"/>
                    <w:keepNext w:val="0"/>
                    <w:keepLines w:val="0"/>
                    <w:widowControl w:val="0"/>
                    <w:suppressLineNumbers w:val="0"/>
                    <w:spacing w:before="0" w:beforeAutospacing="0" w:afterAutospacing="0" w:line="240" w:lineRule="auto"/>
                    <w:ind w:left="0" w:right="0"/>
                    <w:rPr>
                      <w:rFonts w:hint="default" w:ascii="Times New Roman" w:hAnsi="Times New Roman"/>
                      <w:sz w:val="21"/>
                      <w:szCs w:val="21"/>
                    </w:rPr>
                  </w:pPr>
                </w:p>
              </w:tc>
            </w:tr>
          </w:tbl>
          <w:p w14:paraId="111B4FFD">
            <w:pPr>
              <w:keepNext w:val="0"/>
              <w:keepLines w:val="0"/>
              <w:suppressLineNumbers w:val="0"/>
              <w:spacing w:before="157" w:beforeLines="50" w:beforeAutospacing="0" w:after="0" w:afterAutospacing="0" w:line="360" w:lineRule="auto"/>
              <w:ind w:left="0" w:right="0" w:firstLine="482" w:firstLineChars="200"/>
              <w:rPr>
                <w:rFonts w:hint="default"/>
                <w:b/>
                <w:bCs/>
                <w:sz w:val="24"/>
              </w:rPr>
            </w:pPr>
            <w:r>
              <w:rPr>
                <w:rFonts w:hint="eastAsia"/>
                <w:b/>
                <w:bCs/>
                <w:sz w:val="24"/>
                <w:lang w:val="en-US" w:eastAsia="zh-CN"/>
              </w:rPr>
              <w:t>非正常工况防范措施：</w:t>
            </w:r>
          </w:p>
          <w:p w14:paraId="64D35E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sz w:val="24"/>
              </w:rPr>
            </w:pPr>
            <w:r>
              <w:rPr>
                <w:rFonts w:hint="eastAsia"/>
                <w:sz w:val="24"/>
                <w:lang w:val="en-US" w:eastAsia="zh-CN"/>
              </w:rPr>
              <w:t>为确保项目废气处理装置正常运行，建议建设方在日常运行过程中，采取如下措施：</w:t>
            </w:r>
          </w:p>
          <w:p w14:paraId="2D80C481">
            <w:pPr>
              <w:keepNext w:val="0"/>
              <w:keepLines w:val="0"/>
              <w:pageBreakBefore w:val="0"/>
              <w:widowControl w:val="0"/>
              <w:numPr>
                <w:ilvl w:val="0"/>
                <w:numId w:val="2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sz w:val="24"/>
                <w:lang w:val="en-US" w:eastAsia="zh-CN"/>
              </w:rPr>
            </w:pPr>
            <w:r>
              <w:rPr>
                <w:rFonts w:hint="eastAsia"/>
                <w:sz w:val="24"/>
                <w:lang w:val="en-US" w:eastAsia="zh-CN"/>
              </w:rPr>
              <w:t>安排专人负责每日巡检废气处理装置，做好巡检记录；</w:t>
            </w:r>
          </w:p>
          <w:p w14:paraId="58989F26">
            <w:pPr>
              <w:pStyle w:val="11"/>
              <w:keepNext w:val="0"/>
              <w:keepLines w:val="0"/>
              <w:numPr>
                <w:ilvl w:val="0"/>
                <w:numId w:val="20"/>
              </w:numPr>
              <w:suppressLineNumbers w:val="0"/>
              <w:spacing w:before="0" w:beforeAutospacing="0" w:after="0" w:afterAutospacing="0"/>
              <w:ind w:left="0"/>
              <w:rPr>
                <w:rFonts w:hint="default"/>
              </w:rPr>
            </w:pPr>
            <w:r>
              <w:rPr>
                <w:rFonts w:hint="eastAsia"/>
                <w:lang w:val="en-US" w:eastAsia="zh-CN"/>
              </w:rPr>
              <w:t>当发现废气处理设施故障并导致废气非正常排放时，应立即停止废气产生工序，待废气处理装置故障排除后并可正常运行时方可恢复相关生产；</w:t>
            </w:r>
          </w:p>
          <w:p w14:paraId="0CC60EAB">
            <w:pPr>
              <w:pStyle w:val="11"/>
              <w:keepNext w:val="0"/>
              <w:keepLines w:val="0"/>
              <w:numPr>
                <w:ilvl w:val="0"/>
                <w:numId w:val="20"/>
              </w:numPr>
              <w:suppressLineNumbers w:val="0"/>
              <w:bidi w:val="0"/>
              <w:spacing w:before="0" w:beforeAutospacing="0" w:after="0" w:afterAutospacing="0"/>
              <w:ind w:left="0"/>
              <w:rPr>
                <w:rFonts w:hint="default"/>
              </w:rPr>
            </w:pPr>
            <w:r>
              <w:rPr>
                <w:rFonts w:hint="eastAsia"/>
                <w:lang w:val="en-US" w:eastAsia="zh-CN"/>
              </w:rPr>
              <w:t>按照要求定期对废气处理装置进行维护保养，以减少废气的非正常排放；</w:t>
            </w:r>
          </w:p>
          <w:p w14:paraId="38FDBC42">
            <w:pPr>
              <w:pStyle w:val="11"/>
              <w:keepNext w:val="0"/>
              <w:keepLines w:val="0"/>
              <w:numPr>
                <w:ilvl w:val="0"/>
                <w:numId w:val="20"/>
              </w:numPr>
              <w:suppressLineNumbers w:val="0"/>
              <w:bidi w:val="0"/>
              <w:spacing w:before="0" w:beforeAutospacing="0" w:after="0" w:afterAutospacing="0"/>
              <w:ind w:left="0"/>
              <w:rPr>
                <w:rFonts w:hint="default"/>
              </w:rPr>
            </w:pPr>
            <w:r>
              <w:rPr>
                <w:rFonts w:hint="eastAsia"/>
                <w:lang w:val="en-US" w:eastAsia="zh-CN"/>
              </w:rPr>
              <w:t>建立废气处理装置运行管理台账，由专人负责记录。</w:t>
            </w:r>
          </w:p>
          <w:p w14:paraId="7E1DF49F">
            <w:pPr>
              <w:keepNext w:val="0"/>
              <w:keepLines w:val="0"/>
              <w:widowControl/>
              <w:suppressLineNumbers w:val="0"/>
              <w:spacing w:before="120" w:beforeLines="50" w:beforeAutospacing="0" w:after="0" w:afterAutospacing="0" w:line="360" w:lineRule="auto"/>
              <w:ind w:left="0" w:right="0"/>
              <w:rPr>
                <w:rFonts w:hint="default" w:ascii="Times New Roman" w:hAnsi="Times New Roman" w:cs="Times New Roman"/>
                <w:b/>
                <w:bCs/>
                <w:sz w:val="24"/>
              </w:rPr>
            </w:pPr>
            <w:r>
              <w:rPr>
                <w:rFonts w:hint="default" w:ascii="Times New Roman" w:hAnsi="Times New Roman" w:cs="Times New Roman"/>
                <w:b/>
                <w:bCs/>
                <w:sz w:val="24"/>
              </w:rPr>
              <w:t>1.</w:t>
            </w:r>
            <w:r>
              <w:rPr>
                <w:rFonts w:hint="eastAsia" w:cs="Times New Roman"/>
                <w:b/>
                <w:bCs/>
                <w:sz w:val="24"/>
                <w:lang w:val="en-US" w:eastAsia="zh-CN"/>
              </w:rPr>
              <w:t>7</w:t>
            </w:r>
            <w:r>
              <w:rPr>
                <w:rFonts w:hint="default" w:ascii="Times New Roman" w:hAnsi="Times New Roman" w:cs="Times New Roman"/>
                <w:b/>
                <w:bCs/>
                <w:sz w:val="24"/>
              </w:rPr>
              <w:t>监测计划</w:t>
            </w:r>
          </w:p>
          <w:p w14:paraId="5E2737DF">
            <w:pPr>
              <w:keepNext w:val="0"/>
              <w:keepLines w:val="0"/>
              <w:widowControl/>
              <w:suppressLineNumbers w:val="0"/>
              <w:spacing w:before="0" w:beforeAutospacing="0" w:after="0" w:afterAutospacing="0" w:line="360" w:lineRule="auto"/>
              <w:ind w:left="0" w:right="0" w:firstLine="480" w:firstLineChars="200"/>
              <w:rPr>
                <w:rFonts w:hint="default"/>
                <w:sz w:val="24"/>
              </w:rPr>
            </w:pPr>
            <w:r>
              <w:rPr>
                <w:rFonts w:hint="default"/>
                <w:sz w:val="24"/>
              </w:rPr>
              <w:t>根据《排污单位自行监测技术指南 总则》(HJ819-2017)、</w:t>
            </w:r>
            <w:r>
              <w:rPr>
                <w:rFonts w:hint="eastAsia"/>
                <w:sz w:val="24"/>
                <w:lang w:eastAsia="zh-CN"/>
              </w:rPr>
              <w:t>《</w:t>
            </w:r>
            <w:r>
              <w:rPr>
                <w:rFonts w:hint="default"/>
                <w:sz w:val="24"/>
              </w:rPr>
              <w:t xml:space="preserve">排污单位自行监测技术指南 </w:t>
            </w:r>
            <w:r>
              <w:rPr>
                <w:rFonts w:hint="eastAsia"/>
                <w:sz w:val="24"/>
                <w:lang w:val="en-US" w:eastAsia="zh-CN"/>
              </w:rPr>
              <w:t>农副食品加工业</w:t>
            </w:r>
            <w:r>
              <w:rPr>
                <w:rFonts w:hint="eastAsia"/>
                <w:sz w:val="24"/>
                <w:lang w:eastAsia="zh-CN"/>
              </w:rPr>
              <w:t xml:space="preserve">》（HJ </w:t>
            </w:r>
            <w:r>
              <w:rPr>
                <w:rFonts w:hint="eastAsia"/>
                <w:sz w:val="24"/>
                <w:lang w:val="en-US" w:eastAsia="zh-CN"/>
              </w:rPr>
              <w:t>986-2018</w:t>
            </w:r>
            <w:r>
              <w:rPr>
                <w:rFonts w:hint="eastAsia"/>
                <w:sz w:val="24"/>
                <w:lang w:eastAsia="zh-CN"/>
              </w:rPr>
              <w:t>）、《</w:t>
            </w:r>
            <w:r>
              <w:rPr>
                <w:rFonts w:hint="eastAsia"/>
                <w:sz w:val="24"/>
                <w:lang w:val="en-US" w:eastAsia="zh-CN"/>
              </w:rPr>
              <w:t>排污单位自行监测技术指南 火力发电及锅炉</w:t>
            </w:r>
            <w:r>
              <w:rPr>
                <w:rFonts w:hint="eastAsia"/>
                <w:sz w:val="24"/>
                <w:lang w:eastAsia="zh-CN"/>
              </w:rPr>
              <w:t>》（</w:t>
            </w:r>
            <w:r>
              <w:rPr>
                <w:rFonts w:hint="eastAsia"/>
                <w:sz w:val="24"/>
                <w:lang w:val="en-US" w:eastAsia="zh-CN"/>
              </w:rPr>
              <w:t>HJ820-2017</w:t>
            </w:r>
            <w:r>
              <w:rPr>
                <w:rFonts w:hint="eastAsia"/>
                <w:sz w:val="24"/>
                <w:lang w:eastAsia="zh-CN"/>
              </w:rPr>
              <w:t>）</w:t>
            </w:r>
            <w:r>
              <w:rPr>
                <w:rFonts w:hint="default"/>
                <w:sz w:val="24"/>
              </w:rPr>
              <w:t>等规范的要求，本项目废气自行监测计划可参照下表执行：</w:t>
            </w:r>
          </w:p>
          <w:p w14:paraId="5DB67D6E">
            <w:pPr>
              <w:pStyle w:val="33"/>
              <w:keepNext w:val="0"/>
              <w:keepLines w:val="0"/>
              <w:numPr>
                <w:ilvl w:val="0"/>
                <w:numId w:val="19"/>
              </w:numPr>
              <w:suppressLineNumbers w:val="0"/>
              <w:spacing w:before="0" w:beforeAutospacing="0" w:after="0" w:afterAutospacing="0"/>
              <w:ind w:right="0" w:firstLineChars="0"/>
              <w:jc w:val="center"/>
              <w:rPr>
                <w:rFonts w:hint="default"/>
                <w:b/>
                <w:sz w:val="24"/>
                <w:szCs w:val="24"/>
              </w:rPr>
            </w:pPr>
            <w:r>
              <w:rPr>
                <w:rFonts w:hint="default"/>
                <w:b/>
                <w:sz w:val="24"/>
                <w:szCs w:val="24"/>
              </w:rPr>
              <w:t>本项目废气</w:t>
            </w:r>
            <w:r>
              <w:rPr>
                <w:rFonts w:hint="eastAsia"/>
                <w:b/>
                <w:sz w:val="24"/>
                <w:szCs w:val="24"/>
                <w:lang w:val="en-US" w:eastAsia="zh-CN"/>
              </w:rPr>
              <w:t>自行</w:t>
            </w:r>
            <w:r>
              <w:rPr>
                <w:rFonts w:hint="default"/>
                <w:b/>
                <w:sz w:val="24"/>
                <w:szCs w:val="24"/>
              </w:rPr>
              <w:t>监测</w:t>
            </w:r>
            <w:r>
              <w:rPr>
                <w:rFonts w:hint="eastAsia"/>
                <w:b/>
                <w:sz w:val="24"/>
                <w:szCs w:val="24"/>
                <w:lang w:val="en-US" w:eastAsia="zh-CN"/>
              </w:rPr>
              <w:t>计划一览表</w:t>
            </w:r>
          </w:p>
          <w:tbl>
            <w:tblPr>
              <w:tblStyle w:val="24"/>
              <w:tblW w:w="4998"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546"/>
              <w:gridCol w:w="1291"/>
              <w:gridCol w:w="1168"/>
              <w:gridCol w:w="4393"/>
            </w:tblGrid>
            <w:tr w14:paraId="0029C79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29" w:hRule="atLeast"/>
                <w:jc w:val="center"/>
              </w:trPr>
              <w:tc>
                <w:tcPr>
                  <w:tcW w:w="920" w:type="pct"/>
                  <w:tcBorders>
                    <w:tl2br w:val="nil"/>
                    <w:tr2bl w:val="nil"/>
                  </w:tcBorders>
                  <w:vAlign w:val="center"/>
                </w:tcPr>
                <w:p w14:paraId="066A2DA0">
                  <w:pPr>
                    <w:pStyle w:val="40"/>
                    <w:keepNext w:val="0"/>
                    <w:keepLines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监测点位</w:t>
                  </w:r>
                </w:p>
              </w:tc>
              <w:tc>
                <w:tcPr>
                  <w:tcW w:w="768" w:type="pct"/>
                  <w:tcBorders>
                    <w:tl2br w:val="nil"/>
                    <w:tr2bl w:val="nil"/>
                  </w:tcBorders>
                  <w:vAlign w:val="center"/>
                </w:tcPr>
                <w:p w14:paraId="1C7D81E8">
                  <w:pPr>
                    <w:pStyle w:val="40"/>
                    <w:keepNext w:val="0"/>
                    <w:keepLines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监测指标</w:t>
                  </w:r>
                </w:p>
              </w:tc>
              <w:tc>
                <w:tcPr>
                  <w:tcW w:w="695" w:type="pct"/>
                  <w:tcBorders>
                    <w:tl2br w:val="nil"/>
                    <w:tr2bl w:val="nil"/>
                  </w:tcBorders>
                  <w:vAlign w:val="center"/>
                </w:tcPr>
                <w:p w14:paraId="78906A8B">
                  <w:pPr>
                    <w:pStyle w:val="40"/>
                    <w:keepNext w:val="0"/>
                    <w:keepLines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监测频次</w:t>
                  </w:r>
                </w:p>
              </w:tc>
              <w:tc>
                <w:tcPr>
                  <w:tcW w:w="2615" w:type="pct"/>
                  <w:tcBorders>
                    <w:tl2br w:val="nil"/>
                    <w:tr2bl w:val="nil"/>
                  </w:tcBorders>
                  <w:vAlign w:val="center"/>
                </w:tcPr>
                <w:p w14:paraId="7B592570">
                  <w:pPr>
                    <w:pStyle w:val="40"/>
                    <w:keepNext w:val="0"/>
                    <w:keepLines w:val="0"/>
                    <w:suppressLineNumbers w:val="0"/>
                    <w:spacing w:before="0" w:beforeAutospacing="0" w:afterAutospacing="0" w:line="240" w:lineRule="auto"/>
                    <w:ind w:left="0" w:right="0"/>
                    <w:rPr>
                      <w:rFonts w:hint="default" w:ascii="Times New Roman" w:hAnsi="Times New Roman"/>
                      <w:b/>
                      <w:bCs/>
                      <w:sz w:val="21"/>
                      <w:szCs w:val="21"/>
                    </w:rPr>
                  </w:pPr>
                  <w:r>
                    <w:rPr>
                      <w:rFonts w:hint="default" w:ascii="Times New Roman" w:hAnsi="Times New Roman"/>
                      <w:b/>
                      <w:bCs/>
                      <w:sz w:val="21"/>
                      <w:szCs w:val="21"/>
                    </w:rPr>
                    <w:t>执行排放标准</w:t>
                  </w:r>
                </w:p>
              </w:tc>
            </w:tr>
            <w:tr w14:paraId="37523C3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76" w:hRule="atLeast"/>
                <w:jc w:val="center"/>
              </w:trPr>
              <w:tc>
                <w:tcPr>
                  <w:tcW w:w="920" w:type="pct"/>
                  <w:vMerge w:val="restart"/>
                  <w:tcBorders>
                    <w:tl2br w:val="nil"/>
                    <w:tr2bl w:val="nil"/>
                  </w:tcBorders>
                  <w:vAlign w:val="center"/>
                </w:tcPr>
                <w:p w14:paraId="23687ABD">
                  <w:pPr>
                    <w:pStyle w:val="40"/>
                    <w:keepNext w:val="0"/>
                    <w:keepLines w:val="0"/>
                    <w:suppressLineNumbers w:val="0"/>
                    <w:spacing w:before="0" w:beforeAutospacing="0" w:afterAutospacing="0" w:line="240" w:lineRule="auto"/>
                    <w:ind w:left="0" w:right="0"/>
                    <w:rPr>
                      <w:rFonts w:hint="eastAsia" w:ascii="Times New Roman" w:hAnsi="Times New Roman"/>
                      <w:sz w:val="21"/>
                      <w:szCs w:val="21"/>
                      <w:lang w:val="en-US" w:eastAsia="zh-CN"/>
                    </w:rPr>
                  </w:pPr>
                  <w:r>
                    <w:rPr>
                      <w:rFonts w:hint="eastAsia" w:ascii="Times New Roman" w:hAnsi="Times New Roman"/>
                      <w:sz w:val="21"/>
                      <w:szCs w:val="21"/>
                      <w:lang w:val="en-US" w:eastAsia="zh-CN"/>
                    </w:rPr>
                    <w:t>DA001</w:t>
                  </w:r>
                </w:p>
                <w:p w14:paraId="1B4F6A5A">
                  <w:pPr>
                    <w:pStyle w:val="40"/>
                    <w:keepNext w:val="0"/>
                    <w:keepLines w:val="0"/>
                    <w:suppressLineNumbers w:val="0"/>
                    <w:spacing w:before="0" w:beforeAutospacing="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排气筒</w:t>
                  </w:r>
                </w:p>
              </w:tc>
              <w:tc>
                <w:tcPr>
                  <w:tcW w:w="768" w:type="pct"/>
                  <w:tcBorders>
                    <w:tl2br w:val="nil"/>
                    <w:tr2bl w:val="nil"/>
                  </w:tcBorders>
                  <w:vAlign w:val="center"/>
                </w:tcPr>
                <w:p w14:paraId="4F2D9781">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r>
                    <w:rPr>
                      <w:rFonts w:hint="default" w:ascii="Times New Roman" w:hAnsi="Times New Roman"/>
                      <w:sz w:val="21"/>
                      <w:szCs w:val="21"/>
                    </w:rPr>
                    <w:t>颗粒物</w:t>
                  </w:r>
                </w:p>
              </w:tc>
              <w:tc>
                <w:tcPr>
                  <w:tcW w:w="695" w:type="pct"/>
                  <w:vMerge w:val="restart"/>
                  <w:tcBorders>
                    <w:tl2br w:val="nil"/>
                    <w:tr2bl w:val="nil"/>
                  </w:tcBorders>
                  <w:vAlign w:val="center"/>
                </w:tcPr>
                <w:p w14:paraId="723BA632">
                  <w:pPr>
                    <w:keepNext w:val="0"/>
                    <w:keepLines w:val="0"/>
                    <w:suppressLineNumbers w:val="0"/>
                    <w:spacing w:before="0" w:beforeAutospacing="0" w:after="0" w:afterAutospacing="0"/>
                    <w:ind w:left="0" w:right="0"/>
                    <w:jc w:val="center"/>
                    <w:rPr>
                      <w:rFonts w:hint="eastAsia" w:eastAsia="宋体"/>
                      <w:szCs w:val="21"/>
                      <w:lang w:eastAsia="zh-CN"/>
                    </w:rPr>
                  </w:pPr>
                  <w:r>
                    <w:rPr>
                      <w:rFonts w:hint="default"/>
                      <w:szCs w:val="21"/>
                    </w:rPr>
                    <w:t>1次/</w:t>
                  </w:r>
                  <w:r>
                    <w:rPr>
                      <w:rFonts w:hint="eastAsia"/>
                      <w:szCs w:val="21"/>
                      <w:lang w:val="en-US" w:eastAsia="zh-CN"/>
                    </w:rPr>
                    <w:t>月</w:t>
                  </w:r>
                </w:p>
              </w:tc>
              <w:tc>
                <w:tcPr>
                  <w:tcW w:w="2615" w:type="pct"/>
                  <w:vMerge w:val="restart"/>
                  <w:tcBorders>
                    <w:tl2br w:val="nil"/>
                    <w:tr2bl w:val="nil"/>
                  </w:tcBorders>
                  <w:vAlign w:val="center"/>
                </w:tcPr>
                <w:p w14:paraId="493A033F">
                  <w:pPr>
                    <w:keepNext w:val="0"/>
                    <w:keepLines w:val="0"/>
                    <w:suppressLineNumbers w:val="0"/>
                    <w:spacing w:before="0" w:beforeAutospacing="0" w:after="0" w:afterAutospacing="0"/>
                    <w:ind w:left="0" w:right="0"/>
                    <w:jc w:val="center"/>
                    <w:rPr>
                      <w:rFonts w:hint="default"/>
                      <w:szCs w:val="21"/>
                    </w:rPr>
                  </w:pPr>
                  <w:r>
                    <w:rPr>
                      <w:rFonts w:hint="eastAsia"/>
                      <w:szCs w:val="21"/>
                      <w:lang w:val="en-US" w:eastAsia="zh-CN"/>
                    </w:rPr>
                    <w:t>《锅炉大气污染物排放标准》（GB13271-2014）表3大气污染物特别排放限值中燃煤锅炉限值标准</w:t>
                  </w:r>
                  <w:r>
                    <w:rPr>
                      <w:rFonts w:hint="default"/>
                      <w:szCs w:val="21"/>
                    </w:rPr>
                    <w:t>要求</w:t>
                  </w:r>
                </w:p>
              </w:tc>
            </w:tr>
            <w:tr w14:paraId="4BBD07D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76" w:hRule="atLeast"/>
                <w:jc w:val="center"/>
              </w:trPr>
              <w:tc>
                <w:tcPr>
                  <w:tcW w:w="920" w:type="pct"/>
                  <w:vMerge w:val="continue"/>
                  <w:tcBorders>
                    <w:tl2br w:val="nil"/>
                    <w:tr2bl w:val="nil"/>
                  </w:tcBorders>
                  <w:vAlign w:val="center"/>
                </w:tcPr>
                <w:p w14:paraId="74BE1DA4">
                  <w:pPr>
                    <w:pStyle w:val="40"/>
                    <w:keepNext w:val="0"/>
                    <w:keepLines w:val="0"/>
                    <w:suppressLineNumbers w:val="0"/>
                    <w:spacing w:before="0" w:beforeAutospacing="0" w:afterAutospacing="0" w:line="240" w:lineRule="auto"/>
                    <w:ind w:left="0" w:right="0"/>
                  </w:pPr>
                </w:p>
              </w:tc>
              <w:tc>
                <w:tcPr>
                  <w:tcW w:w="768" w:type="pct"/>
                  <w:tcBorders>
                    <w:tl2br w:val="nil"/>
                    <w:tr2bl w:val="nil"/>
                  </w:tcBorders>
                  <w:vAlign w:val="center"/>
                </w:tcPr>
                <w:p w14:paraId="012E2F9C">
                  <w:pPr>
                    <w:pStyle w:val="40"/>
                    <w:keepNext w:val="0"/>
                    <w:keepLines w:val="0"/>
                    <w:suppressLineNumbers w:val="0"/>
                    <w:spacing w:before="0" w:beforeAutospacing="0" w:afterAutospacing="0" w:line="240" w:lineRule="auto"/>
                    <w:ind w:left="0" w:right="0"/>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二氧化硫</w:t>
                  </w:r>
                </w:p>
              </w:tc>
              <w:tc>
                <w:tcPr>
                  <w:tcW w:w="695" w:type="pct"/>
                  <w:vMerge w:val="continue"/>
                  <w:tcBorders>
                    <w:tl2br w:val="nil"/>
                    <w:tr2bl w:val="nil"/>
                  </w:tcBorders>
                  <w:vAlign w:val="center"/>
                </w:tcPr>
                <w:p w14:paraId="0F6806B1">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c>
                <w:tcPr>
                  <w:tcW w:w="2615" w:type="pct"/>
                  <w:vMerge w:val="continue"/>
                  <w:tcBorders>
                    <w:tl2br w:val="nil"/>
                    <w:tr2bl w:val="nil"/>
                  </w:tcBorders>
                  <w:vAlign w:val="center"/>
                </w:tcPr>
                <w:p w14:paraId="33A57DB5">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r>
            <w:tr w14:paraId="0006B4F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76" w:hRule="atLeast"/>
                <w:jc w:val="center"/>
              </w:trPr>
              <w:tc>
                <w:tcPr>
                  <w:tcW w:w="920" w:type="pct"/>
                  <w:vMerge w:val="continue"/>
                  <w:tcBorders>
                    <w:tl2br w:val="nil"/>
                    <w:tr2bl w:val="nil"/>
                  </w:tcBorders>
                  <w:vAlign w:val="center"/>
                </w:tcPr>
                <w:p w14:paraId="5CBE893B">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c>
                <w:tcPr>
                  <w:tcW w:w="768" w:type="pct"/>
                  <w:tcBorders>
                    <w:tl2br w:val="nil"/>
                    <w:tr2bl w:val="nil"/>
                  </w:tcBorders>
                  <w:vAlign w:val="center"/>
                </w:tcPr>
                <w:p w14:paraId="7FCF0734">
                  <w:pPr>
                    <w:pStyle w:val="40"/>
                    <w:keepNext w:val="0"/>
                    <w:keepLines w:val="0"/>
                    <w:suppressLineNumbers w:val="0"/>
                    <w:spacing w:before="0" w:beforeAutospacing="0" w:afterAutospacing="0" w:line="240" w:lineRule="auto"/>
                    <w:ind w:left="0" w:right="0"/>
                    <w:rPr>
                      <w:rFonts w:hint="eastAsia" w:ascii="Times New Roman" w:hAnsi="Times New Roman" w:eastAsia="宋体"/>
                      <w:sz w:val="21"/>
                      <w:szCs w:val="21"/>
                      <w:lang w:val="en-US" w:eastAsia="zh-CN"/>
                    </w:rPr>
                  </w:pPr>
                  <w:r>
                    <w:rPr>
                      <w:rFonts w:hint="eastAsia" w:ascii="Times New Roman" w:hAnsi="Times New Roman"/>
                      <w:sz w:val="21"/>
                      <w:szCs w:val="21"/>
                      <w:lang w:val="en-US" w:eastAsia="zh-CN"/>
                    </w:rPr>
                    <w:t>氮氧化物</w:t>
                  </w:r>
                </w:p>
              </w:tc>
              <w:tc>
                <w:tcPr>
                  <w:tcW w:w="695" w:type="pct"/>
                  <w:vMerge w:val="continue"/>
                  <w:tcBorders>
                    <w:tl2br w:val="nil"/>
                    <w:tr2bl w:val="nil"/>
                  </w:tcBorders>
                  <w:vAlign w:val="center"/>
                </w:tcPr>
                <w:p w14:paraId="5C21CB28">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c>
                <w:tcPr>
                  <w:tcW w:w="2615" w:type="pct"/>
                  <w:vMerge w:val="continue"/>
                  <w:tcBorders>
                    <w:tl2br w:val="nil"/>
                    <w:tr2bl w:val="nil"/>
                  </w:tcBorders>
                  <w:vAlign w:val="center"/>
                </w:tcPr>
                <w:p w14:paraId="5B6E5D3B">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r>
            <w:tr w14:paraId="11ECB9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76" w:hRule="atLeast"/>
                <w:jc w:val="center"/>
              </w:trPr>
              <w:tc>
                <w:tcPr>
                  <w:tcW w:w="920" w:type="pct"/>
                  <w:vMerge w:val="continue"/>
                  <w:tcBorders>
                    <w:tl2br w:val="nil"/>
                    <w:tr2bl w:val="nil"/>
                  </w:tcBorders>
                  <w:vAlign w:val="center"/>
                </w:tcPr>
                <w:p w14:paraId="08C679A8">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c>
                <w:tcPr>
                  <w:tcW w:w="768" w:type="pct"/>
                  <w:tcBorders>
                    <w:tl2br w:val="nil"/>
                    <w:tr2bl w:val="nil"/>
                  </w:tcBorders>
                  <w:vAlign w:val="center"/>
                </w:tcPr>
                <w:p w14:paraId="5EBC2C64">
                  <w:pPr>
                    <w:pStyle w:val="40"/>
                    <w:keepNext w:val="0"/>
                    <w:keepLines w:val="0"/>
                    <w:suppressLineNumbers w:val="0"/>
                    <w:spacing w:before="0" w:beforeAutospacing="0" w:afterAutospacing="0" w:line="240" w:lineRule="auto"/>
                    <w:ind w:left="0" w:right="0"/>
                    <w:rPr>
                      <w:rFonts w:hint="default" w:ascii="Times New Roman" w:hAnsi="Times New Roman"/>
                      <w:sz w:val="21"/>
                      <w:szCs w:val="21"/>
                      <w:lang w:val="en-US" w:eastAsia="zh-CN"/>
                    </w:rPr>
                  </w:pPr>
                  <w:r>
                    <w:rPr>
                      <w:rFonts w:hint="eastAsia" w:ascii="Times New Roman" w:hAnsi="Times New Roman"/>
                      <w:sz w:val="21"/>
                      <w:szCs w:val="21"/>
                      <w:lang w:val="en-US" w:eastAsia="zh-CN"/>
                    </w:rPr>
                    <w:t>林格曼黑度</w:t>
                  </w:r>
                </w:p>
              </w:tc>
              <w:tc>
                <w:tcPr>
                  <w:tcW w:w="695" w:type="pct"/>
                  <w:vMerge w:val="continue"/>
                  <w:tcBorders>
                    <w:tl2br w:val="nil"/>
                    <w:tr2bl w:val="nil"/>
                  </w:tcBorders>
                  <w:vAlign w:val="center"/>
                </w:tcPr>
                <w:p w14:paraId="6093CB45">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c>
                <w:tcPr>
                  <w:tcW w:w="2615" w:type="pct"/>
                  <w:vMerge w:val="continue"/>
                  <w:tcBorders>
                    <w:tl2br w:val="nil"/>
                    <w:tr2bl w:val="nil"/>
                  </w:tcBorders>
                  <w:vAlign w:val="center"/>
                </w:tcPr>
                <w:p w14:paraId="195AB53A">
                  <w:pPr>
                    <w:pStyle w:val="40"/>
                    <w:keepNext w:val="0"/>
                    <w:keepLines w:val="0"/>
                    <w:suppressLineNumbers w:val="0"/>
                    <w:spacing w:before="0" w:beforeAutospacing="0" w:afterAutospacing="0" w:line="240" w:lineRule="auto"/>
                    <w:ind w:left="0" w:right="0"/>
                    <w:rPr>
                      <w:rFonts w:hint="default" w:ascii="Times New Roman" w:hAnsi="Times New Roman"/>
                      <w:sz w:val="21"/>
                      <w:szCs w:val="21"/>
                    </w:rPr>
                  </w:pPr>
                </w:p>
              </w:tc>
            </w:tr>
            <w:tr w14:paraId="74B398B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9" w:hRule="atLeast"/>
                <w:jc w:val="center"/>
              </w:trPr>
              <w:tc>
                <w:tcPr>
                  <w:tcW w:w="920" w:type="pct"/>
                  <w:tcBorders>
                    <w:tl2br w:val="nil"/>
                    <w:tr2bl w:val="nil"/>
                  </w:tcBorders>
                  <w:vAlign w:val="center"/>
                </w:tcPr>
                <w:p w14:paraId="13C8881E">
                  <w:pPr>
                    <w:pStyle w:val="40"/>
                    <w:keepNext w:val="0"/>
                    <w:keepLines w:val="0"/>
                    <w:suppressLineNumbers w:val="0"/>
                    <w:spacing w:before="0" w:beforeAutospacing="0" w:afterAutospacing="0" w:line="240" w:lineRule="auto"/>
                    <w:ind w:left="0" w:right="0"/>
                    <w:rPr>
                      <w:rFonts w:hint="eastAsia" w:ascii="Times New Roman" w:hAnsi="Times New Roman"/>
                      <w:sz w:val="21"/>
                      <w:szCs w:val="21"/>
                      <w:lang w:val="en-US" w:eastAsia="zh-CN"/>
                    </w:rPr>
                  </w:pPr>
                  <w:r>
                    <w:rPr>
                      <w:rFonts w:hint="eastAsia" w:ascii="Times New Roman" w:hAnsi="Times New Roman"/>
                      <w:sz w:val="21"/>
                      <w:szCs w:val="21"/>
                      <w:lang w:val="en-US" w:eastAsia="zh-CN"/>
                    </w:rPr>
                    <w:t>DA002</w:t>
                  </w:r>
                </w:p>
                <w:p w14:paraId="757F3BF6">
                  <w:pPr>
                    <w:pStyle w:val="40"/>
                    <w:keepNext w:val="0"/>
                    <w:keepLines w:val="0"/>
                    <w:suppressLineNumbers w:val="0"/>
                    <w:spacing w:before="0" w:beforeAutospacing="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排气筒</w:t>
                  </w:r>
                </w:p>
              </w:tc>
              <w:tc>
                <w:tcPr>
                  <w:tcW w:w="768" w:type="pct"/>
                  <w:tcBorders>
                    <w:tl2br w:val="nil"/>
                    <w:tr2bl w:val="nil"/>
                  </w:tcBorders>
                  <w:vAlign w:val="center"/>
                </w:tcPr>
                <w:p w14:paraId="27B423E2">
                  <w:pPr>
                    <w:pStyle w:val="40"/>
                    <w:keepNext w:val="0"/>
                    <w:keepLines w:val="0"/>
                    <w:suppressLineNumbers w:val="0"/>
                    <w:spacing w:before="0" w:beforeAutospacing="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油烟</w:t>
                  </w:r>
                </w:p>
              </w:tc>
              <w:tc>
                <w:tcPr>
                  <w:tcW w:w="695" w:type="pct"/>
                  <w:tcBorders>
                    <w:tl2br w:val="nil"/>
                    <w:tr2bl w:val="nil"/>
                  </w:tcBorders>
                  <w:vAlign w:val="center"/>
                </w:tcPr>
                <w:p w14:paraId="00285489">
                  <w:pPr>
                    <w:keepNext w:val="0"/>
                    <w:keepLines w:val="0"/>
                    <w:suppressLineNumbers w:val="0"/>
                    <w:spacing w:before="0" w:beforeAutospacing="0" w:after="0" w:afterAutospacing="0"/>
                    <w:ind w:left="0" w:right="0"/>
                    <w:jc w:val="center"/>
                    <w:rPr>
                      <w:rFonts w:hint="default"/>
                      <w:szCs w:val="21"/>
                    </w:rPr>
                  </w:pPr>
                  <w:r>
                    <w:rPr>
                      <w:rFonts w:hint="default"/>
                      <w:szCs w:val="21"/>
                    </w:rPr>
                    <w:t>1次/半年</w:t>
                  </w:r>
                </w:p>
              </w:tc>
              <w:tc>
                <w:tcPr>
                  <w:tcW w:w="2615" w:type="pct"/>
                  <w:tcBorders>
                    <w:tl2br w:val="nil"/>
                    <w:tr2bl w:val="nil"/>
                  </w:tcBorders>
                  <w:vAlign w:val="center"/>
                </w:tcPr>
                <w:p w14:paraId="5EFDBD0E">
                  <w:pPr>
                    <w:pStyle w:val="40"/>
                    <w:keepNext w:val="0"/>
                    <w:keepLines w:val="0"/>
                    <w:suppressLineNumbers w:val="0"/>
                    <w:spacing w:before="0" w:beforeAutospacing="0" w:afterAutospacing="0" w:line="240" w:lineRule="auto"/>
                    <w:ind w:left="0" w:right="0"/>
                    <w:rPr>
                      <w:rFonts w:hint="default" w:ascii="Times New Roman" w:hAnsi="Times New Roman"/>
                      <w:sz w:val="21"/>
                      <w:szCs w:val="21"/>
                      <w:lang w:val="en-US"/>
                    </w:rPr>
                  </w:pPr>
                  <w:r>
                    <w:rPr>
                      <w:rFonts w:hint="default" w:ascii="Times New Roman" w:hAnsi="Times New Roman"/>
                      <w:spacing w:val="6"/>
                      <w:sz w:val="21"/>
                      <w:szCs w:val="21"/>
                      <w:lang w:val="en-US" w:eastAsia="zh-CN"/>
                    </w:rPr>
                    <w:t>《饮食业油烟排放标准》（GB8483-2001）中</w:t>
                  </w:r>
                  <w:r>
                    <w:rPr>
                      <w:rFonts w:hint="eastAsia" w:ascii="Times New Roman" w:hAnsi="Times New Roman"/>
                      <w:spacing w:val="6"/>
                      <w:sz w:val="21"/>
                      <w:szCs w:val="21"/>
                      <w:lang w:val="en-US" w:eastAsia="zh-CN"/>
                    </w:rPr>
                    <w:t>表2的限值要求</w:t>
                  </w:r>
                </w:p>
              </w:tc>
            </w:tr>
            <w:tr w14:paraId="438D71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9" w:hRule="atLeast"/>
                <w:jc w:val="center"/>
              </w:trPr>
              <w:tc>
                <w:tcPr>
                  <w:tcW w:w="920" w:type="pct"/>
                  <w:vMerge w:val="restart"/>
                  <w:tcBorders>
                    <w:tl2br w:val="nil"/>
                    <w:tr2bl w:val="nil"/>
                  </w:tcBorders>
                  <w:vAlign w:val="center"/>
                </w:tcPr>
                <w:p w14:paraId="07E075D5">
                  <w:pPr>
                    <w:pStyle w:val="40"/>
                    <w:keepNext w:val="0"/>
                    <w:keepLines w:val="0"/>
                    <w:suppressLineNumbers w:val="0"/>
                    <w:spacing w:before="0" w:beforeAutospacing="0" w:afterAutospacing="0" w:line="240" w:lineRule="auto"/>
                    <w:ind w:left="0" w:right="0"/>
                    <w:rPr>
                      <w:rFonts w:hint="default" w:ascii="Times New Roman" w:hAnsi="Times New Roman"/>
                      <w:sz w:val="21"/>
                      <w:szCs w:val="21"/>
                      <w:lang w:val="en-US" w:eastAsia="zh-CN"/>
                    </w:rPr>
                  </w:pPr>
                  <w:r>
                    <w:rPr>
                      <w:rFonts w:hint="eastAsia" w:ascii="Times New Roman" w:hAnsi="Times New Roman"/>
                      <w:sz w:val="21"/>
                      <w:szCs w:val="21"/>
                      <w:lang w:val="en-US" w:eastAsia="zh-CN"/>
                    </w:rPr>
                    <w:t>厂界</w:t>
                  </w:r>
                </w:p>
              </w:tc>
              <w:tc>
                <w:tcPr>
                  <w:tcW w:w="768" w:type="pct"/>
                  <w:tcBorders>
                    <w:tl2br w:val="nil"/>
                    <w:tr2bl w:val="nil"/>
                  </w:tcBorders>
                  <w:vAlign w:val="center"/>
                </w:tcPr>
                <w:p w14:paraId="4A068815">
                  <w:pPr>
                    <w:pStyle w:val="40"/>
                    <w:keepNext w:val="0"/>
                    <w:keepLines w:val="0"/>
                    <w:suppressLineNumbers w:val="0"/>
                    <w:spacing w:before="0" w:beforeAutospacing="0" w:afterAutospacing="0" w:line="240" w:lineRule="auto"/>
                    <w:ind w:left="0" w:right="0"/>
                    <w:rPr>
                      <w:rFonts w:hint="default" w:ascii="Times New Roman" w:hAnsi="Times New Roman"/>
                      <w:sz w:val="21"/>
                      <w:szCs w:val="21"/>
                      <w:lang w:val="en-US" w:eastAsia="zh-CN"/>
                    </w:rPr>
                  </w:pPr>
                  <w:r>
                    <w:rPr>
                      <w:rFonts w:hint="eastAsia" w:ascii="Times New Roman" w:hAnsi="Times New Roman"/>
                      <w:sz w:val="21"/>
                      <w:szCs w:val="21"/>
                      <w:lang w:val="en-US" w:eastAsia="zh-CN"/>
                    </w:rPr>
                    <w:t>臭气浓度</w:t>
                  </w:r>
                </w:p>
              </w:tc>
              <w:tc>
                <w:tcPr>
                  <w:tcW w:w="695" w:type="pct"/>
                  <w:vMerge w:val="restart"/>
                  <w:tcBorders>
                    <w:tl2br w:val="nil"/>
                    <w:tr2bl w:val="nil"/>
                  </w:tcBorders>
                  <w:vAlign w:val="center"/>
                </w:tcPr>
                <w:p w14:paraId="66B824B2">
                  <w:pPr>
                    <w:keepNext w:val="0"/>
                    <w:keepLines w:val="0"/>
                    <w:suppressLineNumbers w:val="0"/>
                    <w:spacing w:before="0" w:beforeAutospacing="0" w:after="0" w:afterAutospacing="0"/>
                    <w:ind w:left="0" w:right="0"/>
                    <w:jc w:val="center"/>
                    <w:rPr>
                      <w:rFonts w:hint="default"/>
                      <w:szCs w:val="21"/>
                    </w:rPr>
                  </w:pPr>
                  <w:r>
                    <w:rPr>
                      <w:rFonts w:hint="default"/>
                      <w:szCs w:val="21"/>
                    </w:rPr>
                    <w:t>1次/半年</w:t>
                  </w:r>
                </w:p>
              </w:tc>
              <w:tc>
                <w:tcPr>
                  <w:tcW w:w="2615" w:type="pct"/>
                  <w:vMerge w:val="restart"/>
                  <w:tcBorders>
                    <w:tl2br w:val="nil"/>
                    <w:tr2bl w:val="nil"/>
                  </w:tcBorders>
                  <w:vAlign w:val="center"/>
                </w:tcPr>
                <w:p w14:paraId="43364824">
                  <w:pPr>
                    <w:pStyle w:val="40"/>
                    <w:keepNext w:val="0"/>
                    <w:keepLines w:val="0"/>
                    <w:suppressLineNumbers w:val="0"/>
                    <w:spacing w:before="0" w:beforeAutospacing="0" w:afterAutospacing="0" w:line="240" w:lineRule="auto"/>
                    <w:ind w:left="0" w:right="0"/>
                    <w:rPr>
                      <w:rFonts w:hint="default" w:ascii="Times New Roman" w:hAnsi="Times New Roman"/>
                      <w:spacing w:val="6"/>
                      <w:sz w:val="21"/>
                      <w:szCs w:val="21"/>
                      <w:lang w:val="en-US" w:eastAsia="zh-CN"/>
                    </w:rPr>
                  </w:pPr>
                  <w:r>
                    <w:rPr>
                      <w:rFonts w:hint="eastAsia" w:ascii="Times New Roman" w:hAnsi="Times New Roman"/>
                      <w:spacing w:val="6"/>
                      <w:sz w:val="21"/>
                      <w:szCs w:val="21"/>
                      <w:lang w:val="en-US" w:eastAsia="zh-CN"/>
                    </w:rPr>
                    <w:t>《</w:t>
                  </w:r>
                  <w:r>
                    <w:rPr>
                      <w:rFonts w:hint="default" w:ascii="Times New Roman" w:hAnsi="Times New Roman"/>
                      <w:spacing w:val="6"/>
                      <w:sz w:val="21"/>
                      <w:szCs w:val="21"/>
                      <w:lang w:val="en-US" w:eastAsia="zh-CN"/>
                    </w:rPr>
                    <w:t>恶臭污染物排放标准》（GB14554-93）表1中二级新改扩建标准</w:t>
                  </w:r>
                </w:p>
              </w:tc>
            </w:tr>
            <w:tr w14:paraId="77DD1FF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9" w:hRule="atLeast"/>
                <w:jc w:val="center"/>
              </w:trPr>
              <w:tc>
                <w:tcPr>
                  <w:tcW w:w="920" w:type="pct"/>
                  <w:vMerge w:val="continue"/>
                  <w:tcBorders>
                    <w:tl2br w:val="nil"/>
                    <w:tr2bl w:val="nil"/>
                  </w:tcBorders>
                  <w:vAlign w:val="center"/>
                </w:tcPr>
                <w:p w14:paraId="34569B39">
                  <w:pPr>
                    <w:pStyle w:val="40"/>
                    <w:keepNext w:val="0"/>
                    <w:keepLines w:val="0"/>
                    <w:suppressLineNumbers w:val="0"/>
                    <w:spacing w:before="0" w:beforeAutospacing="0" w:afterAutospacing="0" w:line="240" w:lineRule="auto"/>
                    <w:ind w:left="0" w:right="0"/>
                    <w:rPr>
                      <w:rFonts w:hint="eastAsia" w:ascii="Times New Roman" w:hAnsi="Times New Roman"/>
                      <w:sz w:val="21"/>
                      <w:szCs w:val="21"/>
                      <w:lang w:val="en-US" w:eastAsia="zh-CN"/>
                    </w:rPr>
                  </w:pPr>
                </w:p>
              </w:tc>
              <w:tc>
                <w:tcPr>
                  <w:tcW w:w="768" w:type="pct"/>
                  <w:tcBorders>
                    <w:tl2br w:val="nil"/>
                    <w:tr2bl w:val="nil"/>
                  </w:tcBorders>
                  <w:vAlign w:val="center"/>
                </w:tcPr>
                <w:p w14:paraId="1FA7A19C">
                  <w:pPr>
                    <w:pStyle w:val="40"/>
                    <w:keepNext w:val="0"/>
                    <w:keepLines w:val="0"/>
                    <w:suppressLineNumbers w:val="0"/>
                    <w:spacing w:before="0" w:beforeAutospacing="0" w:afterAutospacing="0" w:line="240" w:lineRule="auto"/>
                    <w:ind w:left="0" w:right="0"/>
                    <w:rPr>
                      <w:rFonts w:hint="default" w:ascii="Times New Roman" w:hAnsi="Times New Roman"/>
                      <w:sz w:val="21"/>
                      <w:szCs w:val="21"/>
                      <w:lang w:val="en-US" w:eastAsia="zh-CN"/>
                    </w:rPr>
                  </w:pPr>
                  <w:r>
                    <w:rPr>
                      <w:rFonts w:hint="eastAsia" w:ascii="Times New Roman" w:hAnsi="Times New Roman"/>
                      <w:sz w:val="21"/>
                      <w:szCs w:val="21"/>
                      <w:lang w:val="en-US" w:eastAsia="zh-CN"/>
                    </w:rPr>
                    <w:t>氨</w:t>
                  </w:r>
                </w:p>
              </w:tc>
              <w:tc>
                <w:tcPr>
                  <w:tcW w:w="695" w:type="pct"/>
                  <w:vMerge w:val="continue"/>
                  <w:tcBorders>
                    <w:tl2br w:val="nil"/>
                    <w:tr2bl w:val="nil"/>
                  </w:tcBorders>
                  <w:vAlign w:val="center"/>
                </w:tcPr>
                <w:p w14:paraId="082D3871">
                  <w:pPr>
                    <w:keepNext w:val="0"/>
                    <w:keepLines w:val="0"/>
                    <w:suppressLineNumbers w:val="0"/>
                    <w:spacing w:before="0" w:beforeAutospacing="0" w:after="0" w:afterAutospacing="0"/>
                    <w:ind w:left="0" w:right="0"/>
                    <w:jc w:val="center"/>
                    <w:rPr>
                      <w:rFonts w:hint="default"/>
                      <w:szCs w:val="21"/>
                    </w:rPr>
                  </w:pPr>
                </w:p>
              </w:tc>
              <w:tc>
                <w:tcPr>
                  <w:tcW w:w="2615" w:type="pct"/>
                  <w:vMerge w:val="continue"/>
                  <w:tcBorders>
                    <w:tl2br w:val="nil"/>
                    <w:tr2bl w:val="nil"/>
                  </w:tcBorders>
                  <w:vAlign w:val="center"/>
                </w:tcPr>
                <w:p w14:paraId="745AA6F5">
                  <w:pPr>
                    <w:pStyle w:val="40"/>
                    <w:keepNext w:val="0"/>
                    <w:keepLines w:val="0"/>
                    <w:suppressLineNumbers w:val="0"/>
                    <w:spacing w:before="0" w:beforeAutospacing="0" w:afterAutospacing="0" w:line="240" w:lineRule="auto"/>
                    <w:ind w:left="0" w:right="0"/>
                    <w:rPr>
                      <w:rFonts w:hint="eastAsia" w:ascii="Times New Roman" w:hAnsi="Times New Roman"/>
                      <w:spacing w:val="6"/>
                      <w:sz w:val="21"/>
                      <w:szCs w:val="21"/>
                      <w:lang w:val="en-US" w:eastAsia="zh-CN"/>
                    </w:rPr>
                  </w:pPr>
                </w:p>
              </w:tc>
            </w:tr>
            <w:tr w14:paraId="38A0C05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9" w:hRule="atLeast"/>
                <w:jc w:val="center"/>
              </w:trPr>
              <w:tc>
                <w:tcPr>
                  <w:tcW w:w="920" w:type="pct"/>
                  <w:vMerge w:val="continue"/>
                  <w:tcBorders>
                    <w:tl2br w:val="nil"/>
                    <w:tr2bl w:val="nil"/>
                  </w:tcBorders>
                  <w:vAlign w:val="center"/>
                </w:tcPr>
                <w:p w14:paraId="58932908">
                  <w:pPr>
                    <w:pStyle w:val="40"/>
                    <w:keepNext w:val="0"/>
                    <w:keepLines w:val="0"/>
                    <w:suppressLineNumbers w:val="0"/>
                    <w:spacing w:before="0" w:beforeAutospacing="0" w:afterAutospacing="0" w:line="240" w:lineRule="auto"/>
                    <w:ind w:left="0" w:right="0"/>
                    <w:rPr>
                      <w:rFonts w:hint="eastAsia" w:ascii="Times New Roman" w:hAnsi="Times New Roman"/>
                      <w:sz w:val="21"/>
                      <w:szCs w:val="21"/>
                      <w:lang w:val="en-US" w:eastAsia="zh-CN"/>
                    </w:rPr>
                  </w:pPr>
                </w:p>
              </w:tc>
              <w:tc>
                <w:tcPr>
                  <w:tcW w:w="768" w:type="pct"/>
                  <w:tcBorders>
                    <w:tl2br w:val="nil"/>
                    <w:tr2bl w:val="nil"/>
                  </w:tcBorders>
                  <w:vAlign w:val="center"/>
                </w:tcPr>
                <w:p w14:paraId="3EED7D36">
                  <w:pPr>
                    <w:pStyle w:val="40"/>
                    <w:keepNext w:val="0"/>
                    <w:keepLines w:val="0"/>
                    <w:suppressLineNumbers w:val="0"/>
                    <w:spacing w:before="0" w:beforeAutospacing="0" w:afterAutospacing="0" w:line="240" w:lineRule="auto"/>
                    <w:ind w:left="0" w:right="0"/>
                    <w:rPr>
                      <w:rFonts w:hint="default" w:ascii="Times New Roman" w:hAnsi="Times New Roman"/>
                      <w:sz w:val="21"/>
                      <w:szCs w:val="21"/>
                      <w:lang w:val="en-US" w:eastAsia="zh-CN"/>
                    </w:rPr>
                  </w:pPr>
                  <w:r>
                    <w:rPr>
                      <w:rFonts w:hint="eastAsia" w:ascii="Times New Roman" w:hAnsi="Times New Roman"/>
                      <w:sz w:val="21"/>
                      <w:szCs w:val="21"/>
                      <w:lang w:val="en-US" w:eastAsia="zh-CN"/>
                    </w:rPr>
                    <w:t>硫化氢</w:t>
                  </w:r>
                </w:p>
              </w:tc>
              <w:tc>
                <w:tcPr>
                  <w:tcW w:w="695" w:type="pct"/>
                  <w:vMerge w:val="continue"/>
                  <w:tcBorders>
                    <w:tl2br w:val="nil"/>
                    <w:tr2bl w:val="nil"/>
                  </w:tcBorders>
                  <w:vAlign w:val="center"/>
                </w:tcPr>
                <w:p w14:paraId="617E2333">
                  <w:pPr>
                    <w:keepNext w:val="0"/>
                    <w:keepLines w:val="0"/>
                    <w:suppressLineNumbers w:val="0"/>
                    <w:spacing w:before="0" w:beforeAutospacing="0" w:after="0" w:afterAutospacing="0"/>
                    <w:ind w:left="0" w:right="0"/>
                    <w:jc w:val="center"/>
                    <w:rPr>
                      <w:rFonts w:hint="default"/>
                      <w:szCs w:val="21"/>
                    </w:rPr>
                  </w:pPr>
                </w:p>
              </w:tc>
              <w:tc>
                <w:tcPr>
                  <w:tcW w:w="2615" w:type="pct"/>
                  <w:vMerge w:val="continue"/>
                  <w:tcBorders>
                    <w:tl2br w:val="nil"/>
                    <w:tr2bl w:val="nil"/>
                  </w:tcBorders>
                  <w:vAlign w:val="center"/>
                </w:tcPr>
                <w:p w14:paraId="3E47B014">
                  <w:pPr>
                    <w:pStyle w:val="40"/>
                    <w:keepNext w:val="0"/>
                    <w:keepLines w:val="0"/>
                    <w:suppressLineNumbers w:val="0"/>
                    <w:spacing w:before="0" w:beforeAutospacing="0" w:afterAutospacing="0" w:line="240" w:lineRule="auto"/>
                    <w:ind w:left="0" w:right="0"/>
                    <w:rPr>
                      <w:rFonts w:hint="eastAsia" w:ascii="Times New Roman" w:hAnsi="Times New Roman"/>
                      <w:spacing w:val="6"/>
                      <w:sz w:val="21"/>
                      <w:szCs w:val="21"/>
                      <w:lang w:val="en-US" w:eastAsia="zh-CN"/>
                    </w:rPr>
                  </w:pPr>
                </w:p>
              </w:tc>
            </w:tr>
            <w:tr w14:paraId="116CDD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9" w:hRule="atLeast"/>
                <w:jc w:val="center"/>
              </w:trPr>
              <w:tc>
                <w:tcPr>
                  <w:tcW w:w="920" w:type="pct"/>
                  <w:vMerge w:val="continue"/>
                  <w:tcBorders>
                    <w:tl2br w:val="nil"/>
                    <w:tr2bl w:val="nil"/>
                  </w:tcBorders>
                  <w:vAlign w:val="center"/>
                </w:tcPr>
                <w:p w14:paraId="3DF71A55">
                  <w:pPr>
                    <w:pStyle w:val="40"/>
                    <w:keepNext w:val="0"/>
                    <w:keepLines w:val="0"/>
                    <w:suppressLineNumbers w:val="0"/>
                    <w:spacing w:before="0" w:beforeAutospacing="0" w:afterAutospacing="0" w:line="240" w:lineRule="auto"/>
                    <w:ind w:left="0" w:right="0"/>
                    <w:rPr>
                      <w:rFonts w:hint="eastAsia" w:ascii="Times New Roman" w:hAnsi="Times New Roman"/>
                      <w:sz w:val="21"/>
                      <w:szCs w:val="21"/>
                      <w:lang w:val="en-US" w:eastAsia="zh-CN"/>
                    </w:rPr>
                  </w:pPr>
                </w:p>
              </w:tc>
              <w:tc>
                <w:tcPr>
                  <w:tcW w:w="768" w:type="pct"/>
                  <w:tcBorders>
                    <w:tl2br w:val="nil"/>
                    <w:tr2bl w:val="nil"/>
                  </w:tcBorders>
                  <w:vAlign w:val="center"/>
                </w:tcPr>
                <w:p w14:paraId="14F6C020">
                  <w:pPr>
                    <w:pStyle w:val="40"/>
                    <w:keepNext w:val="0"/>
                    <w:keepLines w:val="0"/>
                    <w:suppressLineNumbers w:val="0"/>
                    <w:spacing w:before="0" w:beforeAutospacing="0" w:afterAutospacing="0" w:line="240" w:lineRule="auto"/>
                    <w:ind w:left="0" w:right="0"/>
                    <w:rPr>
                      <w:rFonts w:hint="default" w:ascii="Times New Roman" w:hAnsi="Times New Roman"/>
                      <w:sz w:val="21"/>
                      <w:szCs w:val="21"/>
                      <w:lang w:val="en-US" w:eastAsia="zh-CN"/>
                    </w:rPr>
                  </w:pPr>
                  <w:r>
                    <w:rPr>
                      <w:rFonts w:hint="eastAsia" w:ascii="Times New Roman" w:hAnsi="Times New Roman"/>
                      <w:sz w:val="21"/>
                      <w:szCs w:val="21"/>
                      <w:lang w:val="en-US" w:eastAsia="zh-CN"/>
                    </w:rPr>
                    <w:t>颗粒物</w:t>
                  </w:r>
                </w:p>
              </w:tc>
              <w:tc>
                <w:tcPr>
                  <w:tcW w:w="695" w:type="pct"/>
                  <w:tcBorders>
                    <w:tl2br w:val="nil"/>
                    <w:tr2bl w:val="nil"/>
                  </w:tcBorders>
                  <w:vAlign w:val="center"/>
                </w:tcPr>
                <w:p w14:paraId="7B7E98AE">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1次/季</w:t>
                  </w:r>
                </w:p>
              </w:tc>
              <w:tc>
                <w:tcPr>
                  <w:tcW w:w="2615" w:type="pct"/>
                  <w:tcBorders>
                    <w:tl2br w:val="nil"/>
                    <w:tr2bl w:val="nil"/>
                  </w:tcBorders>
                  <w:vAlign w:val="center"/>
                </w:tcPr>
                <w:p w14:paraId="1B6EAC07">
                  <w:pPr>
                    <w:pStyle w:val="40"/>
                    <w:keepNext w:val="0"/>
                    <w:keepLines w:val="0"/>
                    <w:suppressLineNumbers w:val="0"/>
                    <w:spacing w:before="0" w:beforeAutospacing="0" w:afterAutospacing="0" w:line="240" w:lineRule="auto"/>
                    <w:ind w:left="0" w:right="0"/>
                    <w:rPr>
                      <w:rFonts w:hint="eastAsia" w:ascii="Times New Roman" w:hAnsi="Times New Roman"/>
                      <w:spacing w:val="6"/>
                      <w:sz w:val="21"/>
                      <w:szCs w:val="21"/>
                      <w:lang w:val="en-US" w:eastAsia="zh-CN"/>
                    </w:rPr>
                  </w:pPr>
                  <w:r>
                    <w:rPr>
                      <w:rFonts w:hint="eastAsia" w:ascii="Times New Roman" w:hAnsi="Times New Roman"/>
                      <w:spacing w:val="6"/>
                      <w:sz w:val="21"/>
                      <w:szCs w:val="21"/>
                      <w:lang w:val="en-US" w:eastAsia="zh-CN"/>
                    </w:rPr>
                    <w:t>《大气污染物综合排放标准》（GB16297-1996）中表2无组织排放限值</w:t>
                  </w:r>
                </w:p>
              </w:tc>
            </w:tr>
          </w:tbl>
          <w:p w14:paraId="250C2509">
            <w:pPr>
              <w:keepNext w:val="0"/>
              <w:keepLines w:val="0"/>
              <w:widowControl/>
              <w:suppressLineNumbers w:val="0"/>
              <w:adjustRightInd w:val="0"/>
              <w:snapToGrid w:val="0"/>
              <w:spacing w:before="120" w:beforeLines="50" w:beforeAutospacing="0" w:after="0" w:afterAutospacing="0" w:line="360" w:lineRule="auto"/>
              <w:ind w:left="0" w:right="0"/>
              <w:rPr>
                <w:rFonts w:hint="default"/>
                <w:b/>
                <w:bCs/>
                <w:spacing w:val="-10"/>
                <w:sz w:val="28"/>
                <w:szCs w:val="28"/>
              </w:rPr>
            </w:pPr>
            <w:r>
              <w:rPr>
                <w:rFonts w:hint="default"/>
                <w:b/>
                <w:bCs/>
                <w:spacing w:val="-10"/>
                <w:sz w:val="28"/>
                <w:szCs w:val="28"/>
              </w:rPr>
              <w:t>2、废水</w:t>
            </w:r>
          </w:p>
          <w:p w14:paraId="3F3724AE">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u w:val="none"/>
              </w:rPr>
            </w:pPr>
            <w:r>
              <w:rPr>
                <w:rFonts w:hint="default"/>
                <w:sz w:val="24"/>
                <w:u w:val="none"/>
              </w:rPr>
              <w:t>本项目运营期产生的废水主要为</w:t>
            </w:r>
            <w:r>
              <w:rPr>
                <w:rFonts w:hint="eastAsia"/>
                <w:sz w:val="24"/>
                <w:u w:val="none"/>
                <w:lang w:val="en-US" w:eastAsia="zh-CN"/>
              </w:rPr>
              <w:t>生产废水和生活污水</w:t>
            </w:r>
            <w:r>
              <w:rPr>
                <w:rFonts w:hint="default"/>
                <w:sz w:val="24"/>
                <w:u w:val="none"/>
              </w:rPr>
              <w:t>。</w:t>
            </w:r>
          </w:p>
          <w:p w14:paraId="1962AFB6">
            <w:pPr>
              <w:pStyle w:val="11"/>
              <w:keepNext w:val="0"/>
              <w:keepLines w:val="0"/>
              <w:pageBreakBefore w:val="0"/>
              <w:widowControl/>
              <w:numPr>
                <w:ilvl w:val="0"/>
                <w:numId w:val="21"/>
              </w:numPr>
              <w:suppressLineNumbers w:val="0"/>
              <w:kinsoku/>
              <w:wordWrap/>
              <w:overflowPunct/>
              <w:topLinePunct w:val="0"/>
              <w:autoSpaceDE/>
              <w:autoSpaceDN/>
              <w:bidi w:val="0"/>
              <w:adjustRightInd/>
              <w:snapToGrid/>
              <w:spacing w:before="0" w:beforeAutospacing="0" w:after="0" w:afterAutospacing="0"/>
              <w:ind w:left="0" w:leftChars="0" w:firstLine="480" w:firstLineChars="200"/>
              <w:textAlignment w:val="auto"/>
              <w:rPr>
                <w:rFonts w:hint="default"/>
                <w:highlight w:val="none"/>
              </w:rPr>
            </w:pPr>
            <w:r>
              <w:rPr>
                <w:rFonts w:hint="eastAsia"/>
                <w:sz w:val="24"/>
                <w:highlight w:val="none"/>
                <w:u w:val="none"/>
                <w:lang w:val="en-US" w:eastAsia="zh-CN"/>
              </w:rPr>
              <w:t>生产废水</w:t>
            </w:r>
          </w:p>
          <w:p w14:paraId="3C9A322B">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eastAsia"/>
                <w:sz w:val="24"/>
                <w:highlight w:val="none"/>
                <w:u w:val="none"/>
                <w:lang w:val="en-US" w:eastAsia="zh-CN"/>
              </w:rPr>
            </w:pPr>
            <w:r>
              <w:rPr>
                <w:rFonts w:hint="eastAsia"/>
                <w:sz w:val="24"/>
                <w:highlight w:val="none"/>
                <w:u w:val="none"/>
                <w:lang w:val="en-US" w:eastAsia="zh-CN"/>
              </w:rPr>
              <w:t>根据前文水平衡分析可知，本项目锅炉废水产生量为810t/a；肉制品生产废水包括肉制品前端处理工艺废水16692t/a、卤制废水24t、产品洗袋废水13500t/a、设备清洗废水4200t/a及地面清洗废水72.96t/a，共34488.96t/a；鹌鹑蛋卤制品生产废水包括蛋制品前端处理工艺废水25000t/a、产品洗袋废水4050t/a、设备清洗废水2100t/a及地面清洗废水256.43t/a，共31406.43t/a。生产废水中含有的主要污染因子为CODcr、BOD</w:t>
            </w:r>
            <w:r>
              <w:rPr>
                <w:rFonts w:hint="eastAsia"/>
                <w:sz w:val="24"/>
                <w:highlight w:val="none"/>
                <w:u w:val="none"/>
                <w:vertAlign w:val="subscript"/>
                <w:lang w:val="en-US" w:eastAsia="zh-CN"/>
              </w:rPr>
              <w:t>5</w:t>
            </w:r>
            <w:r>
              <w:rPr>
                <w:rFonts w:hint="eastAsia"/>
                <w:sz w:val="24"/>
                <w:highlight w:val="none"/>
                <w:u w:val="none"/>
                <w:lang w:val="en-US" w:eastAsia="zh-CN"/>
              </w:rPr>
              <w:t>、NH</w:t>
            </w:r>
            <w:r>
              <w:rPr>
                <w:rFonts w:hint="eastAsia"/>
                <w:sz w:val="24"/>
                <w:highlight w:val="none"/>
                <w:u w:val="none"/>
                <w:vertAlign w:val="subscript"/>
                <w:lang w:val="en-US" w:eastAsia="zh-CN"/>
              </w:rPr>
              <w:t>3</w:t>
            </w:r>
            <w:r>
              <w:rPr>
                <w:rFonts w:hint="eastAsia"/>
                <w:sz w:val="24"/>
                <w:highlight w:val="none"/>
                <w:u w:val="none"/>
                <w:lang w:val="en-US" w:eastAsia="zh-CN"/>
              </w:rPr>
              <w:t>-N、SS、TN、动植物油。本项目各废水污染物产生浓度及产生量如下表所示。</w:t>
            </w:r>
          </w:p>
          <w:p w14:paraId="35FCF779">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eastAsia"/>
                <w:sz w:val="24"/>
                <w:highlight w:val="none"/>
                <w:u w:val="none"/>
                <w:lang w:val="en-US" w:eastAsia="zh-CN"/>
              </w:rPr>
            </w:pPr>
            <w:r>
              <w:rPr>
                <w:rFonts w:hint="eastAsia"/>
                <w:sz w:val="24"/>
                <w:highlight w:val="none"/>
                <w:u w:val="none"/>
                <w:lang w:val="en-US" w:eastAsia="zh-CN"/>
              </w:rPr>
              <w:t>①锅炉废水污染物产生情况</w:t>
            </w:r>
          </w:p>
          <w:p w14:paraId="1D595566">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default"/>
                <w:sz w:val="24"/>
                <w:highlight w:val="none"/>
                <w:u w:val="none"/>
                <w:lang w:val="en-US" w:eastAsia="zh-CN"/>
              </w:rPr>
            </w:pPr>
            <w:r>
              <w:rPr>
                <w:rFonts w:hint="eastAsia"/>
                <w:sz w:val="24"/>
                <w:highlight w:val="none"/>
                <w:u w:val="none"/>
                <w:lang w:val="en-US" w:eastAsia="zh-CN"/>
              </w:rPr>
              <w:t>本项目锅炉废水主要包括锅炉定期排污水300t/a和两个车间分汽缸处排放的蒸汽冷凝水450t/a，锅炉排污水和蒸汽冷凝水水质较为清洁，污染物浓度较低，主要污染因子为COD、SS及溶解性总固体，不含其他特殊污染物，为清净下水，本项目将锅炉废水并入后文总生产废水中核算污染物产生总量。</w:t>
            </w:r>
          </w:p>
          <w:p w14:paraId="35A950AD">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420" w:leftChars="200" w:right="0" w:rightChars="0"/>
              <w:textAlignment w:val="auto"/>
              <w:rPr>
                <w:rFonts w:hint="eastAsia"/>
                <w:sz w:val="24"/>
                <w:u w:val="none"/>
                <w:lang w:val="en-US" w:eastAsia="zh-CN"/>
              </w:rPr>
            </w:pPr>
            <w:r>
              <w:rPr>
                <w:rFonts w:hint="eastAsia"/>
                <w:sz w:val="24"/>
                <w:u w:val="none"/>
                <w:lang w:val="en-US" w:eastAsia="zh-CN"/>
              </w:rPr>
              <w:t>②肉制品废水污染物产生情况</w:t>
            </w:r>
          </w:p>
          <w:p w14:paraId="0409E108">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eastAsia"/>
                <w:sz w:val="24"/>
                <w:u w:val="none"/>
                <w:lang w:val="en-US" w:eastAsia="zh-CN"/>
              </w:rPr>
            </w:pPr>
            <w:r>
              <w:rPr>
                <w:rFonts w:hint="eastAsia"/>
                <w:sz w:val="24"/>
                <w:u w:val="none"/>
                <w:lang w:val="en-US" w:eastAsia="zh-CN"/>
              </w:rPr>
              <w:t>本项目肉制品废水水质参照《屠宰与肉类加工废水治理工程技术规范》（HJ2004-2010）“表4 肉类加工废水水质设计取值”中的平均浓度，本项目肉制品生产工艺废水污染物产生量见下表：</w:t>
            </w:r>
          </w:p>
          <w:p w14:paraId="00413C2A">
            <w:pPr>
              <w:pStyle w:val="33"/>
              <w:keepNext w:val="0"/>
              <w:keepLines w:val="0"/>
              <w:numPr>
                <w:ilvl w:val="0"/>
                <w:numId w:val="19"/>
              </w:numPr>
              <w:suppressLineNumbers w:val="0"/>
              <w:spacing w:before="0" w:beforeAutospacing="0" w:after="0" w:afterAutospacing="0"/>
              <w:ind w:right="0" w:firstLineChars="0"/>
              <w:jc w:val="center"/>
              <w:rPr>
                <w:rFonts w:hint="default"/>
                <w:b/>
                <w:bCs/>
                <w:sz w:val="24"/>
                <w:szCs w:val="24"/>
                <w:lang w:val="en-US" w:eastAsia="zh-CN"/>
              </w:rPr>
            </w:pPr>
            <w:r>
              <w:rPr>
                <w:rFonts w:hint="eastAsia"/>
                <w:b/>
                <w:bCs/>
                <w:sz w:val="24"/>
                <w:szCs w:val="24"/>
                <w:lang w:val="en-US" w:eastAsia="zh-CN"/>
              </w:rPr>
              <w:t>肉制品生产工艺废水产污情况表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70"/>
              <w:gridCol w:w="1365"/>
              <w:gridCol w:w="1002"/>
              <w:gridCol w:w="938"/>
              <w:gridCol w:w="879"/>
              <w:gridCol w:w="798"/>
              <w:gridCol w:w="746"/>
              <w:gridCol w:w="1100"/>
            </w:tblGrid>
            <w:tr w14:paraId="60B686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50" w:hRule="atLeast"/>
                <w:jc w:val="center"/>
              </w:trPr>
              <w:tc>
                <w:tcPr>
                  <w:tcW w:w="1746" w:type="pct"/>
                  <w:gridSpan w:val="2"/>
                  <w:vAlign w:val="center"/>
                </w:tcPr>
                <w:p w14:paraId="56B94169">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污染物</w:t>
                  </w:r>
                </w:p>
              </w:tc>
              <w:tc>
                <w:tcPr>
                  <w:tcW w:w="596" w:type="pct"/>
                  <w:vAlign w:val="center"/>
                </w:tcPr>
                <w:p w14:paraId="06E700DF">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COD</w:t>
                  </w:r>
                  <w:r>
                    <w:rPr>
                      <w:rFonts w:hint="default"/>
                      <w:b/>
                      <w:bCs/>
                      <w:caps w:val="0"/>
                      <w:color w:val="000000" w:themeColor="text1"/>
                      <w:szCs w:val="21"/>
                      <w:highlight w:val="none"/>
                      <w:u w:val="none" w:color="auto"/>
                      <w:vertAlign w:val="subscript"/>
                      <w14:textFill>
                        <w14:solidFill>
                          <w14:schemeClr w14:val="tx1"/>
                        </w14:solidFill>
                      </w14:textFill>
                    </w:rPr>
                    <w:t>cr</w:t>
                  </w:r>
                </w:p>
              </w:tc>
              <w:tc>
                <w:tcPr>
                  <w:tcW w:w="558" w:type="pct"/>
                  <w:vAlign w:val="center"/>
                </w:tcPr>
                <w:p w14:paraId="281DAB11">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BOD</w:t>
                  </w:r>
                  <w:r>
                    <w:rPr>
                      <w:rFonts w:hint="default"/>
                      <w:b/>
                      <w:bCs/>
                      <w:caps w:val="0"/>
                      <w:color w:val="000000" w:themeColor="text1"/>
                      <w:szCs w:val="21"/>
                      <w:highlight w:val="none"/>
                      <w:u w:val="none" w:color="auto"/>
                      <w:vertAlign w:val="subscript"/>
                      <w14:textFill>
                        <w14:solidFill>
                          <w14:schemeClr w14:val="tx1"/>
                        </w14:solidFill>
                      </w14:textFill>
                    </w:rPr>
                    <w:t>5</w:t>
                  </w:r>
                </w:p>
              </w:tc>
              <w:tc>
                <w:tcPr>
                  <w:tcW w:w="523" w:type="pct"/>
                  <w:vAlign w:val="center"/>
                </w:tcPr>
                <w:p w14:paraId="164EE0B6">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NH</w:t>
                  </w:r>
                  <w:r>
                    <w:rPr>
                      <w:rFonts w:hint="default"/>
                      <w:b/>
                      <w:bCs/>
                      <w:caps w:val="0"/>
                      <w:color w:val="000000" w:themeColor="text1"/>
                      <w:szCs w:val="21"/>
                      <w:highlight w:val="none"/>
                      <w:u w:val="none" w:color="auto"/>
                      <w:vertAlign w:val="subscript"/>
                      <w14:textFill>
                        <w14:solidFill>
                          <w14:schemeClr w14:val="tx1"/>
                        </w14:solidFill>
                      </w14:textFill>
                    </w:rPr>
                    <w:t>3</w:t>
                  </w:r>
                  <w:r>
                    <w:rPr>
                      <w:rFonts w:hint="default"/>
                      <w:b/>
                      <w:bCs/>
                      <w:caps w:val="0"/>
                      <w:color w:val="000000" w:themeColor="text1"/>
                      <w:szCs w:val="21"/>
                      <w:highlight w:val="none"/>
                      <w:u w:val="none" w:color="auto"/>
                      <w14:textFill>
                        <w14:solidFill>
                          <w14:schemeClr w14:val="tx1"/>
                        </w14:solidFill>
                      </w14:textFill>
                    </w:rPr>
                    <w:t>-N</w:t>
                  </w:r>
                </w:p>
              </w:tc>
              <w:tc>
                <w:tcPr>
                  <w:tcW w:w="475" w:type="pct"/>
                  <w:vAlign w:val="center"/>
                </w:tcPr>
                <w:p w14:paraId="49F49EAA">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eastAsia"/>
                      <w:b/>
                      <w:bCs/>
                      <w:caps w:val="0"/>
                      <w:color w:val="000000" w:themeColor="text1"/>
                      <w:szCs w:val="21"/>
                      <w:highlight w:val="none"/>
                      <w:u w:val="none" w:color="auto"/>
                      <w14:textFill>
                        <w14:solidFill>
                          <w14:schemeClr w14:val="tx1"/>
                        </w14:solidFill>
                      </w14:textFill>
                    </w:rPr>
                    <w:t>SS</w:t>
                  </w:r>
                </w:p>
              </w:tc>
              <w:tc>
                <w:tcPr>
                  <w:tcW w:w="444" w:type="pct"/>
                  <w:vAlign w:val="center"/>
                </w:tcPr>
                <w:p w14:paraId="7B194DB4">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TN</w:t>
                  </w:r>
                </w:p>
              </w:tc>
              <w:tc>
                <w:tcPr>
                  <w:tcW w:w="654" w:type="pct"/>
                  <w:vAlign w:val="center"/>
                </w:tcPr>
                <w:p w14:paraId="6C82DD61">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动植物油</w:t>
                  </w:r>
                </w:p>
              </w:tc>
            </w:tr>
            <w:tr w14:paraId="0C4E0D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934" w:type="pct"/>
                  <w:vMerge w:val="restart"/>
                  <w:vAlign w:val="center"/>
                </w:tcPr>
                <w:p w14:paraId="68305450">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34488.96</w:t>
                  </w:r>
                  <w:r>
                    <w:rPr>
                      <w:rFonts w:hint="default"/>
                      <w:caps w:val="0"/>
                      <w:color w:val="000000" w:themeColor="text1"/>
                      <w:szCs w:val="21"/>
                      <w:highlight w:val="none"/>
                      <w:u w:val="none" w:color="auto"/>
                      <w14:textFill>
                        <w14:solidFill>
                          <w14:schemeClr w14:val="tx1"/>
                        </w14:solidFill>
                      </w14:textFill>
                    </w:rPr>
                    <w:t>m</w:t>
                  </w:r>
                  <w:r>
                    <w:rPr>
                      <w:rFonts w:hint="default"/>
                      <w:caps w:val="0"/>
                      <w:color w:val="000000" w:themeColor="text1"/>
                      <w:szCs w:val="21"/>
                      <w:highlight w:val="none"/>
                      <w:u w:val="none" w:color="auto"/>
                      <w:vertAlign w:val="superscript"/>
                      <w14:textFill>
                        <w14:solidFill>
                          <w14:schemeClr w14:val="tx1"/>
                        </w14:solidFill>
                      </w14:textFill>
                    </w:rPr>
                    <w:t>3</w:t>
                  </w:r>
                  <w:r>
                    <w:rPr>
                      <w:rFonts w:hint="default"/>
                      <w:caps w:val="0"/>
                      <w:color w:val="000000" w:themeColor="text1"/>
                      <w:szCs w:val="21"/>
                      <w:highlight w:val="none"/>
                      <w:u w:val="none" w:color="auto"/>
                      <w14:textFill>
                        <w14:solidFill>
                          <w14:schemeClr w14:val="tx1"/>
                        </w14:solidFill>
                      </w14:textFill>
                    </w:rPr>
                    <w:t>/a</w:t>
                  </w:r>
                </w:p>
              </w:tc>
              <w:tc>
                <w:tcPr>
                  <w:tcW w:w="812" w:type="pct"/>
                  <w:vAlign w:val="center"/>
                </w:tcPr>
                <w:p w14:paraId="243536DB">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r>
                    <w:rPr>
                      <w:rFonts w:hint="default"/>
                      <w:caps w:val="0"/>
                      <w:color w:val="000000" w:themeColor="text1"/>
                      <w:szCs w:val="21"/>
                      <w:highlight w:val="none"/>
                      <w:u w:val="none" w:color="auto"/>
                      <w14:textFill>
                        <w14:solidFill>
                          <w14:schemeClr w14:val="tx1"/>
                        </w14:solidFill>
                      </w14:textFill>
                    </w:rPr>
                    <w:t>浓度（mg/L）</w:t>
                  </w:r>
                </w:p>
              </w:tc>
              <w:tc>
                <w:tcPr>
                  <w:tcW w:w="596" w:type="pct"/>
                  <w:vAlign w:val="center"/>
                </w:tcPr>
                <w:p w14:paraId="24C62FD0">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1400</w:t>
                  </w:r>
                </w:p>
              </w:tc>
              <w:tc>
                <w:tcPr>
                  <w:tcW w:w="558" w:type="pct"/>
                  <w:vAlign w:val="center"/>
                </w:tcPr>
                <w:p w14:paraId="788254EE">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750</w:t>
                  </w:r>
                </w:p>
              </w:tc>
              <w:tc>
                <w:tcPr>
                  <w:tcW w:w="523" w:type="pct"/>
                  <w:vAlign w:val="center"/>
                </w:tcPr>
                <w:p w14:paraId="3FD093E8">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47.5</w:t>
                  </w:r>
                </w:p>
              </w:tc>
              <w:tc>
                <w:tcPr>
                  <w:tcW w:w="475" w:type="pct"/>
                  <w:vAlign w:val="center"/>
                </w:tcPr>
                <w:p w14:paraId="7577936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kern w:val="0"/>
                      <w:szCs w:val="21"/>
                      <w:highlight w:val="none"/>
                      <w:u w:val="none" w:color="auto"/>
                      <w:lang w:val="en-US" w:eastAsia="zh-CN" w:bidi="ar"/>
                      <w14:textFill>
                        <w14:solidFill>
                          <w14:schemeClr w14:val="tx1"/>
                        </w14:solidFill>
                      </w14:textFill>
                    </w:rPr>
                    <w:t>750</w:t>
                  </w:r>
                </w:p>
              </w:tc>
              <w:tc>
                <w:tcPr>
                  <w:tcW w:w="444" w:type="pct"/>
                  <w:vAlign w:val="center"/>
                </w:tcPr>
                <w:p w14:paraId="4F2BC2E0">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66</w:t>
                  </w:r>
                </w:p>
              </w:tc>
              <w:tc>
                <w:tcPr>
                  <w:tcW w:w="654" w:type="pct"/>
                  <w:vAlign w:val="center"/>
                </w:tcPr>
                <w:p w14:paraId="2E0AC3F0">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65</w:t>
                  </w:r>
                </w:p>
              </w:tc>
            </w:tr>
            <w:tr w14:paraId="1E21AB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 w:hRule="atLeast"/>
                <w:jc w:val="center"/>
              </w:trPr>
              <w:tc>
                <w:tcPr>
                  <w:tcW w:w="934" w:type="pct"/>
                  <w:vMerge w:val="continue"/>
                  <w:vAlign w:val="center"/>
                </w:tcPr>
                <w:p w14:paraId="21B1272F">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p>
              </w:tc>
              <w:tc>
                <w:tcPr>
                  <w:tcW w:w="812" w:type="pct"/>
                  <w:vAlign w:val="center"/>
                </w:tcPr>
                <w:p w14:paraId="700DCEF1">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r>
                    <w:rPr>
                      <w:rFonts w:hint="default"/>
                      <w:caps w:val="0"/>
                      <w:color w:val="000000" w:themeColor="text1"/>
                      <w:szCs w:val="21"/>
                      <w:highlight w:val="none"/>
                      <w:u w:val="none" w:color="auto"/>
                      <w14:textFill>
                        <w14:solidFill>
                          <w14:schemeClr w14:val="tx1"/>
                        </w14:solidFill>
                      </w14:textFill>
                    </w:rPr>
                    <w:t>产生量（t/a）</w:t>
                  </w:r>
                </w:p>
              </w:tc>
              <w:tc>
                <w:tcPr>
                  <w:tcW w:w="596" w:type="pct"/>
                  <w:vAlign w:val="center"/>
                </w:tcPr>
                <w:p w14:paraId="40DB82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48.284</w:t>
                  </w:r>
                </w:p>
              </w:tc>
              <w:tc>
                <w:tcPr>
                  <w:tcW w:w="558" w:type="pct"/>
                  <w:vAlign w:val="center"/>
                </w:tcPr>
                <w:p w14:paraId="3C9F31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25.866</w:t>
                  </w:r>
                </w:p>
              </w:tc>
              <w:tc>
                <w:tcPr>
                  <w:tcW w:w="523" w:type="pct"/>
                  <w:vAlign w:val="center"/>
                </w:tcPr>
                <w:p w14:paraId="0CEB2067">
                  <w:pPr>
                    <w:keepNext w:val="0"/>
                    <w:keepLines w:val="0"/>
                    <w:widowControl/>
                    <w:suppressLineNumbers w:val="0"/>
                    <w:spacing w:before="0" w:beforeAutospacing="0" w:after="0" w:afterAutospacing="0"/>
                    <w:ind w:left="0" w:right="0"/>
                    <w:jc w:val="center"/>
                    <w:textAlignment w:val="center"/>
                    <w:rPr>
                      <w:rFonts w:hint="default" w:ascii="Times New Roman" w:hAnsi="Times New Roman"/>
                      <w:caps w:val="0"/>
                      <w:color w:val="000000" w:themeColor="text1"/>
                      <w:szCs w:val="21"/>
                      <w:highlight w:val="none"/>
                      <w:u w:val="none" w:color="auto"/>
                      <w:lang w:val="en-US"/>
                      <w14:textFill>
                        <w14:solidFill>
                          <w14:schemeClr w14:val="tx1"/>
                        </w14:solidFill>
                      </w14:textFill>
                    </w:rPr>
                  </w:pPr>
                  <w:r>
                    <w:rPr>
                      <w:rFonts w:hint="eastAsia" w:cs="Times New Roman"/>
                      <w:i w:val="0"/>
                      <w:iCs w:val="0"/>
                      <w:caps w:val="0"/>
                      <w:color w:val="000000" w:themeColor="text1"/>
                      <w:kern w:val="0"/>
                      <w:sz w:val="21"/>
                      <w:szCs w:val="21"/>
                      <w:highlight w:val="none"/>
                      <w:u w:val="none" w:color="auto"/>
                      <w:lang w:val="en-US" w:eastAsia="zh-CN" w:bidi="ar"/>
                      <w14:textFill>
                        <w14:solidFill>
                          <w14:schemeClr w14:val="tx1"/>
                        </w14:solidFill>
                      </w14:textFill>
                    </w:rPr>
                    <w:t>1.034</w:t>
                  </w:r>
                </w:p>
              </w:tc>
              <w:tc>
                <w:tcPr>
                  <w:tcW w:w="475" w:type="pct"/>
                  <w:vAlign w:val="center"/>
                </w:tcPr>
                <w:p w14:paraId="58CC3263">
                  <w:pPr>
                    <w:keepNext w:val="0"/>
                    <w:keepLines w:val="0"/>
                    <w:widowControl/>
                    <w:suppressLineNumbers w:val="0"/>
                    <w:spacing w:before="0" w:beforeAutospacing="0" w:after="0" w:afterAutospacing="0"/>
                    <w:ind w:left="0" w:right="0"/>
                    <w:jc w:val="center"/>
                    <w:textAlignment w:val="center"/>
                    <w:rPr>
                      <w:rFonts w:hint="default" w:ascii="Times New Roman" w:hAnsi="Times New Roman"/>
                      <w:caps w:val="0"/>
                      <w:color w:val="000000" w:themeColor="text1"/>
                      <w:szCs w:val="21"/>
                      <w:highlight w:val="none"/>
                      <w:u w:val="none" w:color="auto"/>
                      <w:lang w:val="en-US"/>
                      <w14:textFill>
                        <w14:solidFill>
                          <w14:schemeClr w14:val="tx1"/>
                        </w14:solidFill>
                      </w14:textFill>
                    </w:rPr>
                  </w:pPr>
                  <w:r>
                    <w:rPr>
                      <w:rFonts w:hint="eastAsia" w:cs="Times New Roman"/>
                      <w:i w:val="0"/>
                      <w:iCs w:val="0"/>
                      <w:caps w:val="0"/>
                      <w:color w:val="000000" w:themeColor="text1"/>
                      <w:kern w:val="0"/>
                      <w:sz w:val="21"/>
                      <w:szCs w:val="21"/>
                      <w:highlight w:val="none"/>
                      <w:u w:val="none" w:color="auto"/>
                      <w:lang w:val="en-US" w:eastAsia="zh-CN" w:bidi="ar"/>
                      <w14:textFill>
                        <w14:solidFill>
                          <w14:schemeClr w14:val="tx1"/>
                        </w14:solidFill>
                      </w14:textFill>
                    </w:rPr>
                    <w:t>25.866</w:t>
                  </w:r>
                </w:p>
              </w:tc>
              <w:tc>
                <w:tcPr>
                  <w:tcW w:w="444" w:type="pct"/>
                  <w:vAlign w:val="center"/>
                </w:tcPr>
                <w:p w14:paraId="03C8F588">
                  <w:pPr>
                    <w:keepNext w:val="0"/>
                    <w:keepLines w:val="0"/>
                    <w:widowControl/>
                    <w:suppressLineNumbers w:val="0"/>
                    <w:spacing w:before="0" w:beforeAutospacing="0" w:after="0" w:afterAutospacing="0"/>
                    <w:ind w:left="0" w:right="0"/>
                    <w:jc w:val="center"/>
                    <w:textAlignment w:val="center"/>
                    <w:rPr>
                      <w:rFonts w:hint="default" w:ascii="Times New Roman" w:hAnsi="Times New Roman"/>
                      <w:caps w:val="0"/>
                      <w:color w:val="000000" w:themeColor="text1"/>
                      <w:szCs w:val="21"/>
                      <w:highlight w:val="none"/>
                      <w:u w:val="none" w:color="auto"/>
                      <w:lang w:val="en-US"/>
                      <w14:textFill>
                        <w14:solidFill>
                          <w14:schemeClr w14:val="tx1"/>
                        </w14:solidFill>
                      </w14:textFill>
                    </w:rPr>
                  </w:pPr>
                  <w:r>
                    <w:rPr>
                      <w:rFonts w:hint="eastAsia" w:cs="Times New Roman"/>
                      <w:i w:val="0"/>
                      <w:iCs w:val="0"/>
                      <w:caps w:val="0"/>
                      <w:color w:val="000000" w:themeColor="text1"/>
                      <w:kern w:val="0"/>
                      <w:sz w:val="21"/>
                      <w:szCs w:val="21"/>
                      <w:highlight w:val="none"/>
                      <w:u w:val="none" w:color="auto"/>
                      <w:lang w:val="en-US" w:eastAsia="zh-CN" w:bidi="ar"/>
                      <w14:textFill>
                        <w14:solidFill>
                          <w14:schemeClr w14:val="tx1"/>
                        </w14:solidFill>
                      </w14:textFill>
                    </w:rPr>
                    <w:t>2.276</w:t>
                  </w:r>
                </w:p>
              </w:tc>
              <w:tc>
                <w:tcPr>
                  <w:tcW w:w="654" w:type="pct"/>
                  <w:vAlign w:val="center"/>
                </w:tcPr>
                <w:p w14:paraId="1E1E1CA2">
                  <w:pPr>
                    <w:keepNext w:val="0"/>
                    <w:keepLines w:val="0"/>
                    <w:widowControl/>
                    <w:suppressLineNumbers w:val="0"/>
                    <w:spacing w:before="0" w:beforeAutospacing="0" w:after="0" w:afterAutospacing="0"/>
                    <w:ind w:left="0" w:right="0"/>
                    <w:jc w:val="center"/>
                    <w:textAlignment w:val="center"/>
                    <w:rPr>
                      <w:rFonts w:hint="default" w:ascii="Times New Roman" w:hAnsi="Times New Roman"/>
                      <w:caps w:val="0"/>
                      <w:color w:val="000000" w:themeColor="text1"/>
                      <w:kern w:val="0"/>
                      <w:szCs w:val="21"/>
                      <w:highlight w:val="none"/>
                      <w:u w:val="none" w:color="auto"/>
                      <w:lang w:val="en-US" w:bidi="ar"/>
                      <w14:textFill>
                        <w14:solidFill>
                          <w14:schemeClr w14:val="tx1"/>
                        </w14:solidFill>
                      </w14:textFill>
                    </w:rPr>
                  </w:pPr>
                  <w:r>
                    <w:rPr>
                      <w:rFonts w:hint="eastAsia" w:cs="Times New Roman"/>
                      <w:i w:val="0"/>
                      <w:iCs w:val="0"/>
                      <w:caps w:val="0"/>
                      <w:color w:val="000000" w:themeColor="text1"/>
                      <w:kern w:val="0"/>
                      <w:sz w:val="21"/>
                      <w:szCs w:val="21"/>
                      <w:highlight w:val="none"/>
                      <w:u w:val="none" w:color="auto"/>
                      <w:lang w:val="en-US" w:eastAsia="zh-CN" w:bidi="ar"/>
                      <w14:textFill>
                        <w14:solidFill>
                          <w14:schemeClr w14:val="tx1"/>
                        </w14:solidFill>
                      </w14:textFill>
                    </w:rPr>
                    <w:t>2.242</w:t>
                  </w:r>
                </w:p>
              </w:tc>
            </w:tr>
          </w:tbl>
          <w:p w14:paraId="7EF2CA52">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beforeAutospacing="0" w:after="0" w:afterAutospacing="0"/>
              <w:ind w:left="420" w:leftChars="200" w:right="0" w:rightChars="0" w:firstLine="0"/>
              <w:textAlignment w:val="auto"/>
              <w:rPr>
                <w:rFonts w:hint="eastAsia"/>
                <w:sz w:val="24"/>
                <w:u w:val="none"/>
                <w:lang w:val="en-US" w:eastAsia="zh-CN"/>
              </w:rPr>
            </w:pPr>
            <w:r>
              <w:rPr>
                <w:rFonts w:hint="eastAsia"/>
                <w:sz w:val="24"/>
                <w:u w:val="none"/>
                <w:lang w:val="en-US" w:eastAsia="zh-CN"/>
              </w:rPr>
              <w:t>③鹌鹑蛋制品废水污染物产生量</w:t>
            </w:r>
          </w:p>
          <w:p w14:paraId="7FBF130B">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eastAsia"/>
                <w:sz w:val="24"/>
                <w:u w:val="none"/>
                <w:lang w:val="en-US" w:eastAsia="zh-CN"/>
              </w:rPr>
            </w:pPr>
            <w:r>
              <w:rPr>
                <w:rFonts w:hint="eastAsia"/>
                <w:sz w:val="24"/>
                <w:u w:val="none"/>
                <w:lang w:val="en-US" w:eastAsia="zh-CN"/>
              </w:rPr>
              <w:t>本项目蛋制品废水参考《湖南省博味园食品有限公司废水送样检测报告》，该公司产品及生产工艺与本项目一致，其废水污染物浓度具有可参考性，结合本项目的实际情况，本项目蛋制品废水污染物产生量见下表：</w:t>
            </w:r>
          </w:p>
          <w:p w14:paraId="626BAFC9">
            <w:pPr>
              <w:pStyle w:val="33"/>
              <w:keepNext w:val="0"/>
              <w:keepLines w:val="0"/>
              <w:numPr>
                <w:ilvl w:val="0"/>
                <w:numId w:val="19"/>
              </w:numPr>
              <w:suppressLineNumbers w:val="0"/>
              <w:spacing w:before="0" w:beforeAutospacing="0" w:after="0" w:afterAutospacing="0"/>
              <w:ind w:right="0" w:firstLineChars="0"/>
              <w:jc w:val="center"/>
              <w:rPr>
                <w:rFonts w:hint="default"/>
                <w:b/>
                <w:bCs/>
                <w:sz w:val="24"/>
                <w:szCs w:val="24"/>
                <w:lang w:val="en-US" w:eastAsia="zh-CN"/>
              </w:rPr>
            </w:pPr>
            <w:r>
              <w:rPr>
                <w:rFonts w:hint="eastAsia"/>
                <w:b/>
                <w:bCs/>
                <w:sz w:val="24"/>
                <w:szCs w:val="24"/>
                <w:lang w:val="en-US" w:eastAsia="zh-CN"/>
              </w:rPr>
              <w:t>鹌鹑蛋生产工艺废水产污情况表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50"/>
              <w:gridCol w:w="1513"/>
              <w:gridCol w:w="1114"/>
              <w:gridCol w:w="1045"/>
              <w:gridCol w:w="1042"/>
              <w:gridCol w:w="1003"/>
              <w:gridCol w:w="931"/>
            </w:tblGrid>
            <w:tr w14:paraId="66FC8A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 w:hRule="atLeast"/>
                <w:jc w:val="center"/>
              </w:trPr>
              <w:tc>
                <w:tcPr>
                  <w:tcW w:w="1941" w:type="pct"/>
                  <w:gridSpan w:val="2"/>
                  <w:vAlign w:val="center"/>
                </w:tcPr>
                <w:p w14:paraId="43860E1C">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污染物</w:t>
                  </w:r>
                </w:p>
              </w:tc>
              <w:tc>
                <w:tcPr>
                  <w:tcW w:w="663" w:type="pct"/>
                  <w:vAlign w:val="center"/>
                </w:tcPr>
                <w:p w14:paraId="47135839">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COD</w:t>
                  </w:r>
                  <w:r>
                    <w:rPr>
                      <w:rFonts w:hint="default"/>
                      <w:b/>
                      <w:bCs/>
                      <w:caps w:val="0"/>
                      <w:color w:val="000000" w:themeColor="text1"/>
                      <w:szCs w:val="21"/>
                      <w:highlight w:val="none"/>
                      <w:u w:val="none" w:color="auto"/>
                      <w:vertAlign w:val="subscript"/>
                      <w14:textFill>
                        <w14:solidFill>
                          <w14:schemeClr w14:val="tx1"/>
                        </w14:solidFill>
                      </w14:textFill>
                    </w:rPr>
                    <w:t>cr</w:t>
                  </w:r>
                </w:p>
              </w:tc>
              <w:tc>
                <w:tcPr>
                  <w:tcW w:w="622" w:type="pct"/>
                  <w:vAlign w:val="center"/>
                </w:tcPr>
                <w:p w14:paraId="3B8392CF">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BOD</w:t>
                  </w:r>
                  <w:r>
                    <w:rPr>
                      <w:rFonts w:hint="default"/>
                      <w:b/>
                      <w:bCs/>
                      <w:caps w:val="0"/>
                      <w:color w:val="000000" w:themeColor="text1"/>
                      <w:szCs w:val="21"/>
                      <w:highlight w:val="none"/>
                      <w:u w:val="none" w:color="auto"/>
                      <w:vertAlign w:val="subscript"/>
                      <w14:textFill>
                        <w14:solidFill>
                          <w14:schemeClr w14:val="tx1"/>
                        </w14:solidFill>
                      </w14:textFill>
                    </w:rPr>
                    <w:t>5</w:t>
                  </w:r>
                </w:p>
              </w:tc>
              <w:tc>
                <w:tcPr>
                  <w:tcW w:w="620" w:type="pct"/>
                  <w:vAlign w:val="center"/>
                </w:tcPr>
                <w:p w14:paraId="10C4AA0A">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NH</w:t>
                  </w:r>
                  <w:r>
                    <w:rPr>
                      <w:rFonts w:hint="default"/>
                      <w:b/>
                      <w:bCs/>
                      <w:caps w:val="0"/>
                      <w:color w:val="000000" w:themeColor="text1"/>
                      <w:szCs w:val="21"/>
                      <w:highlight w:val="none"/>
                      <w:u w:val="none" w:color="auto"/>
                      <w:vertAlign w:val="subscript"/>
                      <w14:textFill>
                        <w14:solidFill>
                          <w14:schemeClr w14:val="tx1"/>
                        </w14:solidFill>
                      </w14:textFill>
                    </w:rPr>
                    <w:t>3</w:t>
                  </w:r>
                  <w:r>
                    <w:rPr>
                      <w:rFonts w:hint="default"/>
                      <w:b/>
                      <w:bCs/>
                      <w:caps w:val="0"/>
                      <w:color w:val="000000" w:themeColor="text1"/>
                      <w:szCs w:val="21"/>
                      <w:highlight w:val="none"/>
                      <w:u w:val="none" w:color="auto"/>
                      <w14:textFill>
                        <w14:solidFill>
                          <w14:schemeClr w14:val="tx1"/>
                        </w14:solidFill>
                      </w14:textFill>
                    </w:rPr>
                    <w:t>-N</w:t>
                  </w:r>
                </w:p>
              </w:tc>
              <w:tc>
                <w:tcPr>
                  <w:tcW w:w="597" w:type="pct"/>
                  <w:vAlign w:val="center"/>
                </w:tcPr>
                <w:p w14:paraId="318BAF73">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eastAsia"/>
                      <w:b/>
                      <w:bCs/>
                      <w:caps w:val="0"/>
                      <w:color w:val="000000" w:themeColor="text1"/>
                      <w:szCs w:val="21"/>
                      <w:highlight w:val="none"/>
                      <w:u w:val="none" w:color="auto"/>
                      <w14:textFill>
                        <w14:solidFill>
                          <w14:schemeClr w14:val="tx1"/>
                        </w14:solidFill>
                      </w14:textFill>
                    </w:rPr>
                    <w:t>SS</w:t>
                  </w:r>
                </w:p>
              </w:tc>
              <w:tc>
                <w:tcPr>
                  <w:tcW w:w="554" w:type="pct"/>
                  <w:vAlign w:val="center"/>
                </w:tcPr>
                <w:p w14:paraId="19FB8017">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动植物油</w:t>
                  </w:r>
                </w:p>
              </w:tc>
            </w:tr>
            <w:tr w14:paraId="7104298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1041" w:type="pct"/>
                  <w:vMerge w:val="restart"/>
                  <w:vAlign w:val="center"/>
                </w:tcPr>
                <w:p w14:paraId="2BD289A3">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lang w:val="en-US"/>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31406.43</w:t>
                  </w:r>
                </w:p>
              </w:tc>
              <w:tc>
                <w:tcPr>
                  <w:tcW w:w="900" w:type="pct"/>
                  <w:vAlign w:val="center"/>
                </w:tcPr>
                <w:p w14:paraId="02AC0937">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r>
                    <w:rPr>
                      <w:rFonts w:hint="default"/>
                      <w:caps w:val="0"/>
                      <w:color w:val="000000" w:themeColor="text1"/>
                      <w:szCs w:val="21"/>
                      <w:highlight w:val="none"/>
                      <w:u w:val="none" w:color="auto"/>
                      <w14:textFill>
                        <w14:solidFill>
                          <w14:schemeClr w14:val="tx1"/>
                        </w14:solidFill>
                      </w14:textFill>
                    </w:rPr>
                    <w:t>浓度（mg/L）</w:t>
                  </w:r>
                </w:p>
              </w:tc>
              <w:tc>
                <w:tcPr>
                  <w:tcW w:w="663" w:type="pct"/>
                  <w:vAlign w:val="center"/>
                </w:tcPr>
                <w:p w14:paraId="42C2B33D">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878.75</w:t>
                  </w:r>
                </w:p>
              </w:tc>
              <w:tc>
                <w:tcPr>
                  <w:tcW w:w="622" w:type="pct"/>
                  <w:vAlign w:val="center"/>
                </w:tcPr>
                <w:p w14:paraId="58308C1C">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268.25</w:t>
                  </w:r>
                </w:p>
              </w:tc>
              <w:tc>
                <w:tcPr>
                  <w:tcW w:w="620" w:type="pct"/>
                  <w:vAlign w:val="center"/>
                </w:tcPr>
                <w:p w14:paraId="7D1A9DFE">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12.19</w:t>
                  </w:r>
                </w:p>
              </w:tc>
              <w:tc>
                <w:tcPr>
                  <w:tcW w:w="597" w:type="pct"/>
                  <w:vAlign w:val="center"/>
                </w:tcPr>
                <w:p w14:paraId="73DA1B3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kern w:val="0"/>
                      <w:szCs w:val="21"/>
                      <w:highlight w:val="none"/>
                      <w:u w:val="none" w:color="auto"/>
                      <w:lang w:val="en-US" w:eastAsia="zh-CN" w:bidi="ar"/>
                      <w14:textFill>
                        <w14:solidFill>
                          <w14:schemeClr w14:val="tx1"/>
                        </w14:solidFill>
                      </w14:textFill>
                    </w:rPr>
                    <w:t>252.5</w:t>
                  </w:r>
                </w:p>
              </w:tc>
              <w:tc>
                <w:tcPr>
                  <w:tcW w:w="554" w:type="pct"/>
                  <w:vAlign w:val="center"/>
                </w:tcPr>
                <w:p w14:paraId="2733B9CD">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142.53</w:t>
                  </w:r>
                </w:p>
              </w:tc>
            </w:tr>
            <w:tr w14:paraId="409E9F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 w:hRule="atLeast"/>
                <w:jc w:val="center"/>
              </w:trPr>
              <w:tc>
                <w:tcPr>
                  <w:tcW w:w="1041" w:type="pct"/>
                  <w:vMerge w:val="continue"/>
                  <w:vAlign w:val="center"/>
                </w:tcPr>
                <w:p w14:paraId="030A61FB">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p>
              </w:tc>
              <w:tc>
                <w:tcPr>
                  <w:tcW w:w="900" w:type="pct"/>
                  <w:vAlign w:val="center"/>
                </w:tcPr>
                <w:p w14:paraId="0BF8DBC3">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r>
                    <w:rPr>
                      <w:rFonts w:hint="default"/>
                      <w:caps w:val="0"/>
                      <w:color w:val="000000" w:themeColor="text1"/>
                      <w:szCs w:val="21"/>
                      <w:highlight w:val="none"/>
                      <w:u w:val="none" w:color="auto"/>
                      <w14:textFill>
                        <w14:solidFill>
                          <w14:schemeClr w14:val="tx1"/>
                        </w14:solidFill>
                      </w14:textFill>
                    </w:rPr>
                    <w:t>产生量（t/a）</w:t>
                  </w:r>
                </w:p>
              </w:tc>
              <w:tc>
                <w:tcPr>
                  <w:tcW w:w="663" w:type="pct"/>
                  <w:vAlign w:val="center"/>
                </w:tcPr>
                <w:p w14:paraId="5F9DD90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27.598</w:t>
                  </w:r>
                </w:p>
              </w:tc>
              <w:tc>
                <w:tcPr>
                  <w:tcW w:w="622" w:type="pct"/>
                  <w:vAlign w:val="center"/>
                </w:tcPr>
                <w:p w14:paraId="6E0F12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8.425</w:t>
                  </w:r>
                </w:p>
              </w:tc>
              <w:tc>
                <w:tcPr>
                  <w:tcW w:w="620" w:type="pct"/>
                  <w:vAlign w:val="center"/>
                </w:tcPr>
                <w:p w14:paraId="52107DF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0.383</w:t>
                  </w:r>
                </w:p>
              </w:tc>
              <w:tc>
                <w:tcPr>
                  <w:tcW w:w="597" w:type="pct"/>
                  <w:vAlign w:val="center"/>
                </w:tcPr>
                <w:p w14:paraId="701A73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7.930</w:t>
                  </w:r>
                </w:p>
              </w:tc>
              <w:tc>
                <w:tcPr>
                  <w:tcW w:w="554" w:type="pct"/>
                  <w:vAlign w:val="center"/>
                </w:tcPr>
                <w:p w14:paraId="2C5CB7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kern w:val="0"/>
                      <w:szCs w:val="21"/>
                      <w:highlight w:val="none"/>
                      <w:u w:val="none" w:color="auto"/>
                      <w:lang w:val="en-US" w:eastAsia="zh-CN" w:bidi="ar"/>
                      <w14:textFill>
                        <w14:solidFill>
                          <w14:schemeClr w14:val="tx1"/>
                        </w14:solidFill>
                      </w14:textFill>
                    </w:rPr>
                  </w:pPr>
                  <w:r>
                    <w:rPr>
                      <w:rFonts w:hint="eastAsia"/>
                      <w:caps w:val="0"/>
                      <w:color w:val="000000" w:themeColor="text1"/>
                      <w:kern w:val="0"/>
                      <w:szCs w:val="21"/>
                      <w:highlight w:val="none"/>
                      <w:u w:val="none" w:color="auto"/>
                      <w:lang w:val="en-US" w:eastAsia="zh-CN" w:bidi="ar"/>
                      <w14:textFill>
                        <w14:solidFill>
                          <w14:schemeClr w14:val="tx1"/>
                        </w14:solidFill>
                      </w14:textFill>
                    </w:rPr>
                    <w:t>4.476</w:t>
                  </w:r>
                </w:p>
              </w:tc>
            </w:tr>
          </w:tbl>
          <w:p w14:paraId="1326475F">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157" w:beforeLines="50" w:beforeAutospacing="0" w:after="0" w:afterAutospacing="0"/>
              <w:ind w:left="0" w:leftChars="0" w:right="0" w:rightChars="0" w:firstLine="480" w:firstLineChars="200"/>
              <w:textAlignment w:val="auto"/>
              <w:rPr>
                <w:rFonts w:hint="eastAsia"/>
                <w:sz w:val="24"/>
                <w:u w:val="none"/>
                <w:lang w:val="en-US" w:eastAsia="zh-CN"/>
              </w:rPr>
            </w:pPr>
            <w:r>
              <w:rPr>
                <w:rFonts w:hint="eastAsia"/>
                <w:sz w:val="24"/>
                <w:u w:val="none"/>
                <w:lang w:val="en-US" w:eastAsia="zh-CN"/>
              </w:rPr>
              <w:t>综上，本项目总生产废水污染物产生情况如下表所示：</w:t>
            </w:r>
          </w:p>
          <w:p w14:paraId="71054A7F">
            <w:pPr>
              <w:pStyle w:val="33"/>
              <w:keepNext w:val="0"/>
              <w:keepLines w:val="0"/>
              <w:numPr>
                <w:ilvl w:val="0"/>
                <w:numId w:val="19"/>
              </w:numPr>
              <w:suppressLineNumbers w:val="0"/>
              <w:spacing w:before="0" w:beforeAutospacing="0" w:after="0" w:afterAutospacing="0"/>
              <w:ind w:right="0" w:firstLineChars="0"/>
              <w:jc w:val="center"/>
              <w:rPr>
                <w:rFonts w:hint="default"/>
                <w:b/>
                <w:bCs/>
                <w:sz w:val="24"/>
                <w:szCs w:val="24"/>
                <w:lang w:val="en-US" w:eastAsia="zh-CN"/>
              </w:rPr>
            </w:pPr>
            <w:r>
              <w:rPr>
                <w:rFonts w:hint="eastAsia"/>
                <w:b/>
                <w:bCs/>
                <w:sz w:val="24"/>
                <w:szCs w:val="24"/>
                <w:lang w:val="en-US" w:eastAsia="zh-CN"/>
              </w:rPr>
              <w:t>本项目生产废水产污情况表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570"/>
              <w:gridCol w:w="1360"/>
              <w:gridCol w:w="1002"/>
              <w:gridCol w:w="939"/>
              <w:gridCol w:w="936"/>
              <w:gridCol w:w="902"/>
              <w:gridCol w:w="852"/>
              <w:gridCol w:w="837"/>
            </w:tblGrid>
            <w:tr w14:paraId="6D2F60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 w:hRule="atLeast"/>
                <w:jc w:val="center"/>
              </w:trPr>
              <w:tc>
                <w:tcPr>
                  <w:tcW w:w="1743" w:type="pct"/>
                  <w:gridSpan w:val="2"/>
                  <w:vAlign w:val="center"/>
                </w:tcPr>
                <w:p w14:paraId="1B0F2530">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污染物</w:t>
                  </w:r>
                </w:p>
              </w:tc>
              <w:tc>
                <w:tcPr>
                  <w:tcW w:w="596" w:type="pct"/>
                  <w:vAlign w:val="center"/>
                </w:tcPr>
                <w:p w14:paraId="5783B4B4">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COD</w:t>
                  </w:r>
                  <w:r>
                    <w:rPr>
                      <w:rFonts w:hint="default"/>
                      <w:b/>
                      <w:bCs/>
                      <w:caps w:val="0"/>
                      <w:color w:val="000000" w:themeColor="text1"/>
                      <w:szCs w:val="21"/>
                      <w:highlight w:val="none"/>
                      <w:u w:val="none" w:color="auto"/>
                      <w:vertAlign w:val="subscript"/>
                      <w14:textFill>
                        <w14:solidFill>
                          <w14:schemeClr w14:val="tx1"/>
                        </w14:solidFill>
                      </w14:textFill>
                    </w:rPr>
                    <w:t>cr</w:t>
                  </w:r>
                </w:p>
              </w:tc>
              <w:tc>
                <w:tcPr>
                  <w:tcW w:w="559" w:type="pct"/>
                  <w:vAlign w:val="center"/>
                </w:tcPr>
                <w:p w14:paraId="4BB57CBA">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BOD</w:t>
                  </w:r>
                  <w:r>
                    <w:rPr>
                      <w:rFonts w:hint="default"/>
                      <w:b/>
                      <w:bCs/>
                      <w:caps w:val="0"/>
                      <w:color w:val="000000" w:themeColor="text1"/>
                      <w:szCs w:val="21"/>
                      <w:highlight w:val="none"/>
                      <w:u w:val="none" w:color="auto"/>
                      <w:vertAlign w:val="subscript"/>
                      <w14:textFill>
                        <w14:solidFill>
                          <w14:schemeClr w14:val="tx1"/>
                        </w14:solidFill>
                      </w14:textFill>
                    </w:rPr>
                    <w:t>5</w:t>
                  </w:r>
                </w:p>
              </w:tc>
              <w:tc>
                <w:tcPr>
                  <w:tcW w:w="557" w:type="pct"/>
                  <w:vAlign w:val="center"/>
                </w:tcPr>
                <w:p w14:paraId="1775250F">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NH</w:t>
                  </w:r>
                  <w:r>
                    <w:rPr>
                      <w:rFonts w:hint="default"/>
                      <w:b/>
                      <w:bCs/>
                      <w:caps w:val="0"/>
                      <w:color w:val="000000" w:themeColor="text1"/>
                      <w:szCs w:val="21"/>
                      <w:highlight w:val="none"/>
                      <w:u w:val="none" w:color="auto"/>
                      <w:vertAlign w:val="subscript"/>
                      <w14:textFill>
                        <w14:solidFill>
                          <w14:schemeClr w14:val="tx1"/>
                        </w14:solidFill>
                      </w14:textFill>
                    </w:rPr>
                    <w:t>3</w:t>
                  </w:r>
                  <w:r>
                    <w:rPr>
                      <w:rFonts w:hint="default"/>
                      <w:b/>
                      <w:bCs/>
                      <w:caps w:val="0"/>
                      <w:color w:val="000000" w:themeColor="text1"/>
                      <w:szCs w:val="21"/>
                      <w:highlight w:val="none"/>
                      <w:u w:val="none" w:color="auto"/>
                      <w14:textFill>
                        <w14:solidFill>
                          <w14:schemeClr w14:val="tx1"/>
                        </w14:solidFill>
                      </w14:textFill>
                    </w:rPr>
                    <w:t>-N</w:t>
                  </w:r>
                </w:p>
              </w:tc>
              <w:tc>
                <w:tcPr>
                  <w:tcW w:w="537" w:type="pct"/>
                  <w:vAlign w:val="center"/>
                </w:tcPr>
                <w:p w14:paraId="41DD668D">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eastAsia"/>
                      <w:b/>
                      <w:bCs/>
                      <w:caps w:val="0"/>
                      <w:color w:val="000000" w:themeColor="text1"/>
                      <w:szCs w:val="21"/>
                      <w:highlight w:val="none"/>
                      <w:u w:val="none" w:color="auto"/>
                      <w14:textFill>
                        <w14:solidFill>
                          <w14:schemeClr w14:val="tx1"/>
                        </w14:solidFill>
                      </w14:textFill>
                    </w:rPr>
                    <w:t>SS</w:t>
                  </w:r>
                </w:p>
              </w:tc>
              <w:tc>
                <w:tcPr>
                  <w:tcW w:w="507" w:type="pct"/>
                  <w:vAlign w:val="center"/>
                </w:tcPr>
                <w:p w14:paraId="7DCF4410">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TN</w:t>
                  </w:r>
                </w:p>
              </w:tc>
              <w:tc>
                <w:tcPr>
                  <w:tcW w:w="498" w:type="pct"/>
                  <w:vAlign w:val="center"/>
                </w:tcPr>
                <w:p w14:paraId="5BD97F99">
                  <w:pPr>
                    <w:pStyle w:val="63"/>
                    <w:keepNext w:val="0"/>
                    <w:keepLines w:val="0"/>
                    <w:widowControl/>
                    <w:suppressLineNumbers w:val="0"/>
                    <w:adjustRightInd w:val="0"/>
                    <w:snapToGrid w:val="0"/>
                    <w:spacing w:before="0" w:beforeAutospacing="0" w:after="0" w:afterAutospacing="0"/>
                    <w:ind w:left="0" w:right="0"/>
                    <w:rPr>
                      <w:rFonts w:hint="default"/>
                      <w:b/>
                      <w:bCs/>
                      <w:caps w:val="0"/>
                      <w:color w:val="000000" w:themeColor="text1"/>
                      <w:szCs w:val="21"/>
                      <w:highlight w:val="none"/>
                      <w:u w:val="none" w:color="auto"/>
                      <w14:textFill>
                        <w14:solidFill>
                          <w14:schemeClr w14:val="tx1"/>
                        </w14:solidFill>
                      </w14:textFill>
                    </w:rPr>
                  </w:pPr>
                  <w:r>
                    <w:rPr>
                      <w:rFonts w:hint="default"/>
                      <w:b/>
                      <w:bCs/>
                      <w:caps w:val="0"/>
                      <w:color w:val="000000" w:themeColor="text1"/>
                      <w:szCs w:val="21"/>
                      <w:highlight w:val="none"/>
                      <w:u w:val="none" w:color="auto"/>
                      <w14:textFill>
                        <w14:solidFill>
                          <w14:schemeClr w14:val="tx1"/>
                        </w14:solidFill>
                      </w14:textFill>
                    </w:rPr>
                    <w:t>动植物油</w:t>
                  </w:r>
                </w:p>
              </w:tc>
            </w:tr>
            <w:tr w14:paraId="38878F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934" w:type="pct"/>
                  <w:vMerge w:val="restart"/>
                  <w:vAlign w:val="center"/>
                </w:tcPr>
                <w:p w14:paraId="2021E52D">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lang w:val="en-US"/>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66645.39t/a</w:t>
                  </w:r>
                </w:p>
              </w:tc>
              <w:tc>
                <w:tcPr>
                  <w:tcW w:w="809" w:type="pct"/>
                  <w:vAlign w:val="center"/>
                </w:tcPr>
                <w:p w14:paraId="1FB92D52">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r>
                    <w:rPr>
                      <w:rFonts w:hint="default"/>
                      <w:caps w:val="0"/>
                      <w:color w:val="000000" w:themeColor="text1"/>
                      <w:szCs w:val="21"/>
                      <w:highlight w:val="none"/>
                      <w:u w:val="none" w:color="auto"/>
                      <w14:textFill>
                        <w14:solidFill>
                          <w14:schemeClr w14:val="tx1"/>
                        </w14:solidFill>
                      </w14:textFill>
                    </w:rPr>
                    <w:t>浓度（mg/L）</w:t>
                  </w:r>
                </w:p>
              </w:tc>
              <w:tc>
                <w:tcPr>
                  <w:tcW w:w="596" w:type="pct"/>
                  <w:vAlign w:val="center"/>
                </w:tcPr>
                <w:p w14:paraId="393E854B">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1138.59</w:t>
                  </w:r>
                </w:p>
              </w:tc>
              <w:tc>
                <w:tcPr>
                  <w:tcW w:w="559" w:type="pct"/>
                  <w:vAlign w:val="center"/>
                </w:tcPr>
                <w:p w14:paraId="44F36ED3">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514.53</w:t>
                  </w:r>
                </w:p>
              </w:tc>
              <w:tc>
                <w:tcPr>
                  <w:tcW w:w="557" w:type="pct"/>
                  <w:vAlign w:val="center"/>
                </w:tcPr>
                <w:p w14:paraId="394AA521">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21.26</w:t>
                  </w:r>
                </w:p>
              </w:tc>
              <w:tc>
                <w:tcPr>
                  <w:tcW w:w="537" w:type="pct"/>
                  <w:vAlign w:val="center"/>
                </w:tcPr>
                <w:p w14:paraId="2FAEDAB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t>507.10</w:t>
                  </w:r>
                </w:p>
              </w:tc>
              <w:tc>
                <w:tcPr>
                  <w:tcW w:w="507" w:type="pct"/>
                  <w:vAlign w:val="center"/>
                </w:tcPr>
                <w:p w14:paraId="2B663895">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34.15</w:t>
                  </w:r>
                </w:p>
              </w:tc>
              <w:tc>
                <w:tcPr>
                  <w:tcW w:w="498" w:type="pct"/>
                  <w:vAlign w:val="center"/>
                </w:tcPr>
                <w:p w14:paraId="41842ACF">
                  <w:pPr>
                    <w:pStyle w:val="63"/>
                    <w:keepNext w:val="0"/>
                    <w:keepLines w:val="0"/>
                    <w:widowControl/>
                    <w:suppressLineNumbers w:val="0"/>
                    <w:adjustRightInd w:val="0"/>
                    <w:snapToGrid w:val="0"/>
                    <w:spacing w:before="0" w:beforeAutospacing="0" w:after="0" w:afterAutospacing="0"/>
                    <w:ind w:left="0" w:right="0"/>
                    <w:rPr>
                      <w:rFonts w:hint="default"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100.80</w:t>
                  </w:r>
                </w:p>
              </w:tc>
            </w:tr>
            <w:tr w14:paraId="70AC4A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 w:hRule="atLeast"/>
                <w:jc w:val="center"/>
              </w:trPr>
              <w:tc>
                <w:tcPr>
                  <w:tcW w:w="934" w:type="pct"/>
                  <w:vMerge w:val="continue"/>
                  <w:vAlign w:val="center"/>
                </w:tcPr>
                <w:p w14:paraId="167EDFBC">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p>
              </w:tc>
              <w:tc>
                <w:tcPr>
                  <w:tcW w:w="809" w:type="pct"/>
                  <w:vAlign w:val="center"/>
                </w:tcPr>
                <w:p w14:paraId="24CC1CE0">
                  <w:pPr>
                    <w:pStyle w:val="63"/>
                    <w:keepNext w:val="0"/>
                    <w:keepLines w:val="0"/>
                    <w:widowControl/>
                    <w:suppressLineNumbers w:val="0"/>
                    <w:adjustRightInd w:val="0"/>
                    <w:snapToGrid w:val="0"/>
                    <w:spacing w:before="0" w:beforeAutospacing="0" w:after="0" w:afterAutospacing="0"/>
                    <w:ind w:left="0" w:right="0"/>
                    <w:rPr>
                      <w:rFonts w:hint="default"/>
                      <w:caps w:val="0"/>
                      <w:color w:val="000000" w:themeColor="text1"/>
                      <w:szCs w:val="21"/>
                      <w:highlight w:val="none"/>
                      <w:u w:val="none" w:color="auto"/>
                      <w14:textFill>
                        <w14:solidFill>
                          <w14:schemeClr w14:val="tx1"/>
                        </w14:solidFill>
                      </w14:textFill>
                    </w:rPr>
                  </w:pPr>
                  <w:r>
                    <w:rPr>
                      <w:rFonts w:hint="default"/>
                      <w:caps w:val="0"/>
                      <w:color w:val="000000" w:themeColor="text1"/>
                      <w:szCs w:val="21"/>
                      <w:highlight w:val="none"/>
                      <w:u w:val="none" w:color="auto"/>
                      <w14:textFill>
                        <w14:solidFill>
                          <w14:schemeClr w14:val="tx1"/>
                        </w14:solidFill>
                      </w14:textFill>
                    </w:rPr>
                    <w:t>产生量（t/a）</w:t>
                  </w:r>
                </w:p>
              </w:tc>
              <w:tc>
                <w:tcPr>
                  <w:tcW w:w="596" w:type="pct"/>
                  <w:vAlign w:val="center"/>
                </w:tcPr>
                <w:p w14:paraId="649199B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75.882</w:t>
                  </w:r>
                </w:p>
              </w:tc>
              <w:tc>
                <w:tcPr>
                  <w:tcW w:w="559" w:type="pct"/>
                  <w:vAlign w:val="center"/>
                </w:tcPr>
                <w:p w14:paraId="06E35D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34.291</w:t>
                  </w:r>
                </w:p>
              </w:tc>
              <w:tc>
                <w:tcPr>
                  <w:tcW w:w="557" w:type="pct"/>
                  <w:vAlign w:val="center"/>
                </w:tcPr>
                <w:p w14:paraId="76B34BD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1.417</w:t>
                  </w:r>
                </w:p>
              </w:tc>
              <w:tc>
                <w:tcPr>
                  <w:tcW w:w="537" w:type="pct"/>
                  <w:vAlign w:val="center"/>
                </w:tcPr>
                <w:p w14:paraId="69522F3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33.796</w:t>
                  </w:r>
                </w:p>
              </w:tc>
              <w:tc>
                <w:tcPr>
                  <w:tcW w:w="507" w:type="pct"/>
                  <w:vAlign w:val="center"/>
                </w:tcPr>
                <w:p w14:paraId="137FAC1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szCs w:val="21"/>
                      <w:highlight w:val="none"/>
                      <w:u w:val="none" w:color="auto"/>
                      <w:lang w:val="en-US" w:eastAsia="zh-CN"/>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2.276</w:t>
                  </w:r>
                </w:p>
              </w:tc>
              <w:tc>
                <w:tcPr>
                  <w:tcW w:w="498" w:type="pct"/>
                  <w:vAlign w:val="center"/>
                </w:tcPr>
                <w:p w14:paraId="214D92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aps w:val="0"/>
                      <w:color w:val="000000" w:themeColor="text1"/>
                      <w:kern w:val="0"/>
                      <w:szCs w:val="21"/>
                      <w:highlight w:val="none"/>
                      <w:u w:val="none" w:color="auto"/>
                      <w:lang w:val="en-US" w:eastAsia="zh-CN" w:bidi="ar"/>
                      <w14:textFill>
                        <w14:solidFill>
                          <w14:schemeClr w14:val="tx1"/>
                        </w14:solidFill>
                      </w14:textFill>
                    </w:rPr>
                  </w:pPr>
                  <w:r>
                    <w:rPr>
                      <w:rFonts w:hint="eastAsia"/>
                      <w:caps w:val="0"/>
                      <w:color w:val="000000" w:themeColor="text1"/>
                      <w:kern w:val="0"/>
                      <w:szCs w:val="21"/>
                      <w:highlight w:val="none"/>
                      <w:u w:val="none" w:color="auto"/>
                      <w:lang w:val="en-US" w:eastAsia="zh-CN" w:bidi="ar"/>
                      <w14:textFill>
                        <w14:solidFill>
                          <w14:schemeClr w14:val="tx1"/>
                        </w14:solidFill>
                      </w14:textFill>
                    </w:rPr>
                    <w:t>6.718</w:t>
                  </w:r>
                </w:p>
              </w:tc>
            </w:tr>
          </w:tbl>
          <w:p w14:paraId="3B043D71">
            <w:pPr>
              <w:pStyle w:val="11"/>
              <w:keepNext w:val="0"/>
              <w:keepLines w:val="0"/>
              <w:pageBreakBefore w:val="0"/>
              <w:widowControl/>
              <w:numPr>
                <w:ilvl w:val="0"/>
                <w:numId w:val="21"/>
              </w:numPr>
              <w:suppressLineNumbers w:val="0"/>
              <w:kinsoku/>
              <w:wordWrap/>
              <w:overflowPunct/>
              <w:topLinePunct w:val="0"/>
              <w:autoSpaceDE/>
              <w:autoSpaceDN/>
              <w:bidi w:val="0"/>
              <w:adjustRightInd/>
              <w:snapToGrid/>
              <w:spacing w:before="157" w:beforeLines="50" w:beforeAutospacing="0" w:after="0" w:afterAutospacing="0"/>
              <w:ind w:left="0" w:leftChars="0" w:firstLine="480" w:firstLineChars="200"/>
              <w:textAlignment w:val="auto"/>
              <w:rPr>
                <w:rFonts w:hint="default"/>
              </w:rPr>
            </w:pPr>
            <w:r>
              <w:rPr>
                <w:rFonts w:hint="eastAsia"/>
                <w:sz w:val="24"/>
                <w:u w:val="none"/>
                <w:lang w:val="en-US" w:eastAsia="zh-CN"/>
              </w:rPr>
              <w:t>生活污水</w:t>
            </w:r>
          </w:p>
          <w:p w14:paraId="220C58F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aps w:val="0"/>
                <w:color w:val="000000"/>
                <w:sz w:val="24"/>
                <w:u w:val="none" w:color="auto"/>
              </w:rPr>
            </w:pPr>
            <w:r>
              <w:rPr>
                <w:rFonts w:hint="default" w:ascii="Times New Roman" w:hAnsi="Times New Roman" w:cs="Times New Roman"/>
                <w:bCs/>
                <w:caps w:val="0"/>
                <w:color w:val="000000"/>
                <w:sz w:val="24"/>
                <w:u w:val="none" w:color="auto"/>
              </w:rPr>
              <w:t>根据前文给排水分析可知，本项目生活污水产生量为</w:t>
            </w:r>
            <w:r>
              <w:rPr>
                <w:rFonts w:hint="eastAsia" w:cs="Times New Roman"/>
                <w:bCs/>
                <w:caps w:val="0"/>
                <w:color w:val="000000"/>
                <w:sz w:val="24"/>
                <w:u w:val="none" w:color="auto"/>
                <w:lang w:val="en-US" w:eastAsia="zh-CN"/>
              </w:rPr>
              <w:t>2465</w:t>
            </w:r>
            <w:r>
              <w:rPr>
                <w:rFonts w:hint="eastAsia" w:ascii="Times New Roman" w:hAnsi="Times New Roman" w:cs="Times New Roman"/>
                <w:bCs/>
                <w:caps w:val="0"/>
                <w:color w:val="000000"/>
                <w:sz w:val="24"/>
                <w:u w:val="none" w:color="auto"/>
                <w:lang w:val="en-US" w:eastAsia="zh-CN"/>
              </w:rPr>
              <w:t>t/a</w:t>
            </w:r>
            <w:r>
              <w:rPr>
                <w:rFonts w:hint="default" w:ascii="Times New Roman" w:hAnsi="Times New Roman" w:cs="Times New Roman"/>
                <w:bCs/>
                <w:caps w:val="0"/>
                <w:color w:val="000000"/>
                <w:sz w:val="24"/>
                <w:u w:val="none" w:color="auto"/>
              </w:rPr>
              <w:t>，废水污染物主要为COD</w:t>
            </w:r>
            <w:r>
              <w:rPr>
                <w:rFonts w:hint="default" w:ascii="Times New Roman" w:hAnsi="Times New Roman" w:cs="Times New Roman"/>
                <w:bCs/>
                <w:caps w:val="0"/>
                <w:color w:val="000000"/>
                <w:sz w:val="24"/>
                <w:u w:val="none" w:color="auto"/>
                <w:vertAlign w:val="subscript"/>
              </w:rPr>
              <w:t>cr</w:t>
            </w:r>
            <w:r>
              <w:rPr>
                <w:rFonts w:hint="default" w:ascii="Times New Roman" w:hAnsi="Times New Roman" w:cs="Times New Roman"/>
                <w:bCs/>
                <w:caps w:val="0"/>
                <w:color w:val="000000"/>
                <w:sz w:val="24"/>
                <w:u w:val="none" w:color="auto"/>
              </w:rPr>
              <w:t>、BOD</w:t>
            </w:r>
            <w:r>
              <w:rPr>
                <w:rFonts w:hint="default" w:ascii="Times New Roman" w:hAnsi="Times New Roman" w:cs="Times New Roman"/>
                <w:bCs/>
                <w:caps w:val="0"/>
                <w:color w:val="000000"/>
                <w:sz w:val="24"/>
                <w:u w:val="none" w:color="auto"/>
                <w:vertAlign w:val="subscript"/>
              </w:rPr>
              <w:t>5</w:t>
            </w:r>
            <w:r>
              <w:rPr>
                <w:rFonts w:hint="default" w:ascii="Times New Roman" w:hAnsi="Times New Roman" w:cs="Times New Roman"/>
                <w:bCs/>
                <w:caps w:val="0"/>
                <w:color w:val="000000"/>
                <w:sz w:val="24"/>
                <w:u w:val="none" w:color="auto"/>
              </w:rPr>
              <w:t>、SS、NH</w:t>
            </w:r>
            <w:r>
              <w:rPr>
                <w:rFonts w:hint="default" w:ascii="Times New Roman" w:hAnsi="Times New Roman" w:cs="Times New Roman"/>
                <w:bCs/>
                <w:caps w:val="0"/>
                <w:color w:val="000000"/>
                <w:sz w:val="24"/>
                <w:u w:val="none" w:color="auto"/>
                <w:vertAlign w:val="subscript"/>
              </w:rPr>
              <w:t>3</w:t>
            </w:r>
            <w:r>
              <w:rPr>
                <w:rFonts w:hint="default" w:ascii="Times New Roman" w:hAnsi="Times New Roman" w:cs="Times New Roman"/>
                <w:bCs/>
                <w:caps w:val="0"/>
                <w:color w:val="000000"/>
                <w:sz w:val="24"/>
                <w:u w:val="none" w:color="auto"/>
              </w:rPr>
              <w:t>-N、动植物油</w:t>
            </w:r>
            <w:r>
              <w:rPr>
                <w:rFonts w:hint="eastAsia" w:ascii="Times New Roman" w:hAnsi="Times New Roman" w:cs="Times New Roman"/>
                <w:bCs/>
                <w:caps w:val="0"/>
                <w:color w:val="000000"/>
                <w:sz w:val="24"/>
                <w:u w:val="none" w:color="auto"/>
                <w:lang w:eastAsia="zh-CN"/>
              </w:rPr>
              <w:t>，</w:t>
            </w:r>
            <w:r>
              <w:rPr>
                <w:rFonts w:hint="default" w:ascii="Times New Roman" w:hAnsi="Times New Roman" w:cs="Times New Roman"/>
                <w:bCs/>
                <w:caps w:val="0"/>
                <w:color w:val="000000"/>
                <w:sz w:val="24"/>
                <w:u w:val="none" w:color="auto"/>
              </w:rPr>
              <w:t>根据《给水排水常用数据手册》，典型生活污水主要污染物产生情况见下表。</w:t>
            </w:r>
          </w:p>
          <w:p w14:paraId="5AC50BC9">
            <w:pPr>
              <w:pStyle w:val="33"/>
              <w:keepNext w:val="0"/>
              <w:keepLines w:val="0"/>
              <w:numPr>
                <w:ilvl w:val="0"/>
                <w:numId w:val="19"/>
              </w:numPr>
              <w:suppressLineNumbers w:val="0"/>
              <w:spacing w:before="0" w:beforeAutospacing="0" w:after="0" w:afterAutospacing="0"/>
              <w:ind w:right="0" w:firstLineChars="0"/>
              <w:jc w:val="center"/>
              <w:rPr>
                <w:rFonts w:hint="default" w:ascii="Times New Roman" w:hAnsi="Times New Roman" w:eastAsia="宋体" w:cs="Times New Roman"/>
                <w:b/>
                <w:caps w:val="0"/>
                <w:color w:val="000000"/>
                <w:sz w:val="24"/>
                <w:szCs w:val="24"/>
                <w:u w:val="none" w:color="auto"/>
              </w:rPr>
            </w:pPr>
            <w:r>
              <w:rPr>
                <w:rFonts w:hint="default" w:ascii="Times New Roman" w:hAnsi="Times New Roman" w:eastAsia="宋体" w:cs="Times New Roman"/>
                <w:b/>
                <w:caps w:val="0"/>
                <w:color w:val="000000"/>
                <w:sz w:val="24"/>
                <w:szCs w:val="24"/>
                <w:u w:val="none" w:color="auto"/>
              </w:rPr>
              <w:t>生活污水</w:t>
            </w:r>
            <w:r>
              <w:rPr>
                <w:rFonts w:hint="eastAsia" w:cs="Times New Roman"/>
                <w:b/>
                <w:caps w:val="0"/>
                <w:color w:val="000000"/>
                <w:sz w:val="24"/>
                <w:szCs w:val="24"/>
                <w:u w:val="none" w:color="auto"/>
                <w:lang w:val="en-US" w:eastAsia="zh-CN"/>
              </w:rPr>
              <w:t>产污</w:t>
            </w:r>
            <w:r>
              <w:rPr>
                <w:rFonts w:hint="default" w:ascii="Times New Roman" w:hAnsi="Times New Roman" w:eastAsia="宋体" w:cs="Times New Roman"/>
                <w:b/>
                <w:caps w:val="0"/>
                <w:color w:val="000000"/>
                <w:sz w:val="24"/>
                <w:szCs w:val="24"/>
                <w:u w:val="none" w:color="auto"/>
              </w:rPr>
              <w:t>情况</w:t>
            </w:r>
            <w:r>
              <w:rPr>
                <w:rFonts w:hint="eastAsia" w:cs="Times New Roman"/>
                <w:b/>
                <w:caps w:val="0"/>
                <w:color w:val="000000"/>
                <w:sz w:val="24"/>
                <w:szCs w:val="24"/>
                <w:u w:val="none" w:color="auto"/>
                <w:lang w:val="en-US" w:eastAsia="zh-CN"/>
              </w:rPr>
              <w:t>表</w:t>
            </w:r>
          </w:p>
          <w:tbl>
            <w:tblPr>
              <w:tblStyle w:val="24"/>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58"/>
              <w:gridCol w:w="1867"/>
              <w:gridCol w:w="991"/>
              <w:gridCol w:w="980"/>
              <w:gridCol w:w="980"/>
              <w:gridCol w:w="1013"/>
              <w:gridCol w:w="1309"/>
            </w:tblGrid>
            <w:tr w14:paraId="4D02C83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 w:hRule="atLeast"/>
                <w:jc w:val="center"/>
              </w:trPr>
              <w:tc>
                <w:tcPr>
                  <w:tcW w:w="1860" w:type="pct"/>
                  <w:gridSpan w:val="2"/>
                  <w:vAlign w:val="center"/>
                </w:tcPr>
                <w:p w14:paraId="7D81317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污染物</w:t>
                  </w:r>
                </w:p>
              </w:tc>
              <w:tc>
                <w:tcPr>
                  <w:tcW w:w="590" w:type="pct"/>
                  <w:vAlign w:val="center"/>
                </w:tcPr>
                <w:p w14:paraId="439D4D8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COD</w:t>
                  </w:r>
                  <w:r>
                    <w:rPr>
                      <w:rFonts w:hint="default" w:ascii="Times New Roman" w:hAnsi="Times New Roman" w:eastAsia="宋体" w:cs="Times New Roman"/>
                      <w:b/>
                      <w:bCs/>
                      <w:caps w:val="0"/>
                      <w:color w:val="000000"/>
                      <w:kern w:val="0"/>
                      <w:sz w:val="21"/>
                      <w:szCs w:val="21"/>
                      <w:u w:val="none" w:color="auto"/>
                      <w:vertAlign w:val="subscript"/>
                      <w:lang w:val="en-US" w:eastAsia="zh-CN" w:bidi="ar-SA"/>
                    </w:rPr>
                    <w:t>cr</w:t>
                  </w:r>
                </w:p>
              </w:tc>
              <w:tc>
                <w:tcPr>
                  <w:tcW w:w="583" w:type="pct"/>
                  <w:vAlign w:val="center"/>
                </w:tcPr>
                <w:p w14:paraId="61299C6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BOD</w:t>
                  </w:r>
                  <w:r>
                    <w:rPr>
                      <w:rFonts w:hint="default" w:ascii="Times New Roman" w:hAnsi="Times New Roman" w:eastAsia="宋体" w:cs="Times New Roman"/>
                      <w:b/>
                      <w:bCs/>
                      <w:caps w:val="0"/>
                      <w:color w:val="000000"/>
                      <w:kern w:val="0"/>
                      <w:sz w:val="21"/>
                      <w:szCs w:val="21"/>
                      <w:u w:val="none" w:color="auto"/>
                      <w:vertAlign w:val="subscript"/>
                      <w:lang w:val="en-US" w:eastAsia="zh-CN" w:bidi="ar-SA"/>
                    </w:rPr>
                    <w:t>5</w:t>
                  </w:r>
                </w:p>
              </w:tc>
              <w:tc>
                <w:tcPr>
                  <w:tcW w:w="583" w:type="pct"/>
                  <w:vAlign w:val="center"/>
                </w:tcPr>
                <w:p w14:paraId="4823F45A">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SS</w:t>
                  </w:r>
                </w:p>
              </w:tc>
              <w:tc>
                <w:tcPr>
                  <w:tcW w:w="603" w:type="pct"/>
                  <w:vAlign w:val="center"/>
                </w:tcPr>
                <w:p w14:paraId="4D10B2B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NH</w:t>
                  </w:r>
                  <w:r>
                    <w:rPr>
                      <w:rFonts w:hint="default" w:ascii="Times New Roman" w:hAnsi="Times New Roman" w:eastAsia="宋体" w:cs="Times New Roman"/>
                      <w:b/>
                      <w:bCs/>
                      <w:caps w:val="0"/>
                      <w:color w:val="000000"/>
                      <w:kern w:val="0"/>
                      <w:sz w:val="21"/>
                      <w:szCs w:val="21"/>
                      <w:u w:val="none" w:color="auto"/>
                      <w:vertAlign w:val="subscript"/>
                      <w:lang w:val="en-US" w:eastAsia="zh-CN" w:bidi="ar-SA"/>
                    </w:rPr>
                    <w:t>3</w:t>
                  </w:r>
                  <w:r>
                    <w:rPr>
                      <w:rFonts w:hint="default" w:ascii="Times New Roman" w:hAnsi="Times New Roman" w:eastAsia="宋体" w:cs="Times New Roman"/>
                      <w:b/>
                      <w:bCs/>
                      <w:caps w:val="0"/>
                      <w:color w:val="000000"/>
                      <w:kern w:val="0"/>
                      <w:sz w:val="21"/>
                      <w:szCs w:val="21"/>
                      <w:u w:val="none" w:color="auto"/>
                      <w:lang w:val="en-US" w:eastAsia="zh-CN" w:bidi="ar-SA"/>
                    </w:rPr>
                    <w:t>-N</w:t>
                  </w:r>
                </w:p>
              </w:tc>
              <w:tc>
                <w:tcPr>
                  <w:tcW w:w="779" w:type="pct"/>
                  <w:vAlign w:val="center"/>
                </w:tcPr>
                <w:p w14:paraId="3D52E0B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动植物油</w:t>
                  </w:r>
                </w:p>
              </w:tc>
            </w:tr>
            <w:tr w14:paraId="11A36A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2" w:hRule="atLeast"/>
                <w:jc w:val="center"/>
              </w:trPr>
              <w:tc>
                <w:tcPr>
                  <w:tcW w:w="749" w:type="pct"/>
                  <w:vMerge w:val="restart"/>
                  <w:vAlign w:val="center"/>
                </w:tcPr>
                <w:p w14:paraId="555A4A1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cs="Times New Roman"/>
                      <w:caps w:val="0"/>
                      <w:color w:val="000000"/>
                      <w:kern w:val="0"/>
                      <w:sz w:val="21"/>
                      <w:szCs w:val="21"/>
                      <w:highlight w:val="none"/>
                      <w:u w:val="none" w:color="auto"/>
                      <w:lang w:val="en-US" w:eastAsia="zh-CN" w:bidi="ar-SA"/>
                    </w:rPr>
                    <w:t>2465</w:t>
                  </w:r>
                  <w:r>
                    <w:rPr>
                      <w:rFonts w:hint="default" w:ascii="Times New Roman" w:hAnsi="Times New Roman" w:eastAsia="宋体" w:cs="Times New Roman"/>
                      <w:caps w:val="0"/>
                      <w:color w:val="000000"/>
                      <w:kern w:val="0"/>
                      <w:sz w:val="21"/>
                      <w:szCs w:val="21"/>
                      <w:highlight w:val="none"/>
                      <w:u w:val="none" w:color="auto"/>
                      <w:lang w:val="en-US" w:eastAsia="zh-CN" w:bidi="ar-SA"/>
                    </w:rPr>
                    <w:t>m</w:t>
                  </w:r>
                  <w:r>
                    <w:rPr>
                      <w:rFonts w:hint="default" w:ascii="Times New Roman" w:hAnsi="Times New Roman" w:eastAsia="宋体" w:cs="Times New Roman"/>
                      <w:caps w:val="0"/>
                      <w:color w:val="000000"/>
                      <w:kern w:val="0"/>
                      <w:sz w:val="21"/>
                      <w:szCs w:val="21"/>
                      <w:highlight w:val="none"/>
                      <w:u w:val="none" w:color="auto"/>
                      <w:vertAlign w:val="superscript"/>
                      <w:lang w:val="en-US" w:eastAsia="zh-CN" w:bidi="ar-SA"/>
                    </w:rPr>
                    <w:t>3</w:t>
                  </w:r>
                  <w:r>
                    <w:rPr>
                      <w:rFonts w:hint="default" w:ascii="Times New Roman" w:hAnsi="Times New Roman" w:eastAsia="宋体" w:cs="Times New Roman"/>
                      <w:caps w:val="0"/>
                      <w:color w:val="000000"/>
                      <w:kern w:val="0"/>
                      <w:sz w:val="21"/>
                      <w:szCs w:val="21"/>
                      <w:highlight w:val="none"/>
                      <w:u w:val="none" w:color="auto"/>
                      <w:lang w:val="en-US" w:eastAsia="zh-CN" w:bidi="ar-SA"/>
                    </w:rPr>
                    <w:t>/a</w:t>
                  </w:r>
                </w:p>
              </w:tc>
              <w:tc>
                <w:tcPr>
                  <w:tcW w:w="1110" w:type="pct"/>
                  <w:vAlign w:val="center"/>
                </w:tcPr>
                <w:p w14:paraId="75A15E5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浓度（mg/L）</w:t>
                  </w:r>
                </w:p>
              </w:tc>
              <w:tc>
                <w:tcPr>
                  <w:tcW w:w="590" w:type="pct"/>
                  <w:vAlign w:val="center"/>
                </w:tcPr>
                <w:p w14:paraId="1DD8D34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350</w:t>
                  </w:r>
                </w:p>
              </w:tc>
              <w:tc>
                <w:tcPr>
                  <w:tcW w:w="583" w:type="pct"/>
                  <w:vAlign w:val="center"/>
                </w:tcPr>
                <w:p w14:paraId="7E9775B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250</w:t>
                  </w:r>
                </w:p>
              </w:tc>
              <w:tc>
                <w:tcPr>
                  <w:tcW w:w="583" w:type="pct"/>
                  <w:vAlign w:val="center"/>
                </w:tcPr>
                <w:p w14:paraId="4865F5D3">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200</w:t>
                  </w:r>
                </w:p>
              </w:tc>
              <w:tc>
                <w:tcPr>
                  <w:tcW w:w="603" w:type="pct"/>
                  <w:vAlign w:val="center"/>
                </w:tcPr>
                <w:p w14:paraId="26E2FA2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ascii="Times New Roman" w:hAnsi="Times New Roman" w:eastAsia="宋体" w:cs="Times New Roman"/>
                      <w:caps w:val="0"/>
                      <w:color w:val="000000"/>
                      <w:kern w:val="0"/>
                      <w:sz w:val="21"/>
                      <w:szCs w:val="21"/>
                      <w:u w:val="none" w:color="auto"/>
                      <w:lang w:val="en-US" w:eastAsia="zh-CN" w:bidi="ar-SA"/>
                    </w:rPr>
                    <w:t>25</w:t>
                  </w:r>
                </w:p>
              </w:tc>
              <w:tc>
                <w:tcPr>
                  <w:tcW w:w="779" w:type="pct"/>
                  <w:vAlign w:val="center"/>
                </w:tcPr>
                <w:p w14:paraId="3D92ECB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ascii="Times New Roman" w:hAnsi="Times New Roman" w:eastAsia="宋体" w:cs="Times New Roman"/>
                      <w:caps w:val="0"/>
                      <w:color w:val="000000"/>
                      <w:kern w:val="0"/>
                      <w:sz w:val="21"/>
                      <w:szCs w:val="21"/>
                      <w:u w:val="none" w:color="auto"/>
                      <w:lang w:val="en-US" w:eastAsia="zh-CN" w:bidi="ar-SA"/>
                    </w:rPr>
                    <w:t>50</w:t>
                  </w:r>
                </w:p>
              </w:tc>
            </w:tr>
            <w:tr w14:paraId="346DF8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 w:hRule="atLeast"/>
                <w:jc w:val="center"/>
              </w:trPr>
              <w:tc>
                <w:tcPr>
                  <w:tcW w:w="749" w:type="pct"/>
                  <w:vMerge w:val="continue"/>
                  <w:vAlign w:val="center"/>
                </w:tcPr>
                <w:p w14:paraId="71EF372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1110" w:type="pct"/>
                  <w:vAlign w:val="center"/>
                </w:tcPr>
                <w:p w14:paraId="221322B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产生量（t/a）</w:t>
                  </w:r>
                </w:p>
              </w:tc>
              <w:tc>
                <w:tcPr>
                  <w:tcW w:w="590" w:type="pct"/>
                  <w:vAlign w:val="center"/>
                </w:tcPr>
                <w:p w14:paraId="6B5AD59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0.863</w:t>
                  </w:r>
                </w:p>
              </w:tc>
              <w:tc>
                <w:tcPr>
                  <w:tcW w:w="583" w:type="pct"/>
                  <w:vAlign w:val="center"/>
                </w:tcPr>
                <w:p w14:paraId="461BE2C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0.616</w:t>
                  </w:r>
                </w:p>
              </w:tc>
              <w:tc>
                <w:tcPr>
                  <w:tcW w:w="583" w:type="pct"/>
                  <w:vAlign w:val="center"/>
                </w:tcPr>
                <w:p w14:paraId="7C2DF7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0.493</w:t>
                  </w:r>
                </w:p>
              </w:tc>
              <w:tc>
                <w:tcPr>
                  <w:tcW w:w="603" w:type="pct"/>
                  <w:vAlign w:val="center"/>
                </w:tcPr>
                <w:p w14:paraId="2AD978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0.062</w:t>
                  </w:r>
                </w:p>
              </w:tc>
              <w:tc>
                <w:tcPr>
                  <w:tcW w:w="779" w:type="pct"/>
                  <w:vAlign w:val="center"/>
                </w:tcPr>
                <w:p w14:paraId="5490E2E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0.123</w:t>
                  </w:r>
                </w:p>
              </w:tc>
            </w:tr>
          </w:tbl>
          <w:p w14:paraId="2D003128">
            <w:pPr>
              <w:pStyle w:val="11"/>
              <w:keepNext w:val="0"/>
              <w:keepLines w:val="0"/>
              <w:pageBreakBefore w:val="0"/>
              <w:widowControl/>
              <w:numPr>
                <w:ilvl w:val="0"/>
                <w:numId w:val="21"/>
              </w:numPr>
              <w:suppressLineNumbers w:val="0"/>
              <w:kinsoku/>
              <w:wordWrap/>
              <w:overflowPunct/>
              <w:topLinePunct w:val="0"/>
              <w:autoSpaceDE/>
              <w:autoSpaceDN/>
              <w:bidi w:val="0"/>
              <w:adjustRightInd/>
              <w:snapToGrid/>
              <w:spacing w:before="157" w:beforeLines="50" w:beforeAutospacing="0" w:after="0" w:afterAutospacing="0"/>
              <w:ind w:left="0" w:leftChars="0" w:firstLine="480" w:firstLineChars="200"/>
              <w:textAlignment w:val="auto"/>
              <w:rPr>
                <w:rFonts w:hint="default"/>
              </w:rPr>
            </w:pPr>
            <w:r>
              <w:rPr>
                <w:rFonts w:hint="eastAsia"/>
                <w:sz w:val="24"/>
                <w:u w:val="none"/>
                <w:lang w:val="en-US" w:eastAsia="zh-CN"/>
              </w:rPr>
              <w:t>总排口外排综合废水</w:t>
            </w:r>
          </w:p>
          <w:p w14:paraId="4ED10EDA">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aps w:val="0"/>
                <w:color w:val="000000"/>
                <w:sz w:val="24"/>
                <w:u w:val="none" w:color="auto"/>
                <w:lang w:eastAsia="zh-CN"/>
              </w:rPr>
            </w:pPr>
            <w:r>
              <w:rPr>
                <w:rFonts w:hint="default" w:ascii="Times New Roman" w:hAnsi="Times New Roman" w:cs="Times New Roman"/>
                <w:caps w:val="0"/>
                <w:color w:val="000000"/>
                <w:sz w:val="24"/>
                <w:u w:val="none" w:color="auto"/>
              </w:rPr>
              <w:t>根据调查，项目所在地市政污水管网已铺设完善，本项目</w:t>
            </w:r>
            <w:r>
              <w:rPr>
                <w:rFonts w:hint="eastAsia" w:ascii="Times New Roman" w:hAnsi="Times New Roman" w:cs="Times New Roman"/>
                <w:caps w:val="0"/>
                <w:color w:val="000000"/>
                <w:sz w:val="24"/>
                <w:u w:val="none" w:color="auto"/>
              </w:rPr>
              <w:t>生产</w:t>
            </w:r>
            <w:r>
              <w:rPr>
                <w:rFonts w:hint="default" w:ascii="Times New Roman" w:hAnsi="Times New Roman" w:cs="Times New Roman"/>
                <w:caps w:val="0"/>
                <w:color w:val="000000"/>
                <w:sz w:val="24"/>
                <w:u w:val="none" w:color="auto"/>
              </w:rPr>
              <w:t>废水经自建沉淀池</w:t>
            </w:r>
            <w:r>
              <w:rPr>
                <w:rFonts w:hint="eastAsia" w:ascii="Times New Roman" w:hAnsi="Times New Roman" w:cs="Times New Roman"/>
                <w:caps w:val="0"/>
                <w:color w:val="000000"/>
                <w:sz w:val="24"/>
                <w:u w:val="none" w:color="auto"/>
                <w:lang w:val="en-US" w:eastAsia="zh-CN"/>
              </w:rPr>
              <w:t>预处理后与经厂区化粪池预处理后的生活污水一同排入园区污水管网，进入君山区第二污水处理厂预处理中心进行处理，本项目排放的综合废水</w:t>
            </w:r>
            <w:r>
              <w:rPr>
                <w:rFonts w:hint="default" w:ascii="Times New Roman" w:hAnsi="Times New Roman" w:cs="Times New Roman"/>
                <w:caps w:val="0"/>
                <w:color w:val="000000"/>
                <w:sz w:val="24"/>
                <w:u w:val="none" w:color="auto"/>
              </w:rPr>
              <w:t>可满足君山区第二污水处理厂预处理中心接管标准</w:t>
            </w:r>
            <w:r>
              <w:rPr>
                <w:rFonts w:hint="eastAsia" w:ascii="Times New Roman" w:hAnsi="Times New Roman" w:cs="Times New Roman"/>
                <w:caps w:val="0"/>
                <w:color w:val="000000"/>
                <w:sz w:val="24"/>
                <w:u w:val="none" w:color="auto"/>
              </w:rPr>
              <w:t>（第二污水处理厂预处理中心接纳标准：COD：3500mg/L，</w:t>
            </w:r>
            <w:r>
              <w:rPr>
                <w:rFonts w:hint="eastAsia" w:ascii="Times New Roman" w:hAnsi="Times New Roman" w:cs="Times New Roman"/>
                <w:caps w:val="0"/>
                <w:color w:val="000000"/>
                <w:sz w:val="24"/>
                <w:u w:val="none" w:color="auto"/>
                <w:lang w:val="en-US" w:eastAsia="zh-CN"/>
              </w:rPr>
              <w:t>B</w:t>
            </w:r>
            <w:r>
              <w:rPr>
                <w:rFonts w:hint="eastAsia" w:ascii="Times New Roman" w:hAnsi="Times New Roman" w:cs="Times New Roman"/>
                <w:caps w:val="0"/>
                <w:color w:val="000000"/>
                <w:sz w:val="24"/>
                <w:u w:val="none" w:color="auto"/>
              </w:rPr>
              <w:t>OD：</w:t>
            </w:r>
            <w:r>
              <w:rPr>
                <w:rFonts w:hint="eastAsia" w:ascii="Times New Roman" w:hAnsi="Times New Roman" w:cs="Times New Roman"/>
                <w:caps w:val="0"/>
                <w:color w:val="000000"/>
                <w:sz w:val="24"/>
                <w:u w:val="none" w:color="auto"/>
                <w:lang w:val="en-US" w:eastAsia="zh-CN"/>
              </w:rPr>
              <w:t>15</w:t>
            </w:r>
            <w:r>
              <w:rPr>
                <w:rFonts w:hint="eastAsia" w:ascii="Times New Roman" w:hAnsi="Times New Roman" w:cs="Times New Roman"/>
                <w:caps w:val="0"/>
                <w:color w:val="000000"/>
                <w:sz w:val="24"/>
                <w:u w:val="none" w:color="auto"/>
              </w:rPr>
              <w:t>00mg/L，</w:t>
            </w:r>
            <w:r>
              <w:rPr>
                <w:rFonts w:hint="eastAsia" w:ascii="Times New Roman" w:hAnsi="Times New Roman" w:cs="Times New Roman"/>
                <w:caps w:val="0"/>
                <w:color w:val="000000"/>
                <w:sz w:val="24"/>
                <w:u w:val="none" w:color="auto"/>
                <w:lang w:val="en-US" w:eastAsia="zh-CN"/>
              </w:rPr>
              <w:t>SS：400</w:t>
            </w:r>
            <w:r>
              <w:rPr>
                <w:rFonts w:hint="eastAsia" w:ascii="Times New Roman" w:hAnsi="Times New Roman" w:cs="Times New Roman"/>
                <w:caps w:val="0"/>
                <w:color w:val="000000"/>
                <w:sz w:val="24"/>
                <w:u w:val="none" w:color="auto"/>
              </w:rPr>
              <w:t>mg/L，NH</w:t>
            </w:r>
            <w:r>
              <w:rPr>
                <w:rFonts w:hint="eastAsia" w:ascii="Times New Roman" w:hAnsi="Times New Roman" w:cs="Times New Roman"/>
                <w:caps w:val="0"/>
                <w:color w:val="000000"/>
                <w:sz w:val="24"/>
                <w:u w:val="none" w:color="auto"/>
                <w:vertAlign w:val="subscript"/>
              </w:rPr>
              <w:t>3</w:t>
            </w:r>
            <w:r>
              <w:rPr>
                <w:rFonts w:hint="eastAsia" w:ascii="Times New Roman" w:hAnsi="Times New Roman" w:cs="Times New Roman"/>
                <w:caps w:val="0"/>
                <w:color w:val="000000"/>
                <w:sz w:val="24"/>
                <w:u w:val="none" w:color="auto"/>
              </w:rPr>
              <w:t>-N：120mg/L</w:t>
            </w:r>
            <w:r>
              <w:rPr>
                <w:rFonts w:hint="eastAsia" w:ascii="Times New Roman" w:hAnsi="Times New Roman" w:cs="Times New Roman"/>
                <w:caps w:val="0"/>
                <w:color w:val="000000"/>
                <w:sz w:val="24"/>
                <w:u w:val="none" w:color="auto"/>
                <w:lang w:eastAsia="zh-CN"/>
              </w:rPr>
              <w:t>，</w:t>
            </w:r>
            <w:r>
              <w:rPr>
                <w:rFonts w:hint="eastAsia" w:ascii="Times New Roman" w:hAnsi="Times New Roman" w:cs="Times New Roman"/>
                <w:caps w:val="0"/>
                <w:color w:val="000000"/>
                <w:sz w:val="24"/>
                <w:u w:val="none" w:color="auto"/>
              </w:rPr>
              <w:t>TN：200mg/L，</w:t>
            </w:r>
            <w:r>
              <w:rPr>
                <w:rFonts w:hint="eastAsia" w:ascii="Times New Roman" w:hAnsi="Times New Roman" w:cs="Times New Roman"/>
                <w:caps w:val="0"/>
                <w:color w:val="000000"/>
                <w:sz w:val="24"/>
                <w:u w:val="none" w:color="auto"/>
                <w:lang w:eastAsia="zh-CN"/>
              </w:rPr>
              <w:t>动植物油：</w:t>
            </w:r>
            <w:r>
              <w:rPr>
                <w:rFonts w:hint="eastAsia" w:ascii="Times New Roman" w:hAnsi="Times New Roman" w:cs="Times New Roman"/>
                <w:caps w:val="0"/>
                <w:color w:val="000000"/>
                <w:sz w:val="24"/>
                <w:u w:val="none" w:color="auto"/>
                <w:lang w:val="en-US" w:eastAsia="zh-CN"/>
              </w:rPr>
              <w:t>100</w:t>
            </w:r>
            <w:r>
              <w:rPr>
                <w:rFonts w:hint="eastAsia" w:ascii="Times New Roman" w:hAnsi="Times New Roman" w:cs="Times New Roman"/>
                <w:caps w:val="0"/>
                <w:color w:val="000000"/>
                <w:sz w:val="24"/>
                <w:u w:val="none" w:color="auto"/>
              </w:rPr>
              <w:t>mg/L）。</w:t>
            </w:r>
          </w:p>
          <w:p w14:paraId="49D56C46">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default" w:ascii="Times New Roman" w:hAnsi="Times New Roman" w:eastAsia="宋体" w:cs="Times New Roman"/>
                <w:caps w:val="0"/>
                <w:color w:val="000000"/>
                <w:kern w:val="2"/>
                <w:sz w:val="24"/>
                <w:szCs w:val="24"/>
                <w:u w:val="none" w:color="auto"/>
                <w:lang w:val="en-US" w:eastAsia="zh-CN" w:bidi="ar-SA"/>
              </w:rPr>
            </w:pPr>
            <w:r>
              <w:rPr>
                <w:rFonts w:hint="eastAsia" w:ascii="Times New Roman" w:hAnsi="Times New Roman" w:cs="Times New Roman"/>
                <w:caps w:val="0"/>
                <w:color w:val="000000"/>
                <w:kern w:val="2"/>
                <w:sz w:val="24"/>
                <w:szCs w:val="24"/>
                <w:u w:val="none" w:color="auto"/>
                <w:lang w:val="en-US" w:eastAsia="zh-CN" w:bidi="ar-SA"/>
              </w:rPr>
              <w:t>根据建设方提供资料，</w:t>
            </w:r>
            <w:r>
              <w:rPr>
                <w:rFonts w:hint="default" w:ascii="Times New Roman" w:hAnsi="Times New Roman" w:eastAsia="宋体" w:cs="Times New Roman"/>
                <w:caps w:val="0"/>
                <w:color w:val="000000"/>
                <w:kern w:val="2"/>
                <w:sz w:val="24"/>
                <w:szCs w:val="24"/>
                <w:u w:val="none" w:color="auto"/>
                <w:lang w:val="en-US" w:eastAsia="zh-CN" w:bidi="ar-SA"/>
              </w:rPr>
              <w:t>本项目</w:t>
            </w:r>
            <w:r>
              <w:rPr>
                <w:rFonts w:hint="eastAsia" w:ascii="Times New Roman" w:hAnsi="Times New Roman" w:eastAsia="宋体" w:cs="Times New Roman"/>
                <w:caps w:val="0"/>
                <w:color w:val="000000"/>
                <w:kern w:val="2"/>
                <w:sz w:val="24"/>
                <w:szCs w:val="24"/>
                <w:u w:val="none" w:color="auto"/>
                <w:lang w:val="en-US" w:eastAsia="zh-CN" w:bidi="ar-SA"/>
              </w:rPr>
              <w:t>生产废水</w:t>
            </w:r>
            <w:r>
              <w:rPr>
                <w:rFonts w:hint="default" w:ascii="Times New Roman" w:hAnsi="Times New Roman" w:eastAsia="宋体" w:cs="Times New Roman"/>
                <w:caps w:val="0"/>
                <w:color w:val="000000"/>
                <w:kern w:val="2"/>
                <w:sz w:val="24"/>
                <w:szCs w:val="24"/>
                <w:u w:val="none" w:color="auto"/>
                <w:lang w:val="en-US" w:eastAsia="zh-CN" w:bidi="ar-SA"/>
              </w:rPr>
              <w:t>采用</w:t>
            </w:r>
            <w:r>
              <w:rPr>
                <w:rFonts w:hint="eastAsia" w:ascii="Times New Roman" w:hAnsi="Times New Roman" w:eastAsia="宋体" w:cs="Times New Roman"/>
                <w:caps w:val="0"/>
                <w:color w:val="000000"/>
                <w:kern w:val="2"/>
                <w:sz w:val="24"/>
                <w:szCs w:val="24"/>
                <w:u w:val="none" w:color="auto"/>
                <w:lang w:val="en-US" w:eastAsia="zh-CN" w:bidi="ar-SA"/>
              </w:rPr>
              <w:t>沉淀池</w:t>
            </w:r>
            <w:r>
              <w:rPr>
                <w:rFonts w:hint="eastAsia" w:ascii="Times New Roman" w:hAnsi="Times New Roman" w:cs="Times New Roman"/>
                <w:caps w:val="0"/>
                <w:color w:val="000000"/>
                <w:kern w:val="2"/>
                <w:sz w:val="24"/>
                <w:szCs w:val="24"/>
                <w:u w:val="none" w:color="auto"/>
                <w:lang w:val="en-US" w:eastAsia="zh-CN" w:bidi="ar-SA"/>
              </w:rPr>
              <w:t>以及人工打捞的</w:t>
            </w:r>
            <w:r>
              <w:rPr>
                <w:rFonts w:hint="default" w:ascii="Times New Roman" w:hAnsi="Times New Roman" w:eastAsia="宋体" w:cs="Times New Roman"/>
                <w:caps w:val="0"/>
                <w:color w:val="000000"/>
                <w:kern w:val="2"/>
                <w:sz w:val="24"/>
                <w:szCs w:val="24"/>
                <w:u w:val="none" w:color="auto"/>
                <w:lang w:val="en-US" w:eastAsia="zh-CN" w:bidi="ar-SA"/>
              </w:rPr>
              <w:t>预处理工艺</w:t>
            </w:r>
            <w:r>
              <w:rPr>
                <w:rFonts w:hint="eastAsia" w:ascii="Times New Roman" w:hAnsi="Times New Roman" w:cs="Times New Roman"/>
                <w:caps w:val="0"/>
                <w:color w:val="000000"/>
                <w:kern w:val="2"/>
                <w:sz w:val="24"/>
                <w:szCs w:val="24"/>
                <w:u w:val="none" w:color="auto"/>
                <w:lang w:val="en-US" w:eastAsia="zh-CN" w:bidi="ar-SA"/>
              </w:rPr>
              <w:t>，</w:t>
            </w:r>
            <w:r>
              <w:rPr>
                <w:rFonts w:hint="default" w:ascii="Times New Roman" w:hAnsi="Times New Roman" w:eastAsia="宋体" w:cs="Times New Roman"/>
                <w:caps w:val="0"/>
                <w:color w:val="000000"/>
                <w:kern w:val="2"/>
                <w:sz w:val="24"/>
                <w:szCs w:val="24"/>
                <w:u w:val="none" w:color="auto"/>
                <w:lang w:val="en-US" w:eastAsia="zh-CN" w:bidi="ar-SA"/>
              </w:rPr>
              <w:t>对本项目</w:t>
            </w:r>
            <w:r>
              <w:rPr>
                <w:rFonts w:hint="eastAsia" w:ascii="Times New Roman" w:hAnsi="Times New Roman" w:eastAsia="宋体" w:cs="Times New Roman"/>
                <w:caps w:val="0"/>
                <w:color w:val="000000"/>
                <w:kern w:val="2"/>
                <w:sz w:val="24"/>
                <w:szCs w:val="24"/>
                <w:u w:val="none" w:color="auto"/>
                <w:lang w:val="en-US" w:eastAsia="zh-CN" w:bidi="ar-SA"/>
              </w:rPr>
              <w:t>生产</w:t>
            </w:r>
            <w:r>
              <w:rPr>
                <w:rFonts w:hint="default" w:ascii="Times New Roman" w:hAnsi="Times New Roman" w:eastAsia="宋体" w:cs="Times New Roman"/>
                <w:caps w:val="0"/>
                <w:color w:val="000000"/>
                <w:kern w:val="2"/>
                <w:sz w:val="24"/>
                <w:szCs w:val="24"/>
                <w:u w:val="none" w:color="auto"/>
                <w:lang w:val="en-US" w:eastAsia="zh-CN" w:bidi="ar-SA"/>
              </w:rPr>
              <w:t>废水中的</w:t>
            </w:r>
            <w:r>
              <w:rPr>
                <w:rFonts w:hint="eastAsia" w:ascii="Times New Roman" w:hAnsi="Times New Roman" w:eastAsia="宋体" w:cs="Times New Roman"/>
                <w:caps w:val="0"/>
                <w:color w:val="000000"/>
                <w:kern w:val="2"/>
                <w:sz w:val="24"/>
                <w:szCs w:val="24"/>
                <w:u w:val="none" w:color="auto"/>
                <w:lang w:val="en-US" w:eastAsia="zh-CN" w:bidi="ar-SA"/>
              </w:rPr>
              <w:t>COD、</w:t>
            </w:r>
            <w:r>
              <w:rPr>
                <w:rFonts w:hint="default" w:ascii="Times New Roman" w:hAnsi="Times New Roman" w:eastAsia="宋体" w:cs="Times New Roman"/>
                <w:caps w:val="0"/>
                <w:color w:val="000000"/>
                <w:kern w:val="2"/>
                <w:sz w:val="24"/>
                <w:szCs w:val="24"/>
                <w:u w:val="none" w:color="auto"/>
                <w:lang w:val="en-US" w:eastAsia="zh-CN" w:bidi="ar-SA"/>
              </w:rPr>
              <w:t>SS、动植物油具有较好的去除效率</w:t>
            </w:r>
            <w:r>
              <w:rPr>
                <w:rFonts w:hint="eastAsia" w:ascii="Times New Roman" w:hAnsi="Times New Roman" w:cs="Times New Roman"/>
                <w:caps w:val="0"/>
                <w:color w:val="000000"/>
                <w:kern w:val="2"/>
                <w:sz w:val="24"/>
                <w:szCs w:val="24"/>
                <w:u w:val="none" w:color="auto"/>
                <w:lang w:val="en-US" w:eastAsia="zh-CN" w:bidi="ar-SA"/>
              </w:rPr>
              <w:t>，</w:t>
            </w:r>
            <w:r>
              <w:rPr>
                <w:rFonts w:hint="eastAsia" w:ascii="Times New Roman" w:hAnsi="Times New Roman" w:eastAsia="宋体" w:cs="Times New Roman"/>
                <w:caps w:val="0"/>
                <w:color w:val="000000"/>
                <w:kern w:val="2"/>
                <w:sz w:val="24"/>
                <w:szCs w:val="24"/>
                <w:u w:val="none" w:color="auto"/>
                <w:lang w:val="en-US" w:eastAsia="zh-CN" w:bidi="ar-SA"/>
              </w:rPr>
              <w:t>本</w:t>
            </w:r>
            <w:r>
              <w:rPr>
                <w:rFonts w:hint="default" w:ascii="Times New Roman" w:hAnsi="Times New Roman" w:eastAsia="宋体" w:cs="Times New Roman"/>
                <w:caps w:val="0"/>
                <w:color w:val="000000"/>
                <w:kern w:val="2"/>
                <w:sz w:val="24"/>
                <w:szCs w:val="24"/>
                <w:u w:val="none" w:color="auto"/>
                <w:lang w:val="en-US" w:eastAsia="zh-CN" w:bidi="ar-SA"/>
              </w:rPr>
              <w:t>项目的废水主要是为</w:t>
            </w:r>
            <w:r>
              <w:rPr>
                <w:rFonts w:hint="default" w:ascii="Times New Roman" w:hAnsi="Times New Roman" w:eastAsia="宋体" w:cs="Times New Roman"/>
                <w:caps w:val="0"/>
                <w:color w:val="000000"/>
                <w:kern w:val="0"/>
                <w:sz w:val="24"/>
                <w:szCs w:val="24"/>
                <w:u w:val="none" w:color="auto"/>
                <w:lang w:val="en-US" w:eastAsia="zh-CN" w:bidi="ar-SA"/>
              </w:rPr>
              <w:t>生产废水</w:t>
            </w:r>
            <w:r>
              <w:rPr>
                <w:rFonts w:hint="eastAsia" w:cs="Times New Roman"/>
                <w:caps w:val="0"/>
                <w:color w:val="000000"/>
                <w:kern w:val="0"/>
                <w:sz w:val="24"/>
                <w:szCs w:val="24"/>
                <w:u w:val="none" w:color="auto"/>
                <w:lang w:val="en-US" w:eastAsia="zh-CN" w:bidi="ar-SA"/>
              </w:rPr>
              <w:t>66645.39</w:t>
            </w:r>
            <w:r>
              <w:rPr>
                <w:rFonts w:hint="default" w:ascii="Times New Roman" w:hAnsi="Times New Roman" w:eastAsia="宋体" w:cs="Times New Roman"/>
                <w:caps w:val="0"/>
                <w:color w:val="000000"/>
                <w:kern w:val="2"/>
                <w:sz w:val="24"/>
                <w:szCs w:val="24"/>
                <w:u w:val="none" w:color="auto"/>
                <w:lang w:val="en-US" w:eastAsia="zh-CN" w:bidi="ar-SA"/>
              </w:rPr>
              <w:t>t/a</w:t>
            </w:r>
            <w:r>
              <w:rPr>
                <w:rFonts w:hint="default" w:ascii="Times New Roman" w:hAnsi="Times New Roman" w:eastAsia="宋体" w:cs="Times New Roman"/>
                <w:caps w:val="0"/>
                <w:color w:val="000000"/>
                <w:kern w:val="0"/>
                <w:sz w:val="24"/>
                <w:szCs w:val="24"/>
                <w:u w:val="none" w:color="auto"/>
                <w:lang w:val="en-US" w:eastAsia="zh-CN" w:bidi="ar-SA"/>
              </w:rPr>
              <w:t>以及员工生活污水</w:t>
            </w:r>
            <w:r>
              <w:rPr>
                <w:rFonts w:hint="eastAsia" w:cs="Times New Roman"/>
                <w:caps w:val="0"/>
                <w:color w:val="000000"/>
                <w:kern w:val="0"/>
                <w:sz w:val="24"/>
                <w:szCs w:val="24"/>
                <w:u w:val="none" w:color="auto"/>
                <w:lang w:val="en-US" w:eastAsia="zh-CN" w:bidi="ar-SA"/>
              </w:rPr>
              <w:t>2465</w:t>
            </w:r>
            <w:r>
              <w:rPr>
                <w:rFonts w:hint="default" w:ascii="Times New Roman" w:hAnsi="Times New Roman" w:eastAsia="宋体" w:cs="Times New Roman"/>
                <w:caps w:val="0"/>
                <w:color w:val="000000"/>
                <w:kern w:val="2"/>
                <w:sz w:val="24"/>
                <w:szCs w:val="24"/>
                <w:u w:val="none" w:color="auto"/>
                <w:lang w:val="en-US" w:eastAsia="zh-CN" w:bidi="ar-SA"/>
              </w:rPr>
              <w:t>t/a，废水总产生量为</w:t>
            </w:r>
            <w:r>
              <w:rPr>
                <w:rFonts w:hint="eastAsia" w:cs="Times New Roman"/>
                <w:caps w:val="0"/>
                <w:color w:val="000000"/>
                <w:kern w:val="2"/>
                <w:sz w:val="24"/>
                <w:szCs w:val="24"/>
                <w:u w:val="none" w:color="auto"/>
                <w:lang w:val="en-US" w:eastAsia="zh-CN" w:bidi="ar-SA"/>
              </w:rPr>
              <w:t>69110.39</w:t>
            </w:r>
            <w:r>
              <w:rPr>
                <w:rFonts w:hint="default" w:ascii="Times New Roman" w:hAnsi="Times New Roman" w:eastAsia="宋体" w:cs="Times New Roman"/>
                <w:bCs/>
                <w:caps w:val="0"/>
                <w:color w:val="000000"/>
                <w:kern w:val="2"/>
                <w:sz w:val="24"/>
                <w:szCs w:val="24"/>
                <w:u w:val="none" w:color="auto"/>
                <w:lang w:val="en-US" w:eastAsia="zh-CN" w:bidi="ar-SA"/>
              </w:rPr>
              <w:t>m</w:t>
            </w:r>
            <w:r>
              <w:rPr>
                <w:rFonts w:hint="default" w:ascii="Times New Roman" w:hAnsi="Times New Roman" w:eastAsia="宋体" w:cs="Times New Roman"/>
                <w:bCs/>
                <w:caps w:val="0"/>
                <w:color w:val="000000"/>
                <w:kern w:val="2"/>
                <w:sz w:val="24"/>
                <w:szCs w:val="24"/>
                <w:u w:val="none" w:color="auto"/>
                <w:vertAlign w:val="superscript"/>
                <w:lang w:val="en-US" w:eastAsia="zh-CN" w:bidi="ar-SA"/>
              </w:rPr>
              <w:t>3</w:t>
            </w:r>
            <w:r>
              <w:rPr>
                <w:rFonts w:hint="default" w:ascii="Times New Roman" w:hAnsi="Times New Roman" w:eastAsia="宋体" w:cs="Times New Roman"/>
                <w:bCs/>
                <w:caps w:val="0"/>
                <w:color w:val="000000"/>
                <w:kern w:val="2"/>
                <w:sz w:val="24"/>
                <w:szCs w:val="24"/>
                <w:u w:val="none" w:color="auto"/>
                <w:lang w:val="en-US" w:eastAsia="zh-CN" w:bidi="ar-SA"/>
              </w:rPr>
              <w:t>/a（</w:t>
            </w:r>
            <w:r>
              <w:rPr>
                <w:rFonts w:hint="default" w:ascii="Times New Roman" w:hAnsi="Times New Roman" w:eastAsia="宋体" w:cs="Times New Roman"/>
                <w:caps w:val="0"/>
                <w:color w:val="000000"/>
                <w:kern w:val="2"/>
                <w:sz w:val="24"/>
                <w:szCs w:val="24"/>
                <w:u w:val="none" w:color="auto"/>
                <w:lang w:val="en-US" w:eastAsia="zh-CN" w:bidi="ar-SA"/>
              </w:rPr>
              <w:t>主要的污染因子为CODcr、BOD</w:t>
            </w:r>
            <w:r>
              <w:rPr>
                <w:rFonts w:hint="default" w:ascii="Times New Roman" w:hAnsi="Times New Roman" w:eastAsia="宋体" w:cs="Times New Roman"/>
                <w:caps w:val="0"/>
                <w:color w:val="000000"/>
                <w:kern w:val="2"/>
                <w:sz w:val="24"/>
                <w:szCs w:val="24"/>
                <w:u w:val="none" w:color="auto"/>
                <w:vertAlign w:val="subscript"/>
                <w:lang w:val="en-US" w:eastAsia="zh-CN" w:bidi="ar-SA"/>
              </w:rPr>
              <w:t>5</w:t>
            </w:r>
            <w:r>
              <w:rPr>
                <w:rFonts w:hint="default" w:ascii="Times New Roman" w:hAnsi="Times New Roman" w:eastAsia="宋体" w:cs="Times New Roman"/>
                <w:caps w:val="0"/>
                <w:color w:val="000000"/>
                <w:kern w:val="2"/>
                <w:sz w:val="24"/>
                <w:szCs w:val="24"/>
                <w:u w:val="none" w:color="auto"/>
                <w:lang w:val="en-US" w:eastAsia="zh-CN" w:bidi="ar-SA"/>
              </w:rPr>
              <w:t>、SS、NH</w:t>
            </w:r>
            <w:r>
              <w:rPr>
                <w:rFonts w:hint="default" w:ascii="Times New Roman" w:hAnsi="Times New Roman" w:eastAsia="宋体" w:cs="Times New Roman"/>
                <w:caps w:val="0"/>
                <w:color w:val="000000"/>
                <w:kern w:val="2"/>
                <w:sz w:val="24"/>
                <w:szCs w:val="24"/>
                <w:u w:val="none" w:color="auto"/>
                <w:vertAlign w:val="subscript"/>
                <w:lang w:val="en-US" w:eastAsia="zh-CN" w:bidi="ar-SA"/>
              </w:rPr>
              <w:t>3</w:t>
            </w:r>
            <w:r>
              <w:rPr>
                <w:rFonts w:hint="default" w:ascii="Times New Roman" w:hAnsi="Times New Roman" w:eastAsia="宋体" w:cs="Times New Roman"/>
                <w:caps w:val="0"/>
                <w:color w:val="000000"/>
                <w:kern w:val="2"/>
                <w:sz w:val="24"/>
                <w:szCs w:val="24"/>
                <w:u w:val="none" w:color="auto"/>
                <w:lang w:val="en-US" w:eastAsia="zh-CN" w:bidi="ar-SA"/>
              </w:rPr>
              <w:t>-N、TN、动植物油</w:t>
            </w:r>
            <w:r>
              <w:rPr>
                <w:rFonts w:hint="eastAsia" w:ascii="Times New Roman" w:hAnsi="Times New Roman" w:cs="Times New Roman"/>
                <w:caps w:val="0"/>
                <w:color w:val="000000"/>
                <w:kern w:val="2"/>
                <w:sz w:val="24"/>
                <w:szCs w:val="24"/>
                <w:u w:val="none" w:color="auto"/>
                <w:lang w:val="en-US" w:eastAsia="zh-CN" w:bidi="ar-SA"/>
              </w:rPr>
              <w:t>）</w:t>
            </w:r>
            <w:r>
              <w:rPr>
                <w:rFonts w:hint="default" w:ascii="Times New Roman" w:hAnsi="Times New Roman" w:eastAsia="宋体" w:cs="Times New Roman"/>
                <w:caps w:val="0"/>
                <w:color w:val="000000"/>
                <w:kern w:val="2"/>
                <w:sz w:val="24"/>
                <w:szCs w:val="24"/>
                <w:u w:val="none" w:color="auto"/>
                <w:lang w:val="en-US" w:eastAsia="zh-CN" w:bidi="ar-SA"/>
              </w:rPr>
              <w:t>，本项目</w:t>
            </w:r>
            <w:r>
              <w:rPr>
                <w:rFonts w:hint="eastAsia" w:cs="Times New Roman"/>
                <w:caps w:val="0"/>
                <w:color w:val="000000"/>
                <w:kern w:val="2"/>
                <w:sz w:val="24"/>
                <w:szCs w:val="24"/>
                <w:u w:val="none" w:color="auto"/>
                <w:lang w:val="en-US" w:eastAsia="zh-CN" w:bidi="ar-SA"/>
              </w:rPr>
              <w:t>外排</w:t>
            </w:r>
            <w:r>
              <w:rPr>
                <w:rFonts w:hint="default" w:ascii="Times New Roman" w:hAnsi="Times New Roman" w:eastAsia="宋体" w:cs="Times New Roman"/>
                <w:caps w:val="0"/>
                <w:color w:val="000000"/>
                <w:kern w:val="2"/>
                <w:sz w:val="24"/>
                <w:szCs w:val="24"/>
                <w:u w:val="none" w:color="auto"/>
                <w:lang w:val="en-US" w:eastAsia="zh-CN" w:bidi="ar-SA"/>
              </w:rPr>
              <w:t>综合废水污染源产生排放情况见</w:t>
            </w:r>
            <w:r>
              <w:rPr>
                <w:rFonts w:hint="eastAsia" w:ascii="Times New Roman" w:hAnsi="Times New Roman" w:eastAsia="宋体" w:cs="Times New Roman"/>
                <w:caps w:val="0"/>
                <w:color w:val="000000"/>
                <w:kern w:val="2"/>
                <w:sz w:val="24"/>
                <w:szCs w:val="24"/>
                <w:u w:val="none" w:color="auto"/>
                <w:lang w:val="en-US" w:eastAsia="zh-CN" w:bidi="ar-SA"/>
              </w:rPr>
              <w:t>下</w:t>
            </w:r>
            <w:r>
              <w:rPr>
                <w:rFonts w:hint="default" w:ascii="Times New Roman" w:hAnsi="Times New Roman" w:eastAsia="宋体" w:cs="Times New Roman"/>
                <w:caps w:val="0"/>
                <w:color w:val="000000"/>
                <w:kern w:val="2"/>
                <w:sz w:val="24"/>
                <w:szCs w:val="24"/>
                <w:u w:val="none" w:color="auto"/>
                <w:lang w:val="en-US" w:eastAsia="zh-CN" w:bidi="ar-SA"/>
              </w:rPr>
              <w:t>表。</w:t>
            </w:r>
          </w:p>
          <w:p w14:paraId="3FCE59F5">
            <w:pPr>
              <w:pStyle w:val="33"/>
              <w:keepNext w:val="0"/>
              <w:keepLines w:val="0"/>
              <w:numPr>
                <w:ilvl w:val="0"/>
                <w:numId w:val="19"/>
              </w:numPr>
              <w:suppressLineNumbers w:val="0"/>
              <w:spacing w:before="0" w:beforeAutospacing="0" w:after="0" w:afterAutospacing="0"/>
              <w:ind w:right="0" w:firstLineChars="0"/>
              <w:jc w:val="center"/>
              <w:rPr>
                <w:rFonts w:hint="default" w:ascii="Times New Roman" w:hAnsi="Times New Roman" w:eastAsia="宋体" w:cs="Times New Roman"/>
                <w:b/>
                <w:caps w:val="0"/>
                <w:color w:val="000000"/>
                <w:kern w:val="2"/>
                <w:sz w:val="24"/>
                <w:szCs w:val="24"/>
                <w:u w:val="none" w:color="auto"/>
                <w:lang w:val="en-US" w:eastAsia="zh-CN" w:bidi="ar-SA"/>
              </w:rPr>
            </w:pPr>
            <w:r>
              <w:rPr>
                <w:rFonts w:hint="eastAsia" w:cs="Times New Roman"/>
                <w:b/>
                <w:caps w:val="0"/>
                <w:color w:val="000000"/>
                <w:kern w:val="2"/>
                <w:sz w:val="24"/>
                <w:szCs w:val="24"/>
                <w:u w:val="none" w:color="auto"/>
                <w:lang w:val="en-US" w:eastAsia="zh-CN" w:bidi="ar-SA"/>
              </w:rPr>
              <w:t>本项目</w:t>
            </w:r>
            <w:r>
              <w:rPr>
                <w:rFonts w:hint="default" w:ascii="Times New Roman" w:hAnsi="Times New Roman" w:eastAsia="宋体" w:cs="Times New Roman"/>
                <w:b/>
                <w:caps w:val="0"/>
                <w:color w:val="000000"/>
                <w:kern w:val="2"/>
                <w:sz w:val="24"/>
                <w:szCs w:val="24"/>
                <w:u w:val="none" w:color="auto"/>
                <w:lang w:val="en-US" w:eastAsia="zh-CN" w:bidi="ar-SA"/>
              </w:rPr>
              <w:t>运营期废水产排</w:t>
            </w:r>
            <w:r>
              <w:rPr>
                <w:rFonts w:hint="eastAsia" w:cs="Times New Roman"/>
                <w:b/>
                <w:caps w:val="0"/>
                <w:color w:val="000000"/>
                <w:kern w:val="2"/>
                <w:sz w:val="24"/>
                <w:szCs w:val="24"/>
                <w:u w:val="none" w:color="auto"/>
                <w:lang w:val="en-US" w:eastAsia="zh-CN" w:bidi="ar-SA"/>
              </w:rPr>
              <w:t>污</w:t>
            </w:r>
            <w:r>
              <w:rPr>
                <w:rFonts w:hint="default" w:ascii="Times New Roman" w:hAnsi="Times New Roman" w:eastAsia="宋体" w:cs="Times New Roman"/>
                <w:b/>
                <w:caps w:val="0"/>
                <w:color w:val="000000"/>
                <w:kern w:val="2"/>
                <w:sz w:val="24"/>
                <w:szCs w:val="24"/>
                <w:u w:val="none" w:color="auto"/>
                <w:lang w:val="en-US" w:eastAsia="zh-CN" w:bidi="ar-SA"/>
              </w:rPr>
              <w:t>情况一览表</w:t>
            </w:r>
          </w:p>
          <w:tbl>
            <w:tblPr>
              <w:tblStyle w:val="24"/>
              <w:tblW w:w="107225099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56"/>
              <w:gridCol w:w="956"/>
              <w:gridCol w:w="1016"/>
              <w:gridCol w:w="1016"/>
              <w:gridCol w:w="914"/>
              <w:gridCol w:w="1122"/>
              <w:gridCol w:w="914"/>
              <w:gridCol w:w="916"/>
            </w:tblGrid>
            <w:tr w14:paraId="28377F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493" w:type="pct"/>
                  <w:gridSpan w:val="2"/>
                  <w:tcBorders>
                    <w:tl2br w:val="nil"/>
                    <w:tr2bl w:val="nil"/>
                  </w:tcBorders>
                  <w:vAlign w:val="center"/>
                </w:tcPr>
                <w:p w14:paraId="29CDB5F7">
                  <w:pPr>
                    <w:keepNext w:val="0"/>
                    <w:keepLines w:val="0"/>
                    <w:widowControl/>
                    <w:suppressLineNumbers w:val="0"/>
                    <w:spacing w:before="0" w:beforeAutospacing="0" w:after="0" w:afterAutospacing="0"/>
                    <w:ind w:left="0" w:right="0"/>
                    <w:jc w:val="center"/>
                    <w:rPr>
                      <w:rFonts w:hint="default" w:ascii="Times New Roman" w:hAnsi="Times New Roman" w:cs="Times New Roman"/>
                      <w:b/>
                      <w:caps w:val="0"/>
                      <w:color w:val="000000"/>
                      <w:kern w:val="0"/>
                      <w:sz w:val="21"/>
                      <w:szCs w:val="21"/>
                      <w:u w:val="none" w:color="auto"/>
                    </w:rPr>
                  </w:pPr>
                  <w:r>
                    <w:rPr>
                      <w:rFonts w:hint="default" w:ascii="Times New Roman" w:hAnsi="Times New Roman" w:cs="Times New Roman"/>
                      <w:b/>
                      <w:caps w:val="0"/>
                      <w:color w:val="000000"/>
                      <w:kern w:val="0"/>
                      <w:sz w:val="21"/>
                      <w:szCs w:val="21"/>
                      <w:u w:val="none" w:color="auto"/>
                    </w:rPr>
                    <w:t>项目</w:t>
                  </w:r>
                </w:p>
              </w:tc>
              <w:tc>
                <w:tcPr>
                  <w:tcW w:w="604" w:type="pct"/>
                  <w:tcBorders>
                    <w:tl2br w:val="nil"/>
                    <w:tr2bl w:val="nil"/>
                  </w:tcBorders>
                  <w:noWrap/>
                  <w:vAlign w:val="center"/>
                </w:tcPr>
                <w:p w14:paraId="4BFD2F1B">
                  <w:pPr>
                    <w:keepNext w:val="0"/>
                    <w:keepLines w:val="0"/>
                    <w:widowControl/>
                    <w:suppressLineNumbers w:val="0"/>
                    <w:spacing w:before="0" w:beforeAutospacing="0" w:after="0" w:afterAutospacing="0"/>
                    <w:ind w:left="0" w:right="0"/>
                    <w:jc w:val="center"/>
                    <w:rPr>
                      <w:rFonts w:hint="default" w:ascii="Times New Roman" w:hAnsi="Times New Roman" w:cs="Times New Roman"/>
                      <w:b/>
                      <w:caps w:val="0"/>
                      <w:color w:val="000000"/>
                      <w:kern w:val="0"/>
                      <w:sz w:val="21"/>
                      <w:szCs w:val="21"/>
                      <w:u w:val="none" w:color="auto"/>
                    </w:rPr>
                  </w:pPr>
                  <w:r>
                    <w:rPr>
                      <w:rFonts w:hint="default" w:ascii="Times New Roman" w:hAnsi="Times New Roman" w:cs="Times New Roman"/>
                      <w:b/>
                      <w:caps w:val="0"/>
                      <w:color w:val="000000"/>
                      <w:kern w:val="0"/>
                      <w:sz w:val="21"/>
                      <w:szCs w:val="21"/>
                      <w:u w:val="none" w:color="auto"/>
                    </w:rPr>
                    <w:t>COD</w:t>
                  </w:r>
                </w:p>
              </w:tc>
              <w:tc>
                <w:tcPr>
                  <w:tcW w:w="604" w:type="pct"/>
                  <w:tcBorders>
                    <w:tl2br w:val="nil"/>
                    <w:tr2bl w:val="nil"/>
                  </w:tcBorders>
                  <w:noWrap/>
                  <w:vAlign w:val="center"/>
                </w:tcPr>
                <w:p w14:paraId="469C3BEB">
                  <w:pPr>
                    <w:keepNext w:val="0"/>
                    <w:keepLines w:val="0"/>
                    <w:widowControl/>
                    <w:suppressLineNumbers w:val="0"/>
                    <w:spacing w:before="0" w:beforeAutospacing="0" w:after="0" w:afterAutospacing="0"/>
                    <w:ind w:left="0" w:right="0"/>
                    <w:jc w:val="center"/>
                    <w:rPr>
                      <w:rFonts w:hint="default" w:ascii="Times New Roman" w:hAnsi="Times New Roman" w:cs="Times New Roman"/>
                      <w:b/>
                      <w:caps w:val="0"/>
                      <w:color w:val="000000"/>
                      <w:kern w:val="0"/>
                      <w:sz w:val="21"/>
                      <w:szCs w:val="21"/>
                      <w:u w:val="none" w:color="auto"/>
                    </w:rPr>
                  </w:pPr>
                  <w:r>
                    <w:rPr>
                      <w:rFonts w:hint="default" w:ascii="Times New Roman" w:hAnsi="Times New Roman" w:cs="Times New Roman"/>
                      <w:b/>
                      <w:caps w:val="0"/>
                      <w:color w:val="000000"/>
                      <w:kern w:val="0"/>
                      <w:sz w:val="21"/>
                      <w:szCs w:val="21"/>
                      <w:u w:val="none" w:color="auto"/>
                    </w:rPr>
                    <w:t>BOD</w:t>
                  </w:r>
                  <w:r>
                    <w:rPr>
                      <w:rFonts w:hint="default" w:ascii="Times New Roman" w:hAnsi="Times New Roman" w:cs="Times New Roman"/>
                      <w:b/>
                      <w:caps w:val="0"/>
                      <w:color w:val="000000"/>
                      <w:kern w:val="0"/>
                      <w:sz w:val="21"/>
                      <w:szCs w:val="21"/>
                      <w:u w:val="none" w:color="auto"/>
                      <w:vertAlign w:val="subscript"/>
                    </w:rPr>
                    <w:t>5</w:t>
                  </w:r>
                </w:p>
              </w:tc>
              <w:tc>
                <w:tcPr>
                  <w:tcW w:w="543" w:type="pct"/>
                  <w:tcBorders>
                    <w:tl2br w:val="nil"/>
                    <w:tr2bl w:val="nil"/>
                  </w:tcBorders>
                  <w:vAlign w:val="center"/>
                </w:tcPr>
                <w:p w14:paraId="11D51C28">
                  <w:pPr>
                    <w:keepNext w:val="0"/>
                    <w:keepLines w:val="0"/>
                    <w:widowControl/>
                    <w:suppressLineNumbers w:val="0"/>
                    <w:spacing w:before="0" w:beforeAutospacing="0" w:after="0" w:afterAutospacing="0"/>
                    <w:ind w:left="0" w:right="0"/>
                    <w:jc w:val="center"/>
                    <w:rPr>
                      <w:rFonts w:hint="default" w:ascii="Times New Roman" w:hAnsi="Times New Roman" w:cs="Times New Roman"/>
                      <w:b/>
                      <w:caps w:val="0"/>
                      <w:color w:val="000000"/>
                      <w:kern w:val="0"/>
                      <w:sz w:val="21"/>
                      <w:szCs w:val="21"/>
                      <w:u w:val="none" w:color="auto"/>
                    </w:rPr>
                  </w:pPr>
                  <w:r>
                    <w:rPr>
                      <w:rFonts w:hint="default" w:ascii="Times New Roman" w:hAnsi="Times New Roman" w:cs="Times New Roman"/>
                      <w:b/>
                      <w:caps w:val="0"/>
                      <w:color w:val="000000"/>
                      <w:kern w:val="0"/>
                      <w:sz w:val="21"/>
                      <w:szCs w:val="21"/>
                      <w:u w:val="none" w:color="auto"/>
                    </w:rPr>
                    <w:t>NH</w:t>
                  </w:r>
                  <w:r>
                    <w:rPr>
                      <w:rFonts w:hint="default" w:ascii="Times New Roman" w:hAnsi="Times New Roman" w:cs="Times New Roman"/>
                      <w:b/>
                      <w:caps w:val="0"/>
                      <w:color w:val="000000"/>
                      <w:kern w:val="0"/>
                      <w:sz w:val="21"/>
                      <w:szCs w:val="21"/>
                      <w:u w:val="none" w:color="auto"/>
                      <w:vertAlign w:val="subscript"/>
                    </w:rPr>
                    <w:t>3</w:t>
                  </w:r>
                  <w:r>
                    <w:rPr>
                      <w:rFonts w:hint="default" w:ascii="Times New Roman" w:hAnsi="Times New Roman" w:cs="Times New Roman"/>
                      <w:b/>
                      <w:caps w:val="0"/>
                      <w:color w:val="000000"/>
                      <w:kern w:val="0"/>
                      <w:sz w:val="21"/>
                      <w:szCs w:val="21"/>
                      <w:u w:val="none" w:color="auto"/>
                    </w:rPr>
                    <w:t>-N</w:t>
                  </w:r>
                </w:p>
              </w:tc>
              <w:tc>
                <w:tcPr>
                  <w:tcW w:w="667" w:type="pct"/>
                  <w:tcBorders>
                    <w:tl2br w:val="nil"/>
                    <w:tr2bl w:val="nil"/>
                  </w:tcBorders>
                  <w:vAlign w:val="center"/>
                </w:tcPr>
                <w:p w14:paraId="3A0B1BB8">
                  <w:pPr>
                    <w:keepNext w:val="0"/>
                    <w:keepLines w:val="0"/>
                    <w:widowControl/>
                    <w:suppressLineNumbers w:val="0"/>
                    <w:spacing w:before="0" w:beforeAutospacing="0" w:after="0" w:afterAutospacing="0"/>
                    <w:ind w:left="0" w:right="0"/>
                    <w:jc w:val="center"/>
                    <w:rPr>
                      <w:rFonts w:hint="default" w:ascii="Times New Roman" w:hAnsi="Times New Roman" w:cs="Times New Roman"/>
                      <w:b/>
                      <w:caps w:val="0"/>
                      <w:color w:val="000000"/>
                      <w:kern w:val="0"/>
                      <w:sz w:val="21"/>
                      <w:szCs w:val="21"/>
                      <w:u w:val="none" w:color="auto"/>
                    </w:rPr>
                  </w:pPr>
                  <w:r>
                    <w:rPr>
                      <w:rFonts w:hint="eastAsia" w:cs="Times New Roman"/>
                      <w:b/>
                      <w:caps w:val="0"/>
                      <w:color w:val="000000"/>
                      <w:kern w:val="0"/>
                      <w:sz w:val="21"/>
                      <w:szCs w:val="21"/>
                      <w:u w:val="none" w:color="auto"/>
                      <w:lang w:val="en-US" w:eastAsia="zh-CN"/>
                    </w:rPr>
                    <w:t>SS</w:t>
                  </w:r>
                </w:p>
              </w:tc>
              <w:tc>
                <w:tcPr>
                  <w:tcW w:w="543" w:type="pct"/>
                  <w:tcBorders>
                    <w:tl2br w:val="nil"/>
                    <w:tr2bl w:val="nil"/>
                  </w:tcBorders>
                  <w:vAlign w:val="center"/>
                </w:tcPr>
                <w:p w14:paraId="03D1FBC5">
                  <w:pPr>
                    <w:keepNext w:val="0"/>
                    <w:keepLines w:val="0"/>
                    <w:widowControl/>
                    <w:suppressLineNumbers w:val="0"/>
                    <w:spacing w:before="0" w:beforeAutospacing="0" w:after="0" w:afterAutospacing="0"/>
                    <w:ind w:left="0" w:right="0"/>
                    <w:jc w:val="center"/>
                    <w:rPr>
                      <w:rFonts w:hint="default" w:ascii="Times New Roman" w:hAnsi="Times New Roman" w:cs="Times New Roman"/>
                      <w:b/>
                      <w:caps w:val="0"/>
                      <w:color w:val="000000"/>
                      <w:kern w:val="0"/>
                      <w:sz w:val="21"/>
                      <w:szCs w:val="21"/>
                      <w:u w:val="none" w:color="auto"/>
                    </w:rPr>
                  </w:pPr>
                  <w:r>
                    <w:rPr>
                      <w:rFonts w:hint="default" w:ascii="Times New Roman" w:hAnsi="Times New Roman" w:cs="Times New Roman"/>
                      <w:b/>
                      <w:caps w:val="0"/>
                      <w:color w:val="000000"/>
                      <w:kern w:val="0"/>
                      <w:sz w:val="21"/>
                      <w:szCs w:val="21"/>
                      <w:u w:val="none" w:color="auto"/>
                    </w:rPr>
                    <w:t>TN</w:t>
                  </w:r>
                </w:p>
              </w:tc>
              <w:tc>
                <w:tcPr>
                  <w:tcW w:w="544" w:type="pct"/>
                  <w:tcBorders>
                    <w:tl2br w:val="nil"/>
                    <w:tr2bl w:val="nil"/>
                  </w:tcBorders>
                  <w:vAlign w:val="center"/>
                </w:tcPr>
                <w:p w14:paraId="3003765E">
                  <w:pPr>
                    <w:keepNext w:val="0"/>
                    <w:keepLines w:val="0"/>
                    <w:widowControl/>
                    <w:suppressLineNumbers w:val="0"/>
                    <w:spacing w:before="0" w:beforeAutospacing="0" w:after="0" w:afterAutospacing="0"/>
                    <w:ind w:left="0" w:right="0"/>
                    <w:jc w:val="center"/>
                    <w:rPr>
                      <w:rFonts w:hint="default" w:ascii="Times New Roman" w:hAnsi="Times New Roman" w:cs="Times New Roman"/>
                      <w:b/>
                      <w:caps w:val="0"/>
                      <w:color w:val="000000"/>
                      <w:kern w:val="0"/>
                      <w:sz w:val="21"/>
                      <w:szCs w:val="21"/>
                      <w:u w:val="none" w:color="auto"/>
                    </w:rPr>
                  </w:pPr>
                  <w:r>
                    <w:rPr>
                      <w:rFonts w:hint="default" w:ascii="Times New Roman" w:hAnsi="Times New Roman" w:cs="Times New Roman"/>
                      <w:b/>
                      <w:caps w:val="0"/>
                      <w:color w:val="000000"/>
                      <w:kern w:val="0"/>
                      <w:sz w:val="21"/>
                      <w:szCs w:val="21"/>
                      <w:u w:val="none" w:color="auto"/>
                    </w:rPr>
                    <w:t>动植物油</w:t>
                  </w:r>
                </w:p>
              </w:tc>
            </w:tr>
            <w:tr w14:paraId="7D9815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25" w:type="pct"/>
                  <w:vMerge w:val="restart"/>
                  <w:tcBorders>
                    <w:tl2br w:val="nil"/>
                    <w:tr2bl w:val="nil"/>
                  </w:tcBorders>
                  <w:vAlign w:val="center"/>
                </w:tcPr>
                <w:p w14:paraId="4CA11A26">
                  <w:pPr>
                    <w:keepNext w:val="0"/>
                    <w:keepLines w:val="0"/>
                    <w:widowControl/>
                    <w:suppressLineNumbers w:val="0"/>
                    <w:spacing w:before="0" w:beforeAutospacing="0" w:after="0" w:afterAutospacing="0"/>
                    <w:ind w:left="0" w:right="0"/>
                    <w:jc w:val="center"/>
                    <w:rPr>
                      <w:rFonts w:hint="default" w:ascii="Times New Roman" w:hAnsi="Times New Roman" w:cs="Times New Roman"/>
                      <w:bCs/>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生产废水</w:t>
                  </w:r>
                  <w:r>
                    <w:rPr>
                      <w:rFonts w:hint="eastAsia" w:cs="Times New Roman"/>
                      <w:caps w:val="0"/>
                      <w:color w:val="000000"/>
                      <w:kern w:val="0"/>
                      <w:sz w:val="21"/>
                      <w:szCs w:val="21"/>
                      <w:u w:val="none" w:color="auto"/>
                      <w:lang w:val="en-US" w:eastAsia="zh-CN"/>
                    </w:rPr>
                    <w:t>66645.39</w:t>
                  </w:r>
                  <w:r>
                    <w:rPr>
                      <w:rFonts w:hint="default" w:ascii="Times New Roman" w:hAnsi="Times New Roman" w:cs="Times New Roman"/>
                      <w:caps w:val="0"/>
                      <w:color w:val="000000"/>
                      <w:kern w:val="0"/>
                      <w:sz w:val="21"/>
                      <w:szCs w:val="21"/>
                      <w:u w:val="none" w:color="auto"/>
                    </w:rPr>
                    <w:t>m</w:t>
                  </w:r>
                  <w:r>
                    <w:rPr>
                      <w:rFonts w:hint="default" w:ascii="Times New Roman" w:hAnsi="Times New Roman" w:cs="Times New Roman"/>
                      <w:caps w:val="0"/>
                      <w:color w:val="000000"/>
                      <w:kern w:val="0"/>
                      <w:sz w:val="21"/>
                      <w:szCs w:val="21"/>
                      <w:u w:val="none" w:color="auto"/>
                      <w:vertAlign w:val="superscript"/>
                    </w:rPr>
                    <w:t>3</w:t>
                  </w:r>
                  <w:r>
                    <w:rPr>
                      <w:rFonts w:hint="default" w:ascii="Times New Roman" w:hAnsi="Times New Roman" w:cs="Times New Roman"/>
                      <w:caps w:val="0"/>
                      <w:color w:val="000000"/>
                      <w:kern w:val="0"/>
                      <w:sz w:val="21"/>
                      <w:szCs w:val="21"/>
                      <w:u w:val="none" w:color="auto"/>
                    </w:rPr>
                    <w:t>/a</w:t>
                  </w:r>
                </w:p>
              </w:tc>
              <w:tc>
                <w:tcPr>
                  <w:tcW w:w="567" w:type="pct"/>
                  <w:tcBorders>
                    <w:tl2br w:val="nil"/>
                    <w:tr2bl w:val="nil"/>
                  </w:tcBorders>
                  <w:vAlign w:val="center"/>
                </w:tcPr>
                <w:p w14:paraId="4EA3CB85">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产生</w:t>
                  </w:r>
                </w:p>
                <w:p w14:paraId="4AD52847">
                  <w:pPr>
                    <w:keepNext w:val="0"/>
                    <w:keepLines w:val="0"/>
                    <w:widowControl/>
                    <w:suppressLineNumbers w:val="0"/>
                    <w:spacing w:before="0" w:beforeAutospacing="0" w:after="0" w:afterAutospacing="0"/>
                    <w:ind w:left="0" w:right="0"/>
                    <w:jc w:val="center"/>
                    <w:rPr>
                      <w:rFonts w:hint="default" w:ascii="Times New Roman" w:hAnsi="Times New Roman" w:cs="Times New Roman"/>
                      <w:bCs/>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浓度(mg/L)</w:t>
                  </w:r>
                </w:p>
              </w:tc>
              <w:tc>
                <w:tcPr>
                  <w:tcW w:w="1015" w:type="dxa"/>
                  <w:tcBorders>
                    <w:tl2br w:val="nil"/>
                    <w:tr2bl w:val="nil"/>
                  </w:tcBorders>
                  <w:shd w:val="clear" w:color="auto" w:fill="auto"/>
                  <w:noWrap/>
                  <w:vAlign w:val="center"/>
                </w:tcPr>
                <w:p w14:paraId="2B7DE411">
                  <w:pPr>
                    <w:pStyle w:val="63"/>
                    <w:keepNext w:val="0"/>
                    <w:keepLines w:val="0"/>
                    <w:widowControl/>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b/>
                      <w:bCs/>
                      <w:caps w:val="0"/>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
                      <w:bCs/>
                      <w:caps w:val="0"/>
                      <w:color w:val="000000" w:themeColor="text1"/>
                      <w:kern w:val="0"/>
                      <w:sz w:val="21"/>
                      <w:szCs w:val="21"/>
                      <w:highlight w:val="none"/>
                      <w:u w:val="none" w:color="auto"/>
                      <w:lang w:val="en-US" w:eastAsia="zh-CN" w:bidi="ar-SA"/>
                      <w14:textFill>
                        <w14:solidFill>
                          <w14:schemeClr w14:val="tx1"/>
                        </w14:solidFill>
                      </w14:textFill>
                    </w:rPr>
                    <w:t>1138.59</w:t>
                  </w:r>
                </w:p>
              </w:tc>
              <w:tc>
                <w:tcPr>
                  <w:tcW w:w="1015" w:type="dxa"/>
                  <w:tcBorders>
                    <w:tl2br w:val="nil"/>
                    <w:tr2bl w:val="nil"/>
                  </w:tcBorders>
                  <w:shd w:val="clear" w:color="auto" w:fill="auto"/>
                  <w:noWrap/>
                  <w:vAlign w:val="center"/>
                </w:tcPr>
                <w:p w14:paraId="08F2AB59">
                  <w:pPr>
                    <w:pStyle w:val="63"/>
                    <w:keepNext w:val="0"/>
                    <w:keepLines w:val="0"/>
                    <w:widowControl/>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b/>
                      <w:bCs/>
                      <w:caps w:val="0"/>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
                      <w:bCs/>
                      <w:caps w:val="0"/>
                      <w:color w:val="000000" w:themeColor="text1"/>
                      <w:kern w:val="0"/>
                      <w:sz w:val="21"/>
                      <w:szCs w:val="21"/>
                      <w:highlight w:val="none"/>
                      <w:u w:val="none" w:color="auto"/>
                      <w:lang w:val="en-US" w:eastAsia="zh-CN" w:bidi="ar-SA"/>
                      <w14:textFill>
                        <w14:solidFill>
                          <w14:schemeClr w14:val="tx1"/>
                        </w14:solidFill>
                      </w14:textFill>
                    </w:rPr>
                    <w:t>514.53</w:t>
                  </w:r>
                </w:p>
              </w:tc>
              <w:tc>
                <w:tcPr>
                  <w:tcW w:w="912" w:type="dxa"/>
                  <w:tcBorders>
                    <w:tl2br w:val="nil"/>
                    <w:tr2bl w:val="nil"/>
                  </w:tcBorders>
                  <w:shd w:val="clear" w:color="auto" w:fill="auto"/>
                  <w:vAlign w:val="center"/>
                </w:tcPr>
                <w:p w14:paraId="18D1D20C">
                  <w:pPr>
                    <w:pStyle w:val="63"/>
                    <w:keepNext w:val="0"/>
                    <w:keepLines w:val="0"/>
                    <w:widowControl/>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b/>
                      <w:bCs/>
                      <w:caps w:val="0"/>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b/>
                      <w:bCs/>
                      <w:caps w:val="0"/>
                      <w:color w:val="000000" w:themeColor="text1"/>
                      <w:kern w:val="2"/>
                      <w:sz w:val="21"/>
                      <w:szCs w:val="21"/>
                      <w:highlight w:val="none"/>
                      <w:u w:val="none" w:color="auto"/>
                      <w:lang w:val="en-US" w:eastAsia="zh-CN" w:bidi="ar-SA"/>
                      <w14:textFill>
                        <w14:solidFill>
                          <w14:schemeClr w14:val="tx1"/>
                        </w14:solidFill>
                      </w14:textFill>
                    </w:rPr>
                    <w:t>21.26</w:t>
                  </w:r>
                </w:p>
              </w:tc>
              <w:tc>
                <w:tcPr>
                  <w:tcW w:w="1121" w:type="dxa"/>
                  <w:tcBorders>
                    <w:tl2br w:val="nil"/>
                    <w:tr2bl w:val="nil"/>
                  </w:tcBorders>
                  <w:shd w:val="clear" w:color="auto" w:fill="auto"/>
                  <w:vAlign w:val="center"/>
                </w:tcPr>
                <w:p w14:paraId="7E4490F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b/>
                      <w:bCs/>
                      <w:caps w:val="0"/>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
                      <w:bCs/>
                      <w:caps w:val="0"/>
                      <w:color w:val="000000" w:themeColor="text1"/>
                      <w:kern w:val="0"/>
                      <w:sz w:val="21"/>
                      <w:szCs w:val="21"/>
                      <w:highlight w:val="none"/>
                      <w:u w:val="none" w:color="auto"/>
                      <w:lang w:val="en-US" w:eastAsia="zh-CN" w:bidi="ar-SA"/>
                      <w14:textFill>
                        <w14:solidFill>
                          <w14:schemeClr w14:val="tx1"/>
                        </w14:solidFill>
                      </w14:textFill>
                    </w:rPr>
                    <w:t>507.10</w:t>
                  </w:r>
                </w:p>
              </w:tc>
              <w:tc>
                <w:tcPr>
                  <w:tcW w:w="912" w:type="dxa"/>
                  <w:tcBorders>
                    <w:tl2br w:val="nil"/>
                    <w:tr2bl w:val="nil"/>
                  </w:tcBorders>
                  <w:shd w:val="clear" w:color="auto" w:fill="auto"/>
                  <w:vAlign w:val="center"/>
                </w:tcPr>
                <w:p w14:paraId="581C26CD">
                  <w:pPr>
                    <w:pStyle w:val="63"/>
                    <w:keepNext w:val="0"/>
                    <w:keepLines w:val="0"/>
                    <w:widowControl/>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b/>
                      <w:bCs/>
                      <w:caps w:val="0"/>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
                      <w:bCs/>
                      <w:caps w:val="0"/>
                      <w:color w:val="000000" w:themeColor="text1"/>
                      <w:kern w:val="0"/>
                      <w:sz w:val="21"/>
                      <w:szCs w:val="21"/>
                      <w:highlight w:val="none"/>
                      <w:u w:val="none" w:color="auto"/>
                      <w:lang w:val="en-US" w:eastAsia="zh-CN" w:bidi="ar-SA"/>
                      <w14:textFill>
                        <w14:solidFill>
                          <w14:schemeClr w14:val="tx1"/>
                        </w14:solidFill>
                      </w14:textFill>
                    </w:rPr>
                    <w:t>34.15</w:t>
                  </w:r>
                </w:p>
              </w:tc>
              <w:tc>
                <w:tcPr>
                  <w:tcW w:w="915" w:type="dxa"/>
                  <w:tcBorders>
                    <w:tl2br w:val="nil"/>
                    <w:tr2bl w:val="nil"/>
                  </w:tcBorders>
                  <w:shd w:val="clear" w:color="auto" w:fill="auto"/>
                  <w:vAlign w:val="center"/>
                </w:tcPr>
                <w:p w14:paraId="43058667">
                  <w:pPr>
                    <w:pStyle w:val="63"/>
                    <w:keepNext w:val="0"/>
                    <w:keepLines w:val="0"/>
                    <w:widowControl/>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b/>
                      <w:bCs/>
                      <w:caps w:val="0"/>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
                      <w:bCs/>
                      <w:caps w:val="0"/>
                      <w:color w:val="000000" w:themeColor="text1"/>
                      <w:kern w:val="0"/>
                      <w:sz w:val="21"/>
                      <w:szCs w:val="21"/>
                      <w:highlight w:val="none"/>
                      <w:u w:val="none" w:color="auto"/>
                      <w:lang w:val="en-US" w:eastAsia="zh-CN" w:bidi="ar-SA"/>
                      <w14:textFill>
                        <w14:solidFill>
                          <w14:schemeClr w14:val="tx1"/>
                        </w14:solidFill>
                      </w14:textFill>
                    </w:rPr>
                    <w:t>100.80</w:t>
                  </w:r>
                </w:p>
              </w:tc>
            </w:tr>
            <w:tr w14:paraId="42F439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925" w:type="pct"/>
                  <w:vMerge w:val="continue"/>
                  <w:tcBorders>
                    <w:tl2br w:val="nil"/>
                    <w:tr2bl w:val="nil"/>
                  </w:tcBorders>
                  <w:vAlign w:val="center"/>
                </w:tcPr>
                <w:p w14:paraId="2FDBBB26">
                  <w:pPr>
                    <w:keepNext w:val="0"/>
                    <w:keepLines w:val="0"/>
                    <w:widowControl/>
                    <w:suppressLineNumbers w:val="0"/>
                    <w:spacing w:before="0" w:beforeAutospacing="0" w:after="0" w:afterAutospacing="0"/>
                    <w:ind w:left="0" w:right="0"/>
                    <w:jc w:val="center"/>
                    <w:rPr>
                      <w:rFonts w:hint="default" w:ascii="Times New Roman" w:hAnsi="Times New Roman" w:cs="Times New Roman"/>
                      <w:bCs/>
                      <w:caps w:val="0"/>
                      <w:color w:val="000000"/>
                      <w:kern w:val="0"/>
                      <w:sz w:val="21"/>
                      <w:szCs w:val="21"/>
                      <w:u w:val="none" w:color="auto"/>
                    </w:rPr>
                  </w:pPr>
                </w:p>
              </w:tc>
              <w:tc>
                <w:tcPr>
                  <w:tcW w:w="567" w:type="pct"/>
                  <w:tcBorders>
                    <w:tl2br w:val="nil"/>
                    <w:tr2bl w:val="nil"/>
                  </w:tcBorders>
                  <w:vAlign w:val="center"/>
                </w:tcPr>
                <w:p w14:paraId="73C04361">
                  <w:pPr>
                    <w:keepNext w:val="0"/>
                    <w:keepLines w:val="0"/>
                    <w:widowControl/>
                    <w:suppressLineNumbers w:val="0"/>
                    <w:spacing w:before="0" w:beforeAutospacing="0" w:after="0" w:afterAutospacing="0"/>
                    <w:ind w:left="0" w:right="0"/>
                    <w:jc w:val="center"/>
                    <w:rPr>
                      <w:rFonts w:hint="default" w:ascii="Times New Roman" w:hAnsi="Times New Roman" w:cs="Times New Roman"/>
                      <w:bCs/>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产生量（t/a）</w:t>
                  </w:r>
                </w:p>
              </w:tc>
              <w:tc>
                <w:tcPr>
                  <w:tcW w:w="1015" w:type="dxa"/>
                  <w:tcBorders>
                    <w:tl2br w:val="nil"/>
                    <w:tr2bl w:val="nil"/>
                  </w:tcBorders>
                  <w:shd w:val="clear" w:color="auto" w:fill="auto"/>
                  <w:noWrap/>
                  <w:vAlign w:val="center"/>
                </w:tcPr>
                <w:p w14:paraId="7F0CD6C6">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75.882</w:t>
                  </w:r>
                </w:p>
              </w:tc>
              <w:tc>
                <w:tcPr>
                  <w:tcW w:w="1015" w:type="dxa"/>
                  <w:tcBorders>
                    <w:tl2br w:val="nil"/>
                    <w:tr2bl w:val="nil"/>
                  </w:tcBorders>
                  <w:shd w:val="clear" w:color="auto" w:fill="auto"/>
                  <w:noWrap/>
                  <w:vAlign w:val="center"/>
                </w:tcPr>
                <w:p w14:paraId="44628F8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34.291</w:t>
                  </w:r>
                </w:p>
              </w:tc>
              <w:tc>
                <w:tcPr>
                  <w:tcW w:w="912" w:type="dxa"/>
                  <w:tcBorders>
                    <w:tl2br w:val="nil"/>
                    <w:tr2bl w:val="nil"/>
                  </w:tcBorders>
                  <w:shd w:val="clear" w:color="auto" w:fill="auto"/>
                  <w:vAlign w:val="center"/>
                </w:tcPr>
                <w:p w14:paraId="559F8687">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1.417</w:t>
                  </w:r>
                </w:p>
              </w:tc>
              <w:tc>
                <w:tcPr>
                  <w:tcW w:w="1121" w:type="dxa"/>
                  <w:tcBorders>
                    <w:tl2br w:val="nil"/>
                    <w:tr2bl w:val="nil"/>
                  </w:tcBorders>
                  <w:shd w:val="clear" w:color="auto" w:fill="auto"/>
                  <w:vAlign w:val="center"/>
                </w:tcPr>
                <w:p w14:paraId="2E3191D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33.796</w:t>
                  </w:r>
                </w:p>
              </w:tc>
              <w:tc>
                <w:tcPr>
                  <w:tcW w:w="912" w:type="dxa"/>
                  <w:tcBorders>
                    <w:tl2br w:val="nil"/>
                    <w:tr2bl w:val="nil"/>
                  </w:tcBorders>
                  <w:shd w:val="clear" w:color="auto" w:fill="auto"/>
                  <w:vAlign w:val="center"/>
                </w:tcPr>
                <w:p w14:paraId="32A723B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eastAsia"/>
                      <w:caps w:val="0"/>
                      <w:color w:val="000000" w:themeColor="text1"/>
                      <w:szCs w:val="21"/>
                      <w:highlight w:val="none"/>
                      <w:u w:val="none" w:color="auto"/>
                      <w:lang w:val="en-US" w:eastAsia="zh-CN"/>
                      <w14:textFill>
                        <w14:solidFill>
                          <w14:schemeClr w14:val="tx1"/>
                        </w14:solidFill>
                      </w14:textFill>
                    </w:rPr>
                    <w:t>2.276</w:t>
                  </w:r>
                </w:p>
              </w:tc>
              <w:tc>
                <w:tcPr>
                  <w:tcW w:w="915" w:type="dxa"/>
                  <w:tcBorders>
                    <w:tl2br w:val="nil"/>
                    <w:tr2bl w:val="nil"/>
                  </w:tcBorders>
                  <w:shd w:val="clear" w:color="auto" w:fill="auto"/>
                  <w:vAlign w:val="center"/>
                </w:tcPr>
                <w:p w14:paraId="66927E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themeColor="text1"/>
                      <w:kern w:val="0"/>
                      <w:sz w:val="21"/>
                      <w:szCs w:val="21"/>
                      <w:highlight w:val="none"/>
                      <w:u w:val="none" w:color="auto"/>
                      <w:lang w:val="en-US" w:eastAsia="zh-CN" w:bidi="ar"/>
                      <w14:textFill>
                        <w14:solidFill>
                          <w14:schemeClr w14:val="tx1"/>
                        </w14:solidFill>
                      </w14:textFill>
                    </w:rPr>
                  </w:pPr>
                  <w:r>
                    <w:rPr>
                      <w:rFonts w:hint="eastAsia"/>
                      <w:caps w:val="0"/>
                      <w:color w:val="000000" w:themeColor="text1"/>
                      <w:kern w:val="0"/>
                      <w:szCs w:val="21"/>
                      <w:highlight w:val="none"/>
                      <w:u w:val="none" w:color="auto"/>
                      <w:lang w:val="en-US" w:eastAsia="zh-CN" w:bidi="ar"/>
                      <w14:textFill>
                        <w14:solidFill>
                          <w14:schemeClr w14:val="tx1"/>
                        </w14:solidFill>
                      </w14:textFill>
                    </w:rPr>
                    <w:t>6.718</w:t>
                  </w:r>
                </w:p>
              </w:tc>
            </w:tr>
            <w:tr w14:paraId="5D097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restart"/>
                  <w:tcBorders>
                    <w:tl2br w:val="nil"/>
                    <w:tr2bl w:val="nil"/>
                  </w:tcBorders>
                  <w:vAlign w:val="center"/>
                </w:tcPr>
                <w:p w14:paraId="47ED1A1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aps w:val="0"/>
                      <w:color w:val="000000"/>
                      <w:kern w:val="0"/>
                      <w:sz w:val="21"/>
                      <w:szCs w:val="21"/>
                      <w:u w:val="none" w:color="auto"/>
                      <w:lang w:eastAsia="zh-CN"/>
                    </w:rPr>
                  </w:pPr>
                  <w:r>
                    <w:rPr>
                      <w:rFonts w:hint="eastAsia" w:cs="Times New Roman"/>
                      <w:caps w:val="0"/>
                      <w:color w:val="000000"/>
                      <w:kern w:val="0"/>
                      <w:sz w:val="21"/>
                      <w:szCs w:val="21"/>
                      <w:u w:val="none" w:color="auto"/>
                      <w:lang w:val="en-US" w:eastAsia="zh-CN"/>
                    </w:rPr>
                    <w:t>隔油沉淀池</w:t>
                  </w:r>
                </w:p>
              </w:tc>
              <w:tc>
                <w:tcPr>
                  <w:tcW w:w="567" w:type="pct"/>
                  <w:tcBorders>
                    <w:tl2br w:val="nil"/>
                    <w:tr2bl w:val="nil"/>
                  </w:tcBorders>
                  <w:vAlign w:val="center"/>
                </w:tcPr>
                <w:p w14:paraId="1728A2BA">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去除率</w:t>
                  </w:r>
                </w:p>
              </w:tc>
              <w:tc>
                <w:tcPr>
                  <w:tcW w:w="604" w:type="pct"/>
                  <w:tcBorders>
                    <w:tl2br w:val="nil"/>
                    <w:tr2bl w:val="nil"/>
                  </w:tcBorders>
                  <w:vAlign w:val="center"/>
                </w:tcPr>
                <w:p w14:paraId="3CFFC1F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lang w:bidi="ar"/>
                    </w:rPr>
                    <w:t>20%</w:t>
                  </w:r>
                </w:p>
              </w:tc>
              <w:tc>
                <w:tcPr>
                  <w:tcW w:w="604" w:type="pct"/>
                  <w:tcBorders>
                    <w:tl2br w:val="nil"/>
                    <w:tr2bl w:val="nil"/>
                  </w:tcBorders>
                  <w:vAlign w:val="center"/>
                </w:tcPr>
                <w:p w14:paraId="6745E20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lang w:bidi="ar"/>
                    </w:rPr>
                    <w:t>5%</w:t>
                  </w:r>
                </w:p>
              </w:tc>
              <w:tc>
                <w:tcPr>
                  <w:tcW w:w="543" w:type="pct"/>
                  <w:tcBorders>
                    <w:tl2br w:val="nil"/>
                    <w:tr2bl w:val="nil"/>
                  </w:tcBorders>
                  <w:shd w:val="clear" w:color="auto" w:fill="auto"/>
                  <w:vAlign w:val="center"/>
                </w:tcPr>
                <w:p w14:paraId="154FE1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cs="Times New Roman"/>
                      <w:caps w:val="0"/>
                      <w:color w:val="000000"/>
                      <w:kern w:val="0"/>
                      <w:sz w:val="21"/>
                      <w:szCs w:val="21"/>
                      <w:u w:val="none" w:color="auto"/>
                      <w:lang w:bidi="ar"/>
                    </w:rPr>
                    <w:t>4%</w:t>
                  </w:r>
                </w:p>
              </w:tc>
              <w:tc>
                <w:tcPr>
                  <w:tcW w:w="667" w:type="pct"/>
                  <w:tcBorders>
                    <w:tl2br w:val="nil"/>
                    <w:tr2bl w:val="nil"/>
                  </w:tcBorders>
                  <w:shd w:val="clear" w:color="auto" w:fill="auto"/>
                  <w:vAlign w:val="center"/>
                </w:tcPr>
                <w:p w14:paraId="28801CD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cs="Times New Roman"/>
                      <w:caps w:val="0"/>
                      <w:color w:val="000000"/>
                      <w:kern w:val="0"/>
                      <w:sz w:val="21"/>
                      <w:szCs w:val="21"/>
                      <w:u w:val="none" w:color="auto"/>
                      <w:lang w:bidi="ar"/>
                    </w:rPr>
                    <w:t>30%</w:t>
                  </w:r>
                </w:p>
              </w:tc>
              <w:tc>
                <w:tcPr>
                  <w:tcW w:w="543" w:type="pct"/>
                  <w:tcBorders>
                    <w:tl2br w:val="nil"/>
                    <w:tr2bl w:val="nil"/>
                  </w:tcBorders>
                  <w:vAlign w:val="center"/>
                </w:tcPr>
                <w:p w14:paraId="70EB127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aps w:val="0"/>
                      <w:color w:val="000000"/>
                      <w:sz w:val="21"/>
                      <w:szCs w:val="21"/>
                      <w:u w:val="none" w:color="auto"/>
                    </w:rPr>
                  </w:pPr>
                  <w:r>
                    <w:rPr>
                      <w:rFonts w:hint="default" w:ascii="Times New Roman" w:hAnsi="Times New Roman" w:cs="Times New Roman"/>
                      <w:caps w:val="0"/>
                      <w:color w:val="000000"/>
                      <w:kern w:val="0"/>
                      <w:sz w:val="21"/>
                      <w:szCs w:val="21"/>
                      <w:u w:val="none" w:color="auto"/>
                      <w:lang w:bidi="ar"/>
                    </w:rPr>
                    <w:t>0</w:t>
                  </w:r>
                </w:p>
              </w:tc>
              <w:tc>
                <w:tcPr>
                  <w:tcW w:w="544" w:type="pct"/>
                  <w:tcBorders>
                    <w:tl2br w:val="nil"/>
                    <w:tr2bl w:val="nil"/>
                  </w:tcBorders>
                  <w:vAlign w:val="center"/>
                </w:tcPr>
                <w:p w14:paraId="472A647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lang w:bidi="ar"/>
                    </w:rPr>
                    <w:t>50%</w:t>
                  </w:r>
                </w:p>
              </w:tc>
            </w:tr>
            <w:tr w14:paraId="24ACDC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1B0536F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4BDAF4B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排放</w:t>
                  </w:r>
                </w:p>
                <w:p w14:paraId="1AD309D6">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浓度(mg/L)</w:t>
                  </w:r>
                </w:p>
              </w:tc>
              <w:tc>
                <w:tcPr>
                  <w:tcW w:w="604" w:type="pct"/>
                  <w:tcBorders>
                    <w:tl2br w:val="nil"/>
                    <w:tr2bl w:val="nil"/>
                  </w:tcBorders>
                  <w:vAlign w:val="center"/>
                </w:tcPr>
                <w:p w14:paraId="76FE42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910.872</w:t>
                  </w:r>
                </w:p>
              </w:tc>
              <w:tc>
                <w:tcPr>
                  <w:tcW w:w="604" w:type="pct"/>
                  <w:tcBorders>
                    <w:tl2br w:val="nil"/>
                    <w:tr2bl w:val="nil"/>
                  </w:tcBorders>
                  <w:vAlign w:val="center"/>
                </w:tcPr>
                <w:p w14:paraId="240A52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488.80</w:t>
                  </w:r>
                </w:p>
              </w:tc>
              <w:tc>
                <w:tcPr>
                  <w:tcW w:w="543" w:type="pct"/>
                  <w:tcBorders>
                    <w:tl2br w:val="nil"/>
                    <w:tr2bl w:val="nil"/>
                  </w:tcBorders>
                  <w:shd w:val="clear" w:color="auto" w:fill="auto"/>
                  <w:vAlign w:val="center"/>
                </w:tcPr>
                <w:p w14:paraId="5A8CC02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eastAsia" w:cs="Times New Roman"/>
                      <w:b/>
                      <w:bCs/>
                      <w:caps w:val="0"/>
                      <w:color w:val="000000"/>
                      <w:kern w:val="0"/>
                      <w:sz w:val="21"/>
                      <w:szCs w:val="21"/>
                      <w:u w:val="none" w:color="auto"/>
                      <w:lang w:val="en-US" w:eastAsia="zh-CN" w:bidi="ar-SA"/>
                    </w:rPr>
                    <w:t>20.41</w:t>
                  </w:r>
                </w:p>
              </w:tc>
              <w:tc>
                <w:tcPr>
                  <w:tcW w:w="667" w:type="pct"/>
                  <w:tcBorders>
                    <w:tl2br w:val="nil"/>
                    <w:tr2bl w:val="nil"/>
                  </w:tcBorders>
                  <w:shd w:val="clear" w:color="auto" w:fill="auto"/>
                  <w:vAlign w:val="center"/>
                </w:tcPr>
                <w:p w14:paraId="223F68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eastAsia" w:cs="Times New Roman"/>
                      <w:b/>
                      <w:bCs/>
                      <w:caps w:val="0"/>
                      <w:color w:val="000000"/>
                      <w:kern w:val="0"/>
                      <w:sz w:val="21"/>
                      <w:szCs w:val="21"/>
                      <w:u w:val="none" w:color="auto"/>
                      <w:lang w:val="en-US" w:eastAsia="zh-CN" w:bidi="ar-SA"/>
                    </w:rPr>
                    <w:t>354.97</w:t>
                  </w:r>
                </w:p>
              </w:tc>
              <w:tc>
                <w:tcPr>
                  <w:tcW w:w="543" w:type="pct"/>
                  <w:tcBorders>
                    <w:tl2br w:val="nil"/>
                    <w:tr2bl w:val="nil"/>
                  </w:tcBorders>
                  <w:shd w:val="clear" w:color="auto" w:fill="auto"/>
                  <w:vAlign w:val="center"/>
                </w:tcPr>
                <w:p w14:paraId="5F2F4189">
                  <w:pPr>
                    <w:pStyle w:val="63"/>
                    <w:keepNext w:val="0"/>
                    <w:keepLines w:val="0"/>
                    <w:widowControl/>
                    <w:suppressLineNumbers w:val="0"/>
                    <w:adjustRightInd w:val="0"/>
                    <w:snapToGrid w:val="0"/>
                    <w:spacing w:before="0" w:beforeAutospacing="0" w:after="0" w:afterAutospacing="0"/>
                    <w:ind w:left="0" w:leftChars="0" w:right="0" w:rightChars="0"/>
                    <w:rPr>
                      <w:rFonts w:hint="default" w:ascii="Times New Roman" w:hAnsi="Times New Roman" w:eastAsia="宋体" w:cs="Times New Roman"/>
                      <w:b/>
                      <w:bCs/>
                      <w:caps w:val="0"/>
                      <w:color w:val="000000" w:themeColor="text1"/>
                      <w:kern w:val="0"/>
                      <w:sz w:val="21"/>
                      <w:szCs w:val="21"/>
                      <w:highlight w:val="none"/>
                      <w:u w:val="none" w:color="auto"/>
                      <w:lang w:val="en-US" w:eastAsia="zh-CN" w:bidi="ar-SA"/>
                      <w14:textFill>
                        <w14:solidFill>
                          <w14:schemeClr w14:val="tx1"/>
                        </w14:solidFill>
                      </w14:textFill>
                    </w:rPr>
                  </w:pPr>
                  <w:r>
                    <w:rPr>
                      <w:rFonts w:hint="eastAsia" w:cs="Times New Roman"/>
                      <w:b/>
                      <w:bCs/>
                      <w:caps w:val="0"/>
                      <w:color w:val="000000" w:themeColor="text1"/>
                      <w:kern w:val="0"/>
                      <w:sz w:val="21"/>
                      <w:szCs w:val="21"/>
                      <w:highlight w:val="none"/>
                      <w:u w:val="none" w:color="auto"/>
                      <w:lang w:val="en-US" w:eastAsia="zh-CN" w:bidi="ar-SA"/>
                      <w14:textFill>
                        <w14:solidFill>
                          <w14:schemeClr w14:val="tx1"/>
                        </w14:solidFill>
                      </w14:textFill>
                    </w:rPr>
                    <w:t>34.15</w:t>
                  </w:r>
                </w:p>
              </w:tc>
              <w:tc>
                <w:tcPr>
                  <w:tcW w:w="544" w:type="pct"/>
                  <w:tcBorders>
                    <w:tl2br w:val="nil"/>
                    <w:tr2bl w:val="nil"/>
                  </w:tcBorders>
                  <w:vAlign w:val="center"/>
                </w:tcPr>
                <w:p w14:paraId="71EFBB1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50.4</w:t>
                  </w:r>
                </w:p>
              </w:tc>
            </w:tr>
            <w:tr w14:paraId="328D6C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27B0ABB7">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57B5629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排放量（t/a）</w:t>
                  </w:r>
                </w:p>
              </w:tc>
              <w:tc>
                <w:tcPr>
                  <w:tcW w:w="604" w:type="pct"/>
                  <w:tcBorders>
                    <w:tl2br w:val="nil"/>
                    <w:tr2bl w:val="nil"/>
                  </w:tcBorders>
                  <w:noWrap/>
                  <w:vAlign w:val="center"/>
                </w:tcPr>
                <w:p w14:paraId="4CE025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60.705</w:t>
                  </w:r>
                </w:p>
              </w:tc>
              <w:tc>
                <w:tcPr>
                  <w:tcW w:w="604" w:type="pct"/>
                  <w:tcBorders>
                    <w:tl2br w:val="nil"/>
                    <w:tr2bl w:val="nil"/>
                  </w:tcBorders>
                  <w:noWrap/>
                  <w:vAlign w:val="center"/>
                </w:tcPr>
                <w:p w14:paraId="05DA0C4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32.576</w:t>
                  </w:r>
                </w:p>
              </w:tc>
              <w:tc>
                <w:tcPr>
                  <w:tcW w:w="543" w:type="pct"/>
                  <w:tcBorders>
                    <w:tl2br w:val="nil"/>
                    <w:tr2bl w:val="nil"/>
                  </w:tcBorders>
                  <w:shd w:val="clear" w:color="auto" w:fill="auto"/>
                  <w:noWrap/>
                  <w:vAlign w:val="center"/>
                </w:tcPr>
                <w:p w14:paraId="1BA2F37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cs="Times New Roman"/>
                      <w:caps w:val="0"/>
                      <w:color w:val="000000"/>
                      <w:kern w:val="0"/>
                      <w:sz w:val="21"/>
                      <w:szCs w:val="21"/>
                      <w:u w:val="none" w:color="auto"/>
                      <w:lang w:val="en-US" w:eastAsia="zh-CN" w:bidi="ar-SA"/>
                    </w:rPr>
                    <w:t>1.360</w:t>
                  </w:r>
                </w:p>
              </w:tc>
              <w:tc>
                <w:tcPr>
                  <w:tcW w:w="667" w:type="pct"/>
                  <w:tcBorders>
                    <w:tl2br w:val="nil"/>
                    <w:tr2bl w:val="nil"/>
                  </w:tcBorders>
                  <w:shd w:val="clear" w:color="auto" w:fill="auto"/>
                  <w:noWrap/>
                  <w:vAlign w:val="center"/>
                </w:tcPr>
                <w:p w14:paraId="364776C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cs="Times New Roman"/>
                      <w:caps w:val="0"/>
                      <w:color w:val="000000"/>
                      <w:kern w:val="0"/>
                      <w:sz w:val="21"/>
                      <w:szCs w:val="21"/>
                      <w:u w:val="none" w:color="auto"/>
                      <w:lang w:val="en-US" w:eastAsia="zh-CN" w:bidi="ar-SA"/>
                    </w:rPr>
                    <w:t>23.657</w:t>
                  </w:r>
                </w:p>
              </w:tc>
              <w:tc>
                <w:tcPr>
                  <w:tcW w:w="543" w:type="pct"/>
                  <w:tcBorders>
                    <w:tl2br w:val="nil"/>
                    <w:tr2bl w:val="nil"/>
                  </w:tcBorders>
                  <w:shd w:val="clear" w:color="auto" w:fill="auto"/>
                  <w:noWrap/>
                  <w:vAlign w:val="center"/>
                </w:tcPr>
                <w:p w14:paraId="0A4E8D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themeColor="text1"/>
                      <w:kern w:val="2"/>
                      <w:sz w:val="21"/>
                      <w:szCs w:val="21"/>
                      <w:highlight w:val="none"/>
                      <w:u w:val="none" w:color="auto"/>
                      <w:lang w:val="en-US" w:eastAsia="zh-CN" w:bidi="ar-SA"/>
                      <w14:textFill>
                        <w14:solidFill>
                          <w14:schemeClr w14:val="tx1"/>
                        </w14:solidFill>
                      </w14:textFill>
                    </w:rPr>
                  </w:pPr>
                  <w:r>
                    <w:rPr>
                      <w:rFonts w:hint="eastAsia" w:cs="Times New Roman"/>
                      <w:caps w:val="0"/>
                      <w:color w:val="000000" w:themeColor="text1"/>
                      <w:kern w:val="2"/>
                      <w:sz w:val="21"/>
                      <w:szCs w:val="21"/>
                      <w:highlight w:val="none"/>
                      <w:u w:val="none" w:color="auto"/>
                      <w:lang w:val="en-US" w:eastAsia="zh-CN" w:bidi="ar-SA"/>
                      <w14:textFill>
                        <w14:solidFill>
                          <w14:schemeClr w14:val="tx1"/>
                        </w14:solidFill>
                      </w14:textFill>
                    </w:rPr>
                    <w:t>2.276</w:t>
                  </w:r>
                </w:p>
              </w:tc>
              <w:tc>
                <w:tcPr>
                  <w:tcW w:w="544" w:type="pct"/>
                  <w:tcBorders>
                    <w:tl2br w:val="nil"/>
                    <w:tr2bl w:val="nil"/>
                  </w:tcBorders>
                  <w:noWrap/>
                  <w:vAlign w:val="center"/>
                </w:tcPr>
                <w:p w14:paraId="5EFF28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3.359</w:t>
                  </w:r>
                </w:p>
              </w:tc>
            </w:tr>
            <w:tr w14:paraId="4BC893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restart"/>
                  <w:tcBorders>
                    <w:tl2br w:val="nil"/>
                    <w:tr2bl w:val="nil"/>
                  </w:tcBorders>
                  <w:vAlign w:val="center"/>
                </w:tcPr>
                <w:p w14:paraId="5EB92CEF">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生活污水</w:t>
                  </w:r>
                  <w:r>
                    <w:rPr>
                      <w:rFonts w:hint="eastAsia" w:cs="Times New Roman"/>
                      <w:caps w:val="0"/>
                      <w:color w:val="000000"/>
                      <w:kern w:val="0"/>
                      <w:sz w:val="21"/>
                      <w:szCs w:val="21"/>
                      <w:u w:val="none" w:color="auto"/>
                      <w:lang w:val="en-US" w:eastAsia="zh-CN"/>
                    </w:rPr>
                    <w:t>2465</w:t>
                  </w:r>
                  <w:r>
                    <w:rPr>
                      <w:rFonts w:hint="default" w:ascii="Times New Roman" w:hAnsi="Times New Roman" w:cs="Times New Roman"/>
                      <w:caps w:val="0"/>
                      <w:color w:val="000000"/>
                      <w:kern w:val="0"/>
                      <w:sz w:val="21"/>
                      <w:szCs w:val="21"/>
                      <w:u w:val="none" w:color="auto"/>
                    </w:rPr>
                    <w:t>m</w:t>
                  </w:r>
                  <w:r>
                    <w:rPr>
                      <w:rFonts w:hint="default" w:ascii="Times New Roman" w:hAnsi="Times New Roman" w:cs="Times New Roman"/>
                      <w:caps w:val="0"/>
                      <w:color w:val="000000"/>
                      <w:kern w:val="0"/>
                      <w:sz w:val="21"/>
                      <w:szCs w:val="21"/>
                      <w:u w:val="none" w:color="auto"/>
                      <w:vertAlign w:val="superscript"/>
                    </w:rPr>
                    <w:t>3</w:t>
                  </w:r>
                  <w:r>
                    <w:rPr>
                      <w:rFonts w:hint="default" w:ascii="Times New Roman" w:hAnsi="Times New Roman" w:cs="Times New Roman"/>
                      <w:caps w:val="0"/>
                      <w:color w:val="000000"/>
                      <w:kern w:val="0"/>
                      <w:sz w:val="21"/>
                      <w:szCs w:val="21"/>
                      <w:u w:val="none" w:color="auto"/>
                    </w:rPr>
                    <w:t>/a</w:t>
                  </w:r>
                </w:p>
              </w:tc>
              <w:tc>
                <w:tcPr>
                  <w:tcW w:w="567" w:type="pct"/>
                  <w:tcBorders>
                    <w:tl2br w:val="nil"/>
                    <w:tr2bl w:val="nil"/>
                  </w:tcBorders>
                  <w:vAlign w:val="center"/>
                </w:tcPr>
                <w:p w14:paraId="3EE73D9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产生</w:t>
                  </w:r>
                </w:p>
                <w:p w14:paraId="3E751BB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浓度(mg/L)</w:t>
                  </w:r>
                </w:p>
              </w:tc>
              <w:tc>
                <w:tcPr>
                  <w:tcW w:w="604" w:type="pct"/>
                  <w:tcBorders>
                    <w:tl2br w:val="nil"/>
                    <w:tr2bl w:val="nil"/>
                  </w:tcBorders>
                  <w:noWrap/>
                  <w:vAlign w:val="center"/>
                </w:tcPr>
                <w:p w14:paraId="7F644BA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350</w:t>
                  </w:r>
                </w:p>
              </w:tc>
              <w:tc>
                <w:tcPr>
                  <w:tcW w:w="604" w:type="pct"/>
                  <w:tcBorders>
                    <w:tl2br w:val="nil"/>
                    <w:tr2bl w:val="nil"/>
                  </w:tcBorders>
                  <w:noWrap/>
                  <w:vAlign w:val="center"/>
                </w:tcPr>
                <w:p w14:paraId="63A95D2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250</w:t>
                  </w:r>
                </w:p>
              </w:tc>
              <w:tc>
                <w:tcPr>
                  <w:tcW w:w="543" w:type="pct"/>
                  <w:tcBorders>
                    <w:tl2br w:val="nil"/>
                    <w:tr2bl w:val="nil"/>
                  </w:tcBorders>
                  <w:noWrap/>
                  <w:vAlign w:val="center"/>
                </w:tcPr>
                <w:p w14:paraId="3E10732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25</w:t>
                  </w:r>
                </w:p>
              </w:tc>
              <w:tc>
                <w:tcPr>
                  <w:tcW w:w="667" w:type="pct"/>
                  <w:tcBorders>
                    <w:tl2br w:val="nil"/>
                    <w:tr2bl w:val="nil"/>
                  </w:tcBorders>
                  <w:noWrap/>
                  <w:vAlign w:val="center"/>
                </w:tcPr>
                <w:p w14:paraId="1BDBDE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200</w:t>
                  </w:r>
                </w:p>
              </w:tc>
              <w:tc>
                <w:tcPr>
                  <w:tcW w:w="543" w:type="pct"/>
                  <w:tcBorders>
                    <w:tl2br w:val="nil"/>
                    <w:tr2bl w:val="nil"/>
                  </w:tcBorders>
                  <w:noWrap/>
                  <w:vAlign w:val="center"/>
                </w:tcPr>
                <w:p w14:paraId="0A472F0F">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cs="Times New Roman"/>
                      <w:b/>
                      <w:bCs/>
                      <w:caps w:val="0"/>
                      <w:color w:val="000000"/>
                      <w:kern w:val="0"/>
                      <w:sz w:val="21"/>
                      <w:szCs w:val="21"/>
                      <w:u w:val="none" w:color="auto"/>
                      <w:lang w:bidi="ar"/>
                    </w:rPr>
                    <w:t>/</w:t>
                  </w:r>
                </w:p>
              </w:tc>
              <w:tc>
                <w:tcPr>
                  <w:tcW w:w="544" w:type="pct"/>
                  <w:tcBorders>
                    <w:tl2br w:val="nil"/>
                    <w:tr2bl w:val="nil"/>
                  </w:tcBorders>
                  <w:noWrap/>
                  <w:vAlign w:val="center"/>
                </w:tcPr>
                <w:p w14:paraId="2AA548C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50</w:t>
                  </w:r>
                </w:p>
              </w:tc>
            </w:tr>
            <w:tr w14:paraId="2F568C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56AC6D0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6109C63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产生量（t/a）</w:t>
                  </w:r>
                </w:p>
              </w:tc>
              <w:tc>
                <w:tcPr>
                  <w:tcW w:w="604" w:type="pct"/>
                  <w:tcBorders>
                    <w:tl2br w:val="nil"/>
                    <w:tr2bl w:val="nil"/>
                  </w:tcBorders>
                  <w:shd w:val="clear" w:color="auto" w:fill="auto"/>
                  <w:noWrap/>
                  <w:vAlign w:val="center"/>
                </w:tcPr>
                <w:p w14:paraId="49E06E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kern w:val="2"/>
                      <w:sz w:val="21"/>
                      <w:szCs w:val="21"/>
                      <w:u w:val="none" w:color="auto"/>
                      <w:lang w:val="en-US" w:eastAsia="zh-CN" w:bidi="ar-SA"/>
                    </w:rPr>
                  </w:pPr>
                  <w:r>
                    <w:rPr>
                      <w:rFonts w:hint="eastAsia" w:cs="Times New Roman"/>
                      <w:caps w:val="0"/>
                      <w:color w:val="000000"/>
                      <w:szCs w:val="21"/>
                      <w:u w:val="none" w:color="auto"/>
                      <w:lang w:val="en-US" w:eastAsia="zh-CN"/>
                    </w:rPr>
                    <w:t>0.863</w:t>
                  </w:r>
                </w:p>
              </w:tc>
              <w:tc>
                <w:tcPr>
                  <w:tcW w:w="604" w:type="pct"/>
                  <w:tcBorders>
                    <w:tl2br w:val="nil"/>
                    <w:tr2bl w:val="nil"/>
                  </w:tcBorders>
                  <w:shd w:val="clear" w:color="auto" w:fill="auto"/>
                  <w:noWrap/>
                  <w:vAlign w:val="center"/>
                </w:tcPr>
                <w:p w14:paraId="791CB31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kern w:val="2"/>
                      <w:sz w:val="21"/>
                      <w:szCs w:val="21"/>
                      <w:u w:val="none" w:color="auto"/>
                      <w:lang w:val="en-US" w:eastAsia="zh-CN" w:bidi="ar-SA"/>
                    </w:rPr>
                  </w:pPr>
                  <w:r>
                    <w:rPr>
                      <w:rFonts w:hint="eastAsia" w:cs="Times New Roman"/>
                      <w:caps w:val="0"/>
                      <w:color w:val="000000"/>
                      <w:szCs w:val="21"/>
                      <w:u w:val="none" w:color="auto"/>
                      <w:lang w:val="en-US" w:eastAsia="zh-CN"/>
                    </w:rPr>
                    <w:t>0.616</w:t>
                  </w:r>
                </w:p>
              </w:tc>
              <w:tc>
                <w:tcPr>
                  <w:tcW w:w="543" w:type="pct"/>
                  <w:tcBorders>
                    <w:tl2br w:val="nil"/>
                    <w:tr2bl w:val="nil"/>
                  </w:tcBorders>
                  <w:shd w:val="clear" w:color="auto" w:fill="auto"/>
                  <w:noWrap/>
                  <w:vAlign w:val="center"/>
                </w:tcPr>
                <w:p w14:paraId="2630F0DB">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kern w:val="2"/>
                      <w:sz w:val="21"/>
                      <w:szCs w:val="21"/>
                      <w:u w:val="none" w:color="auto"/>
                      <w:lang w:val="en-US" w:eastAsia="zh-CN" w:bidi="ar-SA"/>
                    </w:rPr>
                  </w:pPr>
                  <w:r>
                    <w:rPr>
                      <w:rFonts w:hint="eastAsia" w:cs="Times New Roman"/>
                      <w:caps w:val="0"/>
                      <w:color w:val="000000"/>
                      <w:szCs w:val="21"/>
                      <w:u w:val="none" w:color="auto"/>
                      <w:lang w:val="en-US" w:eastAsia="zh-CN"/>
                    </w:rPr>
                    <w:t>0.062</w:t>
                  </w:r>
                </w:p>
              </w:tc>
              <w:tc>
                <w:tcPr>
                  <w:tcW w:w="667" w:type="pct"/>
                  <w:tcBorders>
                    <w:tl2br w:val="nil"/>
                    <w:tr2bl w:val="nil"/>
                  </w:tcBorders>
                  <w:shd w:val="clear" w:color="auto" w:fill="auto"/>
                  <w:noWrap/>
                  <w:vAlign w:val="center"/>
                </w:tcPr>
                <w:p w14:paraId="3C2F5A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kern w:val="2"/>
                      <w:sz w:val="21"/>
                      <w:szCs w:val="21"/>
                      <w:u w:val="none" w:color="auto"/>
                      <w:lang w:val="en-US" w:eastAsia="zh-CN" w:bidi="ar-SA"/>
                    </w:rPr>
                  </w:pPr>
                  <w:r>
                    <w:rPr>
                      <w:rFonts w:hint="eastAsia" w:cs="Times New Roman"/>
                      <w:caps w:val="0"/>
                      <w:color w:val="000000"/>
                      <w:szCs w:val="21"/>
                      <w:u w:val="none" w:color="auto"/>
                      <w:lang w:val="en-US" w:eastAsia="zh-CN"/>
                    </w:rPr>
                    <w:t>0.493</w:t>
                  </w:r>
                </w:p>
              </w:tc>
              <w:tc>
                <w:tcPr>
                  <w:tcW w:w="543" w:type="pct"/>
                  <w:tcBorders>
                    <w:tl2br w:val="nil"/>
                    <w:tr2bl w:val="nil"/>
                  </w:tcBorders>
                  <w:noWrap/>
                  <w:vAlign w:val="center"/>
                </w:tcPr>
                <w:p w14:paraId="70E586C2">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lang w:bidi="ar"/>
                    </w:rPr>
                    <w:t>/</w:t>
                  </w:r>
                </w:p>
              </w:tc>
              <w:tc>
                <w:tcPr>
                  <w:tcW w:w="544" w:type="pct"/>
                  <w:tcBorders>
                    <w:tl2br w:val="nil"/>
                    <w:tr2bl w:val="nil"/>
                  </w:tcBorders>
                  <w:noWrap/>
                  <w:vAlign w:val="center"/>
                </w:tcPr>
                <w:p w14:paraId="109B1E0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0.123</w:t>
                  </w:r>
                </w:p>
              </w:tc>
            </w:tr>
            <w:tr w14:paraId="00B405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restart"/>
                  <w:tcBorders>
                    <w:tl2br w:val="nil"/>
                    <w:tr2bl w:val="nil"/>
                  </w:tcBorders>
                  <w:vAlign w:val="center"/>
                </w:tcPr>
                <w:p w14:paraId="41293EF9">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化粪池</w:t>
                  </w:r>
                </w:p>
              </w:tc>
              <w:tc>
                <w:tcPr>
                  <w:tcW w:w="567" w:type="pct"/>
                  <w:tcBorders>
                    <w:tl2br w:val="nil"/>
                    <w:tr2bl w:val="nil"/>
                  </w:tcBorders>
                  <w:vAlign w:val="center"/>
                </w:tcPr>
                <w:p w14:paraId="3240C582">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去除率</w:t>
                  </w:r>
                </w:p>
              </w:tc>
              <w:tc>
                <w:tcPr>
                  <w:tcW w:w="604" w:type="pct"/>
                  <w:tcBorders>
                    <w:tl2br w:val="nil"/>
                    <w:tr2bl w:val="nil"/>
                  </w:tcBorders>
                  <w:shd w:val="clear" w:color="auto" w:fill="auto"/>
                  <w:noWrap/>
                  <w:vAlign w:val="center"/>
                </w:tcPr>
                <w:p w14:paraId="7A2F939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caps w:val="0"/>
                      <w:color w:val="000000" w:themeColor="text1"/>
                      <w:kern w:val="0"/>
                      <w:sz w:val="21"/>
                      <w:szCs w:val="21"/>
                      <w:u w:val="none" w:color="auto"/>
                      <w:lang w:bidi="ar"/>
                      <w14:textFill>
                        <w14:solidFill>
                          <w14:schemeClr w14:val="tx1"/>
                        </w14:solidFill>
                      </w14:textFill>
                    </w:rPr>
                    <w:t>15%</w:t>
                  </w:r>
                </w:p>
              </w:tc>
              <w:tc>
                <w:tcPr>
                  <w:tcW w:w="604" w:type="pct"/>
                  <w:tcBorders>
                    <w:tl2br w:val="nil"/>
                    <w:tr2bl w:val="nil"/>
                  </w:tcBorders>
                  <w:shd w:val="clear" w:color="auto" w:fill="auto"/>
                  <w:noWrap/>
                  <w:vAlign w:val="center"/>
                </w:tcPr>
                <w:p w14:paraId="3EA40A3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caps w:val="0"/>
                      <w:color w:val="000000" w:themeColor="text1"/>
                      <w:kern w:val="0"/>
                      <w:sz w:val="21"/>
                      <w:szCs w:val="21"/>
                      <w:u w:val="none" w:color="auto"/>
                      <w:lang w:bidi="ar"/>
                      <w14:textFill>
                        <w14:solidFill>
                          <w14:schemeClr w14:val="tx1"/>
                        </w14:solidFill>
                      </w14:textFill>
                    </w:rPr>
                    <w:t>9%</w:t>
                  </w:r>
                </w:p>
              </w:tc>
              <w:tc>
                <w:tcPr>
                  <w:tcW w:w="543" w:type="pct"/>
                  <w:tcBorders>
                    <w:tl2br w:val="nil"/>
                    <w:tr2bl w:val="nil"/>
                  </w:tcBorders>
                  <w:shd w:val="clear" w:color="auto" w:fill="auto"/>
                  <w:noWrap/>
                  <w:vAlign w:val="center"/>
                </w:tcPr>
                <w:p w14:paraId="76FC39A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caps w:val="0"/>
                      <w:color w:val="000000" w:themeColor="text1"/>
                      <w:kern w:val="0"/>
                      <w:sz w:val="21"/>
                      <w:szCs w:val="21"/>
                      <w:u w:val="none" w:color="auto"/>
                      <w:lang w:bidi="ar"/>
                      <w14:textFill>
                        <w14:solidFill>
                          <w14:schemeClr w14:val="tx1"/>
                        </w14:solidFill>
                      </w14:textFill>
                    </w:rPr>
                    <w:t>3%</w:t>
                  </w:r>
                </w:p>
              </w:tc>
              <w:tc>
                <w:tcPr>
                  <w:tcW w:w="667" w:type="pct"/>
                  <w:tcBorders>
                    <w:tl2br w:val="nil"/>
                    <w:tr2bl w:val="nil"/>
                  </w:tcBorders>
                  <w:shd w:val="clear" w:color="auto" w:fill="auto"/>
                  <w:noWrap/>
                  <w:vAlign w:val="center"/>
                </w:tcPr>
                <w:p w14:paraId="0149ED1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themeColor="text1"/>
                      <w:kern w:val="0"/>
                      <w:sz w:val="21"/>
                      <w:szCs w:val="21"/>
                      <w:u w:val="none" w:color="auto"/>
                      <w:lang w:val="en-US" w:eastAsia="zh-CN" w:bidi="ar-SA"/>
                      <w14:textFill>
                        <w14:solidFill>
                          <w14:schemeClr w14:val="tx1"/>
                        </w14:solidFill>
                      </w14:textFill>
                    </w:rPr>
                  </w:pPr>
                  <w:r>
                    <w:rPr>
                      <w:rFonts w:hint="default" w:ascii="Times New Roman" w:hAnsi="Times New Roman" w:cs="Times New Roman"/>
                      <w:caps w:val="0"/>
                      <w:color w:val="000000" w:themeColor="text1"/>
                      <w:kern w:val="0"/>
                      <w:sz w:val="21"/>
                      <w:szCs w:val="21"/>
                      <w:u w:val="none" w:color="auto"/>
                      <w:lang w:bidi="ar"/>
                      <w14:textFill>
                        <w14:solidFill>
                          <w14:schemeClr w14:val="tx1"/>
                        </w14:solidFill>
                      </w14:textFill>
                    </w:rPr>
                    <w:t>3</w:t>
                  </w:r>
                  <w:r>
                    <w:rPr>
                      <w:rFonts w:hint="eastAsia" w:cs="Times New Roman"/>
                      <w:caps w:val="0"/>
                      <w:color w:val="000000" w:themeColor="text1"/>
                      <w:kern w:val="0"/>
                      <w:sz w:val="21"/>
                      <w:szCs w:val="21"/>
                      <w:u w:val="none" w:color="auto"/>
                      <w:lang w:val="en-US" w:eastAsia="zh-CN" w:bidi="ar"/>
                      <w14:textFill>
                        <w14:solidFill>
                          <w14:schemeClr w14:val="tx1"/>
                        </w14:solidFill>
                      </w14:textFill>
                    </w:rPr>
                    <w:t>0</w:t>
                  </w:r>
                  <w:r>
                    <w:rPr>
                      <w:rFonts w:hint="default" w:ascii="Times New Roman" w:hAnsi="Times New Roman" w:cs="Times New Roman"/>
                      <w:caps w:val="0"/>
                      <w:color w:val="000000" w:themeColor="text1"/>
                      <w:kern w:val="0"/>
                      <w:sz w:val="21"/>
                      <w:szCs w:val="21"/>
                      <w:u w:val="none" w:color="auto"/>
                      <w:lang w:bidi="ar"/>
                      <w14:textFill>
                        <w14:solidFill>
                          <w14:schemeClr w14:val="tx1"/>
                        </w14:solidFill>
                      </w14:textFill>
                    </w:rPr>
                    <w:t>%</w:t>
                  </w:r>
                </w:p>
              </w:tc>
              <w:tc>
                <w:tcPr>
                  <w:tcW w:w="543" w:type="pct"/>
                  <w:tcBorders>
                    <w:tl2br w:val="nil"/>
                    <w:tr2bl w:val="nil"/>
                  </w:tcBorders>
                  <w:noWrap/>
                  <w:vAlign w:val="center"/>
                </w:tcPr>
                <w:p w14:paraId="61C4CD2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lang w:bidi="ar"/>
                    </w:rPr>
                    <w:t>/</w:t>
                  </w:r>
                </w:p>
              </w:tc>
              <w:tc>
                <w:tcPr>
                  <w:tcW w:w="544" w:type="pct"/>
                  <w:tcBorders>
                    <w:tl2br w:val="nil"/>
                    <w:tr2bl w:val="nil"/>
                  </w:tcBorders>
                  <w:noWrap/>
                  <w:vAlign w:val="center"/>
                </w:tcPr>
                <w:p w14:paraId="0866274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lang w:bidi="ar"/>
                    </w:rPr>
                    <w:t>0</w:t>
                  </w:r>
                </w:p>
              </w:tc>
            </w:tr>
            <w:tr w14:paraId="46C792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2AA52BBA">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06C21335">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排放</w:t>
                  </w:r>
                </w:p>
                <w:p w14:paraId="6C498827">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浓度(mg/L)</w:t>
                  </w:r>
                </w:p>
              </w:tc>
              <w:tc>
                <w:tcPr>
                  <w:tcW w:w="604" w:type="pct"/>
                  <w:tcBorders>
                    <w:tl2br w:val="nil"/>
                    <w:tr2bl w:val="nil"/>
                  </w:tcBorders>
                  <w:noWrap/>
                  <w:vAlign w:val="center"/>
                </w:tcPr>
                <w:p w14:paraId="718C54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297.5</w:t>
                  </w:r>
                </w:p>
              </w:tc>
              <w:tc>
                <w:tcPr>
                  <w:tcW w:w="604" w:type="pct"/>
                  <w:tcBorders>
                    <w:tl2br w:val="nil"/>
                    <w:tr2bl w:val="nil"/>
                  </w:tcBorders>
                  <w:noWrap/>
                  <w:vAlign w:val="center"/>
                </w:tcPr>
                <w:p w14:paraId="6211B1A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227.5</w:t>
                  </w:r>
                </w:p>
              </w:tc>
              <w:tc>
                <w:tcPr>
                  <w:tcW w:w="543" w:type="pct"/>
                  <w:tcBorders>
                    <w:tl2br w:val="nil"/>
                    <w:tr2bl w:val="nil"/>
                  </w:tcBorders>
                  <w:noWrap/>
                  <w:vAlign w:val="center"/>
                </w:tcPr>
                <w:p w14:paraId="57BB672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highlight w:val="none"/>
                      <w:u w:val="none" w:color="auto"/>
                      <w:lang w:val="en-US" w:eastAsia="zh-CN"/>
                    </w:rPr>
                  </w:pPr>
                  <w:r>
                    <w:rPr>
                      <w:rFonts w:hint="eastAsia" w:cs="Times New Roman"/>
                      <w:b/>
                      <w:bCs/>
                      <w:caps w:val="0"/>
                      <w:color w:val="000000"/>
                      <w:kern w:val="0"/>
                      <w:sz w:val="21"/>
                      <w:szCs w:val="21"/>
                      <w:highlight w:val="none"/>
                      <w:u w:val="none" w:color="auto"/>
                      <w:lang w:val="en-US" w:eastAsia="zh-CN"/>
                    </w:rPr>
                    <w:t>24.25</w:t>
                  </w:r>
                </w:p>
              </w:tc>
              <w:tc>
                <w:tcPr>
                  <w:tcW w:w="667" w:type="pct"/>
                  <w:tcBorders>
                    <w:tl2br w:val="nil"/>
                    <w:tr2bl w:val="nil"/>
                  </w:tcBorders>
                  <w:noWrap/>
                  <w:vAlign w:val="center"/>
                </w:tcPr>
                <w:p w14:paraId="0204B94F">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highlight w:val="none"/>
                      <w:u w:val="none" w:color="auto"/>
                      <w:lang w:val="en-US" w:eastAsia="zh-CN"/>
                    </w:rPr>
                  </w:pPr>
                  <w:r>
                    <w:rPr>
                      <w:rFonts w:hint="eastAsia" w:cs="Times New Roman"/>
                      <w:b/>
                      <w:bCs/>
                      <w:caps w:val="0"/>
                      <w:color w:val="000000"/>
                      <w:kern w:val="0"/>
                      <w:sz w:val="21"/>
                      <w:szCs w:val="21"/>
                      <w:highlight w:val="none"/>
                      <w:u w:val="none" w:color="auto"/>
                      <w:lang w:val="en-US" w:eastAsia="zh-CN"/>
                    </w:rPr>
                    <w:t>140</w:t>
                  </w:r>
                </w:p>
              </w:tc>
              <w:tc>
                <w:tcPr>
                  <w:tcW w:w="543" w:type="pct"/>
                  <w:tcBorders>
                    <w:tl2br w:val="nil"/>
                    <w:tr2bl w:val="nil"/>
                  </w:tcBorders>
                  <w:noWrap/>
                  <w:vAlign w:val="center"/>
                </w:tcPr>
                <w:p w14:paraId="23A4E936">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lang w:bidi="ar"/>
                    </w:rPr>
                  </w:pPr>
                  <w:r>
                    <w:rPr>
                      <w:rFonts w:hint="default" w:ascii="Times New Roman" w:hAnsi="Times New Roman" w:cs="Times New Roman"/>
                      <w:b/>
                      <w:bCs/>
                      <w:caps w:val="0"/>
                      <w:color w:val="000000"/>
                      <w:kern w:val="0"/>
                      <w:sz w:val="21"/>
                      <w:szCs w:val="21"/>
                      <w:u w:val="none" w:color="auto"/>
                      <w:lang w:bidi="ar"/>
                    </w:rPr>
                    <w:t>/</w:t>
                  </w:r>
                </w:p>
              </w:tc>
              <w:tc>
                <w:tcPr>
                  <w:tcW w:w="544" w:type="pct"/>
                  <w:tcBorders>
                    <w:tl2br w:val="nil"/>
                    <w:tr2bl w:val="nil"/>
                  </w:tcBorders>
                  <w:noWrap/>
                  <w:vAlign w:val="center"/>
                </w:tcPr>
                <w:p w14:paraId="01FA5E4D">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50</w:t>
                  </w:r>
                </w:p>
              </w:tc>
            </w:tr>
            <w:tr w14:paraId="57388C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0F65F87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48963558">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排放量（t/a）</w:t>
                  </w:r>
                </w:p>
              </w:tc>
              <w:tc>
                <w:tcPr>
                  <w:tcW w:w="604" w:type="pct"/>
                  <w:tcBorders>
                    <w:tl2br w:val="nil"/>
                    <w:tr2bl w:val="nil"/>
                  </w:tcBorders>
                  <w:noWrap/>
                  <w:vAlign w:val="center"/>
                </w:tcPr>
                <w:p w14:paraId="2537439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0.734</w:t>
                  </w:r>
                </w:p>
              </w:tc>
              <w:tc>
                <w:tcPr>
                  <w:tcW w:w="604" w:type="pct"/>
                  <w:tcBorders>
                    <w:tl2br w:val="nil"/>
                    <w:tr2bl w:val="nil"/>
                  </w:tcBorders>
                  <w:noWrap/>
                  <w:vAlign w:val="center"/>
                </w:tcPr>
                <w:p w14:paraId="6E734E2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0.561</w:t>
                  </w:r>
                </w:p>
              </w:tc>
              <w:tc>
                <w:tcPr>
                  <w:tcW w:w="543" w:type="pct"/>
                  <w:tcBorders>
                    <w:tl2br w:val="nil"/>
                    <w:tr2bl w:val="nil"/>
                  </w:tcBorders>
                  <w:noWrap/>
                  <w:vAlign w:val="center"/>
                </w:tcPr>
                <w:p w14:paraId="7597CE8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highlight w:val="none"/>
                      <w:u w:val="none" w:color="auto"/>
                      <w:lang w:val="en-US" w:eastAsia="zh-CN"/>
                    </w:rPr>
                  </w:pPr>
                  <w:r>
                    <w:rPr>
                      <w:rFonts w:hint="eastAsia" w:cs="Times New Roman"/>
                      <w:caps w:val="0"/>
                      <w:color w:val="000000"/>
                      <w:kern w:val="0"/>
                      <w:sz w:val="21"/>
                      <w:szCs w:val="21"/>
                      <w:highlight w:val="none"/>
                      <w:u w:val="none" w:color="auto"/>
                      <w:lang w:val="en-US" w:eastAsia="zh-CN"/>
                    </w:rPr>
                    <w:t>0.06</w:t>
                  </w:r>
                </w:p>
              </w:tc>
              <w:tc>
                <w:tcPr>
                  <w:tcW w:w="667" w:type="pct"/>
                  <w:tcBorders>
                    <w:tl2br w:val="nil"/>
                    <w:tr2bl w:val="nil"/>
                  </w:tcBorders>
                  <w:noWrap/>
                  <w:vAlign w:val="center"/>
                </w:tcPr>
                <w:p w14:paraId="65025ED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highlight w:val="none"/>
                      <w:u w:val="none" w:color="auto"/>
                      <w:lang w:val="en-US" w:eastAsia="zh-CN"/>
                    </w:rPr>
                  </w:pPr>
                  <w:r>
                    <w:rPr>
                      <w:rFonts w:hint="eastAsia" w:cs="Times New Roman"/>
                      <w:caps w:val="0"/>
                      <w:color w:val="000000"/>
                      <w:kern w:val="0"/>
                      <w:sz w:val="21"/>
                      <w:szCs w:val="21"/>
                      <w:highlight w:val="none"/>
                      <w:u w:val="none" w:color="auto"/>
                      <w:lang w:val="en-US" w:eastAsia="zh-CN"/>
                    </w:rPr>
                    <w:t>0.345</w:t>
                  </w:r>
                </w:p>
              </w:tc>
              <w:tc>
                <w:tcPr>
                  <w:tcW w:w="543" w:type="pct"/>
                  <w:tcBorders>
                    <w:tl2br w:val="nil"/>
                    <w:tr2bl w:val="nil"/>
                  </w:tcBorders>
                  <w:noWrap/>
                  <w:vAlign w:val="center"/>
                </w:tcPr>
                <w:p w14:paraId="388CDD5B">
                  <w:pPr>
                    <w:keepNext w:val="0"/>
                    <w:keepLines w:val="0"/>
                    <w:widowControl/>
                    <w:suppressLineNumbers w:val="0"/>
                    <w:spacing w:before="0" w:beforeAutospacing="0" w:after="0" w:afterAutospacing="0"/>
                    <w:ind w:left="0" w:right="0"/>
                    <w:jc w:val="center"/>
                    <w:textAlignment w:val="center"/>
                    <w:rPr>
                      <w:rFonts w:hint="eastAsia" w:ascii="Times New Roman" w:hAnsi="Times New Roman" w:eastAsia="宋体" w:cs="Times New Roman"/>
                      <w:caps w:val="0"/>
                      <w:color w:val="000000"/>
                      <w:kern w:val="0"/>
                      <w:sz w:val="21"/>
                      <w:szCs w:val="21"/>
                      <w:u w:val="none" w:color="auto"/>
                      <w:lang w:val="en-US" w:eastAsia="zh-CN" w:bidi="ar"/>
                    </w:rPr>
                  </w:pPr>
                  <w:r>
                    <w:rPr>
                      <w:rFonts w:hint="eastAsia" w:cs="Times New Roman"/>
                      <w:caps w:val="0"/>
                      <w:color w:val="000000"/>
                      <w:kern w:val="0"/>
                      <w:sz w:val="21"/>
                      <w:szCs w:val="21"/>
                      <w:u w:val="none" w:color="auto"/>
                      <w:lang w:val="en-US" w:eastAsia="zh-CN" w:bidi="ar"/>
                    </w:rPr>
                    <w:t>/</w:t>
                  </w:r>
                </w:p>
              </w:tc>
              <w:tc>
                <w:tcPr>
                  <w:tcW w:w="544" w:type="pct"/>
                  <w:tcBorders>
                    <w:tl2br w:val="nil"/>
                    <w:tr2bl w:val="nil"/>
                  </w:tcBorders>
                  <w:noWrap/>
                  <w:vAlign w:val="center"/>
                </w:tcPr>
                <w:p w14:paraId="4EC722E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0.062</w:t>
                  </w:r>
                </w:p>
              </w:tc>
            </w:tr>
            <w:tr w14:paraId="05D133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restart"/>
                  <w:tcBorders>
                    <w:tl2br w:val="nil"/>
                    <w:tr2bl w:val="nil"/>
                  </w:tcBorders>
                  <w:vAlign w:val="center"/>
                </w:tcPr>
                <w:p w14:paraId="620239F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综合废水</w:t>
                  </w:r>
                  <w:r>
                    <w:rPr>
                      <w:rFonts w:hint="eastAsia" w:cs="Times New Roman"/>
                      <w:caps w:val="0"/>
                      <w:color w:val="000000"/>
                      <w:kern w:val="0"/>
                      <w:sz w:val="21"/>
                      <w:szCs w:val="21"/>
                      <w:u w:val="none" w:color="auto"/>
                      <w:lang w:val="en-US" w:eastAsia="zh-CN"/>
                    </w:rPr>
                    <w:t>69110.39</w:t>
                  </w:r>
                  <w:r>
                    <w:rPr>
                      <w:rFonts w:hint="default" w:ascii="Times New Roman" w:hAnsi="Times New Roman" w:cs="Times New Roman"/>
                      <w:caps w:val="0"/>
                      <w:color w:val="000000"/>
                      <w:kern w:val="0"/>
                      <w:sz w:val="21"/>
                      <w:szCs w:val="21"/>
                      <w:u w:val="none" w:color="auto"/>
                    </w:rPr>
                    <w:t>m</w:t>
                  </w:r>
                  <w:r>
                    <w:rPr>
                      <w:rFonts w:hint="default" w:ascii="Times New Roman" w:hAnsi="Times New Roman" w:cs="Times New Roman"/>
                      <w:caps w:val="0"/>
                      <w:color w:val="000000"/>
                      <w:kern w:val="0"/>
                      <w:sz w:val="21"/>
                      <w:szCs w:val="21"/>
                      <w:u w:val="none" w:color="auto"/>
                      <w:vertAlign w:val="superscript"/>
                    </w:rPr>
                    <w:t>3</w:t>
                  </w:r>
                  <w:r>
                    <w:rPr>
                      <w:rFonts w:hint="default" w:ascii="Times New Roman" w:hAnsi="Times New Roman" w:cs="Times New Roman"/>
                      <w:caps w:val="0"/>
                      <w:color w:val="000000"/>
                      <w:kern w:val="0"/>
                      <w:sz w:val="21"/>
                      <w:szCs w:val="21"/>
                      <w:u w:val="none" w:color="auto"/>
                    </w:rPr>
                    <w:t>/a</w:t>
                  </w:r>
                </w:p>
              </w:tc>
              <w:tc>
                <w:tcPr>
                  <w:tcW w:w="567" w:type="pct"/>
                  <w:tcBorders>
                    <w:tl2br w:val="nil"/>
                    <w:tr2bl w:val="nil"/>
                  </w:tcBorders>
                  <w:vAlign w:val="center"/>
                </w:tcPr>
                <w:p w14:paraId="199AEE40">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排放</w:t>
                  </w:r>
                </w:p>
                <w:p w14:paraId="29B12C2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浓度(mg/L)</w:t>
                  </w:r>
                </w:p>
              </w:tc>
              <w:tc>
                <w:tcPr>
                  <w:tcW w:w="604" w:type="pct"/>
                  <w:tcBorders>
                    <w:tl2br w:val="nil"/>
                    <w:tr2bl w:val="nil"/>
                  </w:tcBorders>
                  <w:noWrap/>
                  <w:vAlign w:val="center"/>
                </w:tcPr>
                <w:p w14:paraId="2DA2CD7B">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889.00</w:t>
                  </w:r>
                </w:p>
              </w:tc>
              <w:tc>
                <w:tcPr>
                  <w:tcW w:w="604" w:type="pct"/>
                  <w:tcBorders>
                    <w:tl2br w:val="nil"/>
                    <w:tr2bl w:val="nil"/>
                  </w:tcBorders>
                  <w:noWrap/>
                  <w:vAlign w:val="center"/>
                </w:tcPr>
                <w:p w14:paraId="47319A3F">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479.48</w:t>
                  </w:r>
                </w:p>
              </w:tc>
              <w:tc>
                <w:tcPr>
                  <w:tcW w:w="543" w:type="pct"/>
                  <w:tcBorders>
                    <w:tl2br w:val="nil"/>
                    <w:tr2bl w:val="nil"/>
                  </w:tcBorders>
                  <w:noWrap/>
                  <w:vAlign w:val="center"/>
                </w:tcPr>
                <w:p w14:paraId="11E7EAE8">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highlight w:val="none"/>
                      <w:u w:val="none" w:color="auto"/>
                      <w:lang w:val="en-US" w:eastAsia="zh-CN"/>
                    </w:rPr>
                  </w:pPr>
                  <w:r>
                    <w:rPr>
                      <w:rFonts w:hint="eastAsia" w:cs="Times New Roman"/>
                      <w:b/>
                      <w:bCs/>
                      <w:caps w:val="0"/>
                      <w:color w:val="000000"/>
                      <w:kern w:val="0"/>
                      <w:sz w:val="21"/>
                      <w:szCs w:val="21"/>
                      <w:highlight w:val="none"/>
                      <w:u w:val="none" w:color="auto"/>
                      <w:lang w:val="en-US" w:eastAsia="zh-CN"/>
                    </w:rPr>
                    <w:t>20.55</w:t>
                  </w:r>
                </w:p>
              </w:tc>
              <w:tc>
                <w:tcPr>
                  <w:tcW w:w="667" w:type="pct"/>
                  <w:tcBorders>
                    <w:tl2br w:val="nil"/>
                    <w:tr2bl w:val="nil"/>
                  </w:tcBorders>
                  <w:noWrap/>
                  <w:vAlign w:val="center"/>
                </w:tcPr>
                <w:p w14:paraId="5C43CA49">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highlight w:val="none"/>
                      <w:u w:val="none" w:color="auto"/>
                      <w:lang w:val="en-US" w:eastAsia="zh-CN"/>
                    </w:rPr>
                  </w:pPr>
                  <w:r>
                    <w:rPr>
                      <w:rFonts w:hint="eastAsia" w:cs="Times New Roman"/>
                      <w:b/>
                      <w:bCs/>
                      <w:caps w:val="0"/>
                      <w:color w:val="000000"/>
                      <w:kern w:val="0"/>
                      <w:sz w:val="21"/>
                      <w:szCs w:val="21"/>
                      <w:highlight w:val="none"/>
                      <w:u w:val="none" w:color="auto"/>
                      <w:lang w:val="en-US" w:eastAsia="zh-CN"/>
                    </w:rPr>
                    <w:t>347.30</w:t>
                  </w:r>
                </w:p>
              </w:tc>
              <w:tc>
                <w:tcPr>
                  <w:tcW w:w="543" w:type="pct"/>
                  <w:tcBorders>
                    <w:tl2br w:val="nil"/>
                    <w:tr2bl w:val="nil"/>
                  </w:tcBorders>
                  <w:noWrap/>
                  <w:vAlign w:val="center"/>
                </w:tcPr>
                <w:p w14:paraId="5D2EAB1C">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
                    </w:rPr>
                  </w:pPr>
                  <w:r>
                    <w:rPr>
                      <w:rFonts w:hint="eastAsia" w:cs="Times New Roman"/>
                      <w:b/>
                      <w:bCs/>
                      <w:caps w:val="0"/>
                      <w:color w:val="000000"/>
                      <w:kern w:val="0"/>
                      <w:sz w:val="21"/>
                      <w:szCs w:val="21"/>
                      <w:u w:val="none" w:color="auto"/>
                      <w:lang w:val="en-US" w:eastAsia="zh-CN" w:bidi="ar"/>
                    </w:rPr>
                    <w:t>32.93</w:t>
                  </w:r>
                </w:p>
              </w:tc>
              <w:tc>
                <w:tcPr>
                  <w:tcW w:w="544" w:type="pct"/>
                  <w:tcBorders>
                    <w:tl2br w:val="nil"/>
                    <w:tr2bl w:val="nil"/>
                  </w:tcBorders>
                  <w:noWrap/>
                  <w:vAlign w:val="center"/>
                </w:tcPr>
                <w:p w14:paraId="475205D3">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rPr>
                  </w:pPr>
                  <w:r>
                    <w:rPr>
                      <w:rFonts w:hint="eastAsia" w:cs="Times New Roman"/>
                      <w:b/>
                      <w:bCs/>
                      <w:caps w:val="0"/>
                      <w:color w:val="000000"/>
                      <w:kern w:val="0"/>
                      <w:sz w:val="21"/>
                      <w:szCs w:val="21"/>
                      <w:u w:val="none" w:color="auto"/>
                      <w:lang w:val="en-US" w:eastAsia="zh-CN"/>
                    </w:rPr>
                    <w:t>49.50</w:t>
                  </w:r>
                </w:p>
              </w:tc>
            </w:tr>
            <w:tr w14:paraId="21DFAF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07D32EA7">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4077CC2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eastAsia" w:cs="Times New Roman"/>
                      <w:caps w:val="0"/>
                      <w:color w:val="000000"/>
                      <w:kern w:val="0"/>
                      <w:sz w:val="21"/>
                      <w:szCs w:val="21"/>
                      <w:u w:val="none" w:color="auto"/>
                      <w:lang w:val="en-US" w:eastAsia="zh-CN"/>
                    </w:rPr>
                    <w:t>排放</w:t>
                  </w:r>
                  <w:r>
                    <w:rPr>
                      <w:rFonts w:hint="default" w:ascii="Times New Roman" w:hAnsi="Times New Roman" w:cs="Times New Roman"/>
                      <w:caps w:val="0"/>
                      <w:color w:val="000000"/>
                      <w:kern w:val="0"/>
                      <w:sz w:val="21"/>
                      <w:szCs w:val="21"/>
                      <w:u w:val="none" w:color="auto"/>
                    </w:rPr>
                    <w:t>量（t/a）</w:t>
                  </w:r>
                </w:p>
              </w:tc>
              <w:tc>
                <w:tcPr>
                  <w:tcW w:w="604" w:type="pct"/>
                  <w:tcBorders>
                    <w:tl2br w:val="nil"/>
                    <w:tr2bl w:val="nil"/>
                  </w:tcBorders>
                  <w:shd w:val="clear" w:color="auto" w:fill="auto"/>
                  <w:noWrap/>
                  <w:vAlign w:val="center"/>
                </w:tcPr>
                <w:p w14:paraId="2F1B66B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aps w:val="0"/>
                      <w:color w:val="000000"/>
                      <w:kern w:val="2"/>
                      <w:sz w:val="22"/>
                      <w:szCs w:val="22"/>
                      <w:u w:val="none"/>
                      <w:lang w:val="en-US" w:eastAsia="zh-CN"/>
                    </w:rPr>
                  </w:pPr>
                  <w:r>
                    <w:rPr>
                      <w:rFonts w:hint="eastAsia" w:cs="Times New Roman"/>
                      <w:caps w:val="0"/>
                      <w:color w:val="000000"/>
                      <w:kern w:val="2"/>
                      <w:sz w:val="22"/>
                      <w:szCs w:val="22"/>
                      <w:u w:val="none"/>
                      <w:lang w:val="en-US" w:eastAsia="zh-CN"/>
                    </w:rPr>
                    <w:t>61.439</w:t>
                  </w:r>
                </w:p>
              </w:tc>
              <w:tc>
                <w:tcPr>
                  <w:tcW w:w="604" w:type="pct"/>
                  <w:tcBorders>
                    <w:tl2br w:val="nil"/>
                    <w:tr2bl w:val="nil"/>
                  </w:tcBorders>
                  <w:shd w:val="clear" w:color="auto" w:fill="auto"/>
                  <w:noWrap/>
                  <w:vAlign w:val="center"/>
                </w:tcPr>
                <w:p w14:paraId="6B181E80">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aps w:val="0"/>
                      <w:color w:val="000000"/>
                      <w:kern w:val="2"/>
                      <w:sz w:val="22"/>
                      <w:szCs w:val="22"/>
                      <w:u w:val="none"/>
                      <w:lang w:val="en-US" w:eastAsia="zh-CN"/>
                    </w:rPr>
                  </w:pPr>
                  <w:r>
                    <w:rPr>
                      <w:rFonts w:hint="eastAsia" w:cs="Times New Roman"/>
                      <w:caps w:val="0"/>
                      <w:color w:val="000000"/>
                      <w:kern w:val="2"/>
                      <w:sz w:val="22"/>
                      <w:szCs w:val="22"/>
                      <w:u w:val="none"/>
                      <w:lang w:val="en-US" w:eastAsia="zh-CN"/>
                    </w:rPr>
                    <w:t>33.137</w:t>
                  </w:r>
                </w:p>
              </w:tc>
              <w:tc>
                <w:tcPr>
                  <w:tcW w:w="543" w:type="pct"/>
                  <w:tcBorders>
                    <w:tl2br w:val="nil"/>
                    <w:tr2bl w:val="nil"/>
                  </w:tcBorders>
                  <w:shd w:val="clear" w:color="auto" w:fill="auto"/>
                  <w:noWrap/>
                  <w:vAlign w:val="center"/>
                </w:tcPr>
                <w:p w14:paraId="2CAF8A66">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aps w:val="0"/>
                      <w:color w:val="000000"/>
                      <w:kern w:val="2"/>
                      <w:sz w:val="22"/>
                      <w:szCs w:val="22"/>
                      <w:u w:val="none"/>
                      <w:lang w:val="en-US" w:eastAsia="zh-CN"/>
                    </w:rPr>
                  </w:pPr>
                  <w:r>
                    <w:rPr>
                      <w:rFonts w:hint="eastAsia" w:cs="Times New Roman"/>
                      <w:caps w:val="0"/>
                      <w:color w:val="000000"/>
                      <w:kern w:val="2"/>
                      <w:sz w:val="22"/>
                      <w:szCs w:val="22"/>
                      <w:u w:val="none"/>
                      <w:lang w:val="en-US" w:eastAsia="zh-CN"/>
                    </w:rPr>
                    <w:t>1.42</w:t>
                  </w:r>
                </w:p>
              </w:tc>
              <w:tc>
                <w:tcPr>
                  <w:tcW w:w="667" w:type="pct"/>
                  <w:tcBorders>
                    <w:tl2br w:val="nil"/>
                    <w:tr2bl w:val="nil"/>
                  </w:tcBorders>
                  <w:shd w:val="clear" w:color="auto" w:fill="auto"/>
                  <w:noWrap/>
                  <w:vAlign w:val="center"/>
                </w:tcPr>
                <w:p w14:paraId="6FA3D598">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aps w:val="0"/>
                      <w:color w:val="000000"/>
                      <w:kern w:val="2"/>
                      <w:sz w:val="22"/>
                      <w:szCs w:val="22"/>
                      <w:u w:val="none"/>
                      <w:lang w:val="en-US" w:eastAsia="zh-CN"/>
                    </w:rPr>
                  </w:pPr>
                  <w:r>
                    <w:rPr>
                      <w:rFonts w:hint="eastAsia" w:cs="Times New Roman"/>
                      <w:caps w:val="0"/>
                      <w:color w:val="000000"/>
                      <w:kern w:val="2"/>
                      <w:sz w:val="22"/>
                      <w:szCs w:val="22"/>
                      <w:u w:val="none"/>
                      <w:lang w:val="en-US" w:eastAsia="zh-CN"/>
                    </w:rPr>
                    <w:t>24.002</w:t>
                  </w:r>
                </w:p>
              </w:tc>
              <w:tc>
                <w:tcPr>
                  <w:tcW w:w="543" w:type="pct"/>
                  <w:tcBorders>
                    <w:tl2br w:val="nil"/>
                    <w:tr2bl w:val="nil"/>
                  </w:tcBorders>
                  <w:shd w:val="clear" w:color="auto" w:fill="auto"/>
                  <w:noWrap/>
                  <w:vAlign w:val="center"/>
                </w:tcPr>
                <w:p w14:paraId="05803D1D">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aps w:val="0"/>
                      <w:color w:val="000000"/>
                      <w:kern w:val="2"/>
                      <w:sz w:val="22"/>
                      <w:szCs w:val="22"/>
                      <w:u w:val="none"/>
                      <w:lang w:val="en-US" w:eastAsia="zh-CN" w:bidi="ar-SA"/>
                    </w:rPr>
                  </w:pPr>
                  <w:r>
                    <w:rPr>
                      <w:rFonts w:hint="eastAsia" w:cs="Times New Roman"/>
                      <w:caps w:val="0"/>
                      <w:color w:val="000000"/>
                      <w:kern w:val="2"/>
                      <w:sz w:val="22"/>
                      <w:szCs w:val="22"/>
                      <w:u w:val="none"/>
                      <w:lang w:val="en-US" w:eastAsia="zh-CN" w:bidi="ar-SA"/>
                    </w:rPr>
                    <w:t>2.276</w:t>
                  </w:r>
                </w:p>
              </w:tc>
              <w:tc>
                <w:tcPr>
                  <w:tcW w:w="544" w:type="pct"/>
                  <w:tcBorders>
                    <w:tl2br w:val="nil"/>
                    <w:tr2bl w:val="nil"/>
                  </w:tcBorders>
                  <w:shd w:val="clear" w:color="auto" w:fill="auto"/>
                  <w:noWrap/>
                  <w:vAlign w:val="center"/>
                </w:tcPr>
                <w:p w14:paraId="646BFC63">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aps w:val="0"/>
                      <w:color w:val="000000"/>
                      <w:kern w:val="2"/>
                      <w:sz w:val="22"/>
                      <w:szCs w:val="22"/>
                      <w:u w:val="none"/>
                      <w:lang w:val="en-US" w:eastAsia="zh-CN"/>
                    </w:rPr>
                  </w:pPr>
                  <w:r>
                    <w:rPr>
                      <w:rFonts w:hint="eastAsia" w:cs="Times New Roman"/>
                      <w:caps w:val="0"/>
                      <w:color w:val="000000"/>
                      <w:kern w:val="2"/>
                      <w:sz w:val="22"/>
                      <w:szCs w:val="22"/>
                      <w:u w:val="none"/>
                      <w:lang w:val="en-US" w:eastAsia="zh-CN"/>
                    </w:rPr>
                    <w:t>3.421</w:t>
                  </w:r>
                </w:p>
              </w:tc>
            </w:tr>
            <w:tr w14:paraId="21A6FA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restart"/>
                  <w:tcBorders>
                    <w:tl2br w:val="nil"/>
                    <w:tr2bl w:val="nil"/>
                  </w:tcBorders>
                  <w:vAlign w:val="center"/>
                </w:tcPr>
                <w:p w14:paraId="69A76ED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君山区第二污水处理厂前端预处理中心</w:t>
                  </w:r>
                </w:p>
              </w:tc>
              <w:tc>
                <w:tcPr>
                  <w:tcW w:w="567" w:type="pct"/>
                  <w:tcBorders>
                    <w:tl2br w:val="nil"/>
                    <w:tr2bl w:val="nil"/>
                  </w:tcBorders>
                  <w:vAlign w:val="center"/>
                </w:tcPr>
                <w:p w14:paraId="3005B4F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进水浓度要求mg/L)</w:t>
                  </w:r>
                </w:p>
              </w:tc>
              <w:tc>
                <w:tcPr>
                  <w:tcW w:w="604" w:type="pct"/>
                  <w:tcBorders>
                    <w:tl2br w:val="nil"/>
                    <w:tr2bl w:val="nil"/>
                  </w:tcBorders>
                  <w:noWrap/>
                  <w:vAlign w:val="center"/>
                </w:tcPr>
                <w:p w14:paraId="55DCAA5D">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cs="Times New Roman"/>
                      <w:b/>
                      <w:bCs/>
                      <w:caps w:val="0"/>
                      <w:color w:val="000000"/>
                      <w:sz w:val="21"/>
                      <w:szCs w:val="21"/>
                      <w:u w:val="none" w:color="auto"/>
                    </w:rPr>
                    <w:t>≤3500</w:t>
                  </w:r>
                </w:p>
              </w:tc>
              <w:tc>
                <w:tcPr>
                  <w:tcW w:w="604" w:type="pct"/>
                  <w:tcBorders>
                    <w:tl2br w:val="nil"/>
                    <w:tr2bl w:val="nil"/>
                  </w:tcBorders>
                  <w:noWrap/>
                  <w:vAlign w:val="center"/>
                </w:tcPr>
                <w:p w14:paraId="4DAEEF67">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cs="Times New Roman"/>
                      <w:b/>
                      <w:bCs/>
                      <w:caps w:val="0"/>
                      <w:color w:val="000000"/>
                      <w:sz w:val="21"/>
                      <w:szCs w:val="21"/>
                      <w:u w:val="none" w:color="auto"/>
                    </w:rPr>
                    <w:t>≤1500</w:t>
                  </w:r>
                </w:p>
              </w:tc>
              <w:tc>
                <w:tcPr>
                  <w:tcW w:w="543" w:type="pct"/>
                  <w:tcBorders>
                    <w:tl2br w:val="nil"/>
                    <w:tr2bl w:val="nil"/>
                  </w:tcBorders>
                  <w:noWrap/>
                  <w:vAlign w:val="center"/>
                </w:tcPr>
                <w:p w14:paraId="5F27ED1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rPr>
                  </w:pPr>
                  <w:r>
                    <w:rPr>
                      <w:rFonts w:hint="default" w:ascii="Times New Roman" w:hAnsi="Times New Roman" w:cs="Times New Roman"/>
                      <w:b/>
                      <w:bCs/>
                      <w:caps w:val="0"/>
                      <w:color w:val="000000"/>
                      <w:sz w:val="21"/>
                      <w:szCs w:val="21"/>
                      <w:u w:val="none" w:color="auto"/>
                    </w:rPr>
                    <w:t>≤</w:t>
                  </w:r>
                  <w:r>
                    <w:rPr>
                      <w:rFonts w:hint="eastAsia" w:cs="Times New Roman"/>
                      <w:b/>
                      <w:bCs/>
                      <w:caps w:val="0"/>
                      <w:color w:val="000000"/>
                      <w:sz w:val="21"/>
                      <w:szCs w:val="21"/>
                      <w:u w:val="none" w:color="auto"/>
                      <w:lang w:val="en-US" w:eastAsia="zh-CN"/>
                    </w:rPr>
                    <w:t>120</w:t>
                  </w:r>
                </w:p>
              </w:tc>
              <w:tc>
                <w:tcPr>
                  <w:tcW w:w="667" w:type="pct"/>
                  <w:tcBorders>
                    <w:tl2br w:val="nil"/>
                    <w:tr2bl w:val="nil"/>
                  </w:tcBorders>
                  <w:noWrap/>
                  <w:vAlign w:val="center"/>
                </w:tcPr>
                <w:p w14:paraId="01EC6129">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cs="Times New Roman"/>
                      <w:b/>
                      <w:bCs/>
                      <w:caps w:val="0"/>
                      <w:color w:val="000000"/>
                      <w:sz w:val="21"/>
                      <w:szCs w:val="21"/>
                      <w:u w:val="none" w:color="auto"/>
                    </w:rPr>
                    <w:t>≤400</w:t>
                  </w:r>
                </w:p>
              </w:tc>
              <w:tc>
                <w:tcPr>
                  <w:tcW w:w="543" w:type="pct"/>
                  <w:tcBorders>
                    <w:tl2br w:val="nil"/>
                    <w:tr2bl w:val="nil"/>
                  </w:tcBorders>
                  <w:noWrap/>
                  <w:vAlign w:val="center"/>
                </w:tcPr>
                <w:p w14:paraId="2B05D6B4">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sz w:val="21"/>
                      <w:szCs w:val="21"/>
                      <w:u w:val="none" w:color="auto"/>
                    </w:rPr>
                  </w:pPr>
                  <w:r>
                    <w:rPr>
                      <w:rFonts w:hint="default" w:ascii="Times New Roman" w:hAnsi="Times New Roman" w:cs="Times New Roman"/>
                      <w:b/>
                      <w:bCs/>
                      <w:caps w:val="0"/>
                      <w:color w:val="000000"/>
                      <w:sz w:val="21"/>
                      <w:szCs w:val="21"/>
                      <w:u w:val="none" w:color="auto"/>
                    </w:rPr>
                    <w:t>≤200</w:t>
                  </w:r>
                </w:p>
              </w:tc>
              <w:tc>
                <w:tcPr>
                  <w:tcW w:w="544" w:type="pct"/>
                  <w:tcBorders>
                    <w:tl2br w:val="nil"/>
                    <w:tr2bl w:val="nil"/>
                  </w:tcBorders>
                  <w:noWrap/>
                  <w:vAlign w:val="center"/>
                </w:tcPr>
                <w:p w14:paraId="3F04F867">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cs="Times New Roman"/>
                      <w:b/>
                      <w:bCs/>
                      <w:caps w:val="0"/>
                      <w:color w:val="000000"/>
                      <w:sz w:val="21"/>
                      <w:szCs w:val="21"/>
                      <w:u w:val="none" w:color="auto"/>
                    </w:rPr>
                    <w:t>≤100</w:t>
                  </w:r>
                </w:p>
              </w:tc>
            </w:tr>
            <w:tr w14:paraId="0481ED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1180968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3294C667">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达标情况</w:t>
                  </w:r>
                </w:p>
              </w:tc>
              <w:tc>
                <w:tcPr>
                  <w:tcW w:w="604" w:type="pct"/>
                  <w:tcBorders>
                    <w:tl2br w:val="nil"/>
                    <w:tr2bl w:val="nil"/>
                  </w:tcBorders>
                  <w:noWrap/>
                  <w:vAlign w:val="center"/>
                </w:tcPr>
                <w:p w14:paraId="746BEAF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达标</w:t>
                  </w:r>
                </w:p>
              </w:tc>
              <w:tc>
                <w:tcPr>
                  <w:tcW w:w="604" w:type="pct"/>
                  <w:tcBorders>
                    <w:tl2br w:val="nil"/>
                    <w:tr2bl w:val="nil"/>
                  </w:tcBorders>
                  <w:noWrap/>
                  <w:vAlign w:val="center"/>
                </w:tcPr>
                <w:p w14:paraId="1C71A24C">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达标</w:t>
                  </w:r>
                </w:p>
              </w:tc>
              <w:tc>
                <w:tcPr>
                  <w:tcW w:w="543" w:type="pct"/>
                  <w:tcBorders>
                    <w:tl2br w:val="nil"/>
                    <w:tr2bl w:val="nil"/>
                  </w:tcBorders>
                  <w:noWrap/>
                  <w:vAlign w:val="center"/>
                </w:tcPr>
                <w:p w14:paraId="375DBCC6">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达标</w:t>
                  </w:r>
                </w:p>
              </w:tc>
              <w:tc>
                <w:tcPr>
                  <w:tcW w:w="667" w:type="pct"/>
                  <w:tcBorders>
                    <w:tl2br w:val="nil"/>
                    <w:tr2bl w:val="nil"/>
                  </w:tcBorders>
                  <w:noWrap/>
                  <w:vAlign w:val="center"/>
                </w:tcPr>
                <w:p w14:paraId="26EE1A3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达标</w:t>
                  </w:r>
                </w:p>
              </w:tc>
              <w:tc>
                <w:tcPr>
                  <w:tcW w:w="543" w:type="pct"/>
                  <w:tcBorders>
                    <w:tl2br w:val="nil"/>
                    <w:tr2bl w:val="nil"/>
                  </w:tcBorders>
                  <w:noWrap/>
                  <w:vAlign w:val="center"/>
                </w:tcPr>
                <w:p w14:paraId="7848820C">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达标</w:t>
                  </w:r>
                </w:p>
              </w:tc>
              <w:tc>
                <w:tcPr>
                  <w:tcW w:w="544" w:type="pct"/>
                  <w:tcBorders>
                    <w:tl2br w:val="nil"/>
                    <w:tr2bl w:val="nil"/>
                  </w:tcBorders>
                  <w:noWrap/>
                  <w:vAlign w:val="center"/>
                </w:tcPr>
                <w:p w14:paraId="4974D97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达标</w:t>
                  </w:r>
                </w:p>
              </w:tc>
            </w:tr>
            <w:tr w14:paraId="41C78F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restart"/>
                  <w:tcBorders>
                    <w:tl2br w:val="nil"/>
                    <w:tr2bl w:val="nil"/>
                  </w:tcBorders>
                  <w:vAlign w:val="center"/>
                </w:tcPr>
                <w:p w14:paraId="779192B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君山区第二污水处理厂</w:t>
                  </w:r>
                </w:p>
              </w:tc>
              <w:tc>
                <w:tcPr>
                  <w:tcW w:w="567" w:type="pct"/>
                  <w:tcBorders>
                    <w:tl2br w:val="nil"/>
                    <w:tr2bl w:val="nil"/>
                  </w:tcBorders>
                  <w:vAlign w:val="center"/>
                </w:tcPr>
                <w:p w14:paraId="5257C8D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排放浓度</w:t>
                  </w:r>
                </w:p>
              </w:tc>
              <w:tc>
                <w:tcPr>
                  <w:tcW w:w="604" w:type="pct"/>
                  <w:tcBorders>
                    <w:tl2br w:val="nil"/>
                    <w:tr2bl w:val="nil"/>
                  </w:tcBorders>
                  <w:noWrap/>
                  <w:vAlign w:val="center"/>
                </w:tcPr>
                <w:p w14:paraId="12D6B6D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eastAsia="宋体" w:cs="Times New Roman"/>
                      <w:b/>
                      <w:bCs/>
                      <w:i w:val="0"/>
                      <w:iCs w:val="0"/>
                      <w:caps w:val="0"/>
                      <w:color w:val="000000"/>
                      <w:kern w:val="0"/>
                      <w:sz w:val="21"/>
                      <w:szCs w:val="21"/>
                      <w:u w:val="none" w:color="auto"/>
                      <w:lang w:val="en-US" w:eastAsia="zh-CN" w:bidi="ar"/>
                    </w:rPr>
                    <w:t>50</w:t>
                  </w:r>
                </w:p>
              </w:tc>
              <w:tc>
                <w:tcPr>
                  <w:tcW w:w="604" w:type="pct"/>
                  <w:tcBorders>
                    <w:tl2br w:val="nil"/>
                    <w:tr2bl w:val="nil"/>
                  </w:tcBorders>
                  <w:noWrap/>
                  <w:vAlign w:val="center"/>
                </w:tcPr>
                <w:p w14:paraId="6FD63AAB">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eastAsia="宋体" w:cs="Times New Roman"/>
                      <w:b/>
                      <w:bCs/>
                      <w:i w:val="0"/>
                      <w:iCs w:val="0"/>
                      <w:caps w:val="0"/>
                      <w:color w:val="000000"/>
                      <w:kern w:val="0"/>
                      <w:sz w:val="21"/>
                      <w:szCs w:val="21"/>
                      <w:u w:val="none" w:color="auto"/>
                      <w:lang w:val="en-US" w:eastAsia="zh-CN" w:bidi="ar"/>
                    </w:rPr>
                    <w:t>10</w:t>
                  </w:r>
                </w:p>
              </w:tc>
              <w:tc>
                <w:tcPr>
                  <w:tcW w:w="543" w:type="pct"/>
                  <w:tcBorders>
                    <w:tl2br w:val="nil"/>
                    <w:tr2bl w:val="nil"/>
                  </w:tcBorders>
                  <w:noWrap/>
                  <w:vAlign w:val="center"/>
                </w:tcPr>
                <w:p w14:paraId="37CF4433">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rPr>
                  </w:pPr>
                  <w:r>
                    <w:rPr>
                      <w:rFonts w:hint="eastAsia" w:cs="Times New Roman"/>
                      <w:b/>
                      <w:bCs/>
                      <w:i w:val="0"/>
                      <w:iCs w:val="0"/>
                      <w:caps w:val="0"/>
                      <w:color w:val="000000"/>
                      <w:kern w:val="0"/>
                      <w:sz w:val="21"/>
                      <w:szCs w:val="21"/>
                      <w:u w:val="none" w:color="auto"/>
                      <w:lang w:val="en-US" w:eastAsia="zh-CN" w:bidi="ar"/>
                    </w:rPr>
                    <w:t>5</w:t>
                  </w:r>
                </w:p>
              </w:tc>
              <w:tc>
                <w:tcPr>
                  <w:tcW w:w="667" w:type="pct"/>
                  <w:tcBorders>
                    <w:tl2br w:val="nil"/>
                    <w:tr2bl w:val="nil"/>
                  </w:tcBorders>
                  <w:noWrap/>
                  <w:vAlign w:val="center"/>
                </w:tcPr>
                <w:p w14:paraId="11C677F4">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lang w:val="en-US"/>
                    </w:rPr>
                  </w:pPr>
                  <w:r>
                    <w:rPr>
                      <w:rFonts w:hint="eastAsia" w:cs="Times New Roman"/>
                      <w:b/>
                      <w:bCs/>
                      <w:i w:val="0"/>
                      <w:iCs w:val="0"/>
                      <w:caps w:val="0"/>
                      <w:color w:val="000000"/>
                      <w:kern w:val="0"/>
                      <w:sz w:val="21"/>
                      <w:szCs w:val="21"/>
                      <w:u w:val="none" w:color="auto"/>
                      <w:lang w:val="en-US" w:eastAsia="zh-CN" w:bidi="ar"/>
                    </w:rPr>
                    <w:t>10</w:t>
                  </w:r>
                </w:p>
              </w:tc>
              <w:tc>
                <w:tcPr>
                  <w:tcW w:w="543" w:type="pct"/>
                  <w:tcBorders>
                    <w:tl2br w:val="nil"/>
                    <w:tr2bl w:val="nil"/>
                  </w:tcBorders>
                  <w:noWrap/>
                  <w:vAlign w:val="center"/>
                </w:tcPr>
                <w:p w14:paraId="703605E8">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lang w:val="en-US"/>
                    </w:rPr>
                  </w:pPr>
                  <w:r>
                    <w:rPr>
                      <w:rFonts w:hint="eastAsia" w:cs="Times New Roman"/>
                      <w:b/>
                      <w:bCs/>
                      <w:i w:val="0"/>
                      <w:iCs w:val="0"/>
                      <w:caps w:val="0"/>
                      <w:color w:val="000000"/>
                      <w:kern w:val="0"/>
                      <w:sz w:val="21"/>
                      <w:szCs w:val="21"/>
                      <w:u w:val="none" w:color="auto"/>
                      <w:lang w:val="en-US" w:eastAsia="zh-CN" w:bidi="ar"/>
                    </w:rPr>
                    <w:t>15</w:t>
                  </w:r>
                </w:p>
              </w:tc>
              <w:tc>
                <w:tcPr>
                  <w:tcW w:w="544" w:type="pct"/>
                  <w:tcBorders>
                    <w:tl2br w:val="nil"/>
                    <w:tr2bl w:val="nil"/>
                  </w:tcBorders>
                  <w:noWrap/>
                  <w:vAlign w:val="center"/>
                </w:tcPr>
                <w:p w14:paraId="3E53DE8A">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bCs/>
                      <w:caps w:val="0"/>
                      <w:color w:val="000000"/>
                      <w:kern w:val="0"/>
                      <w:sz w:val="21"/>
                      <w:szCs w:val="21"/>
                      <w:u w:val="none" w:color="auto"/>
                    </w:rPr>
                  </w:pPr>
                  <w:r>
                    <w:rPr>
                      <w:rFonts w:hint="default" w:ascii="Times New Roman" w:hAnsi="Times New Roman" w:eastAsia="宋体" w:cs="Times New Roman"/>
                      <w:b/>
                      <w:bCs/>
                      <w:i w:val="0"/>
                      <w:iCs w:val="0"/>
                      <w:caps w:val="0"/>
                      <w:color w:val="000000"/>
                      <w:kern w:val="0"/>
                      <w:sz w:val="21"/>
                      <w:szCs w:val="21"/>
                      <w:u w:val="none" w:color="auto"/>
                      <w:lang w:val="en-US" w:eastAsia="zh-CN" w:bidi="ar"/>
                    </w:rPr>
                    <w:t>1</w:t>
                  </w:r>
                </w:p>
              </w:tc>
            </w:tr>
            <w:tr w14:paraId="45BA12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25" w:type="pct"/>
                  <w:vMerge w:val="continue"/>
                  <w:tcBorders>
                    <w:tl2br w:val="nil"/>
                    <w:tr2bl w:val="nil"/>
                  </w:tcBorders>
                  <w:vAlign w:val="center"/>
                </w:tcPr>
                <w:p w14:paraId="66696A9C">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p>
              </w:tc>
              <w:tc>
                <w:tcPr>
                  <w:tcW w:w="567" w:type="pct"/>
                  <w:tcBorders>
                    <w:tl2br w:val="nil"/>
                    <w:tr2bl w:val="nil"/>
                  </w:tcBorders>
                  <w:vAlign w:val="center"/>
                </w:tcPr>
                <w:p w14:paraId="7E08556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kern w:val="0"/>
                      <w:sz w:val="21"/>
                      <w:szCs w:val="21"/>
                      <w:u w:val="none" w:color="auto"/>
                    </w:rPr>
                  </w:pPr>
                  <w:r>
                    <w:rPr>
                      <w:rFonts w:hint="default" w:ascii="Times New Roman" w:hAnsi="Times New Roman" w:cs="Times New Roman"/>
                      <w:caps w:val="0"/>
                      <w:color w:val="000000"/>
                      <w:kern w:val="0"/>
                      <w:sz w:val="21"/>
                      <w:szCs w:val="21"/>
                      <w:u w:val="none" w:color="auto"/>
                    </w:rPr>
                    <w:t>排放量</w:t>
                  </w:r>
                </w:p>
              </w:tc>
              <w:tc>
                <w:tcPr>
                  <w:tcW w:w="604" w:type="pct"/>
                  <w:tcBorders>
                    <w:tl2br w:val="nil"/>
                    <w:tr2bl w:val="nil"/>
                  </w:tcBorders>
                  <w:noWrap/>
                  <w:vAlign w:val="center"/>
                </w:tcPr>
                <w:p w14:paraId="1F027FF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3.456</w:t>
                  </w:r>
                </w:p>
              </w:tc>
              <w:tc>
                <w:tcPr>
                  <w:tcW w:w="604" w:type="pct"/>
                  <w:tcBorders>
                    <w:tl2br w:val="nil"/>
                    <w:tr2bl w:val="nil"/>
                  </w:tcBorders>
                  <w:noWrap/>
                  <w:vAlign w:val="center"/>
                </w:tcPr>
                <w:p w14:paraId="213D47F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0.691</w:t>
                  </w:r>
                </w:p>
              </w:tc>
              <w:tc>
                <w:tcPr>
                  <w:tcW w:w="543" w:type="pct"/>
                  <w:tcBorders>
                    <w:tl2br w:val="nil"/>
                    <w:tr2bl w:val="nil"/>
                  </w:tcBorders>
                  <w:noWrap/>
                  <w:vAlign w:val="center"/>
                </w:tcPr>
                <w:p w14:paraId="655D29D3">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0.346</w:t>
                  </w:r>
                </w:p>
              </w:tc>
              <w:tc>
                <w:tcPr>
                  <w:tcW w:w="667" w:type="pct"/>
                  <w:tcBorders>
                    <w:tl2br w:val="nil"/>
                    <w:tr2bl w:val="nil"/>
                  </w:tcBorders>
                  <w:noWrap/>
                  <w:vAlign w:val="center"/>
                </w:tcPr>
                <w:p w14:paraId="42578F3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0.691</w:t>
                  </w:r>
                </w:p>
              </w:tc>
              <w:tc>
                <w:tcPr>
                  <w:tcW w:w="543" w:type="pct"/>
                  <w:tcBorders>
                    <w:tl2br w:val="nil"/>
                    <w:tr2bl w:val="nil"/>
                  </w:tcBorders>
                  <w:noWrap/>
                  <w:vAlign w:val="center"/>
                </w:tcPr>
                <w:p w14:paraId="5D5C055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bidi="ar"/>
                    </w:rPr>
                  </w:pPr>
                  <w:r>
                    <w:rPr>
                      <w:rFonts w:hint="eastAsia" w:cs="Times New Roman"/>
                      <w:caps w:val="0"/>
                      <w:color w:val="000000"/>
                      <w:kern w:val="0"/>
                      <w:sz w:val="21"/>
                      <w:szCs w:val="21"/>
                      <w:u w:val="none" w:color="auto"/>
                      <w:lang w:val="en-US" w:eastAsia="zh-CN" w:bidi="ar"/>
                    </w:rPr>
                    <w:t>1.037</w:t>
                  </w:r>
                </w:p>
              </w:tc>
              <w:tc>
                <w:tcPr>
                  <w:tcW w:w="544" w:type="pct"/>
                  <w:tcBorders>
                    <w:tl2br w:val="nil"/>
                    <w:tr2bl w:val="nil"/>
                  </w:tcBorders>
                  <w:noWrap/>
                  <w:vAlign w:val="center"/>
                </w:tcPr>
                <w:p w14:paraId="778CE926">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kern w:val="0"/>
                      <w:sz w:val="21"/>
                      <w:szCs w:val="21"/>
                      <w:u w:val="none" w:color="auto"/>
                      <w:lang w:val="en-US" w:eastAsia="zh-CN"/>
                    </w:rPr>
                  </w:pPr>
                  <w:r>
                    <w:rPr>
                      <w:rFonts w:hint="eastAsia" w:cs="Times New Roman"/>
                      <w:caps w:val="0"/>
                      <w:color w:val="000000"/>
                      <w:kern w:val="0"/>
                      <w:sz w:val="21"/>
                      <w:szCs w:val="21"/>
                      <w:u w:val="none" w:color="auto"/>
                      <w:lang w:val="en-US" w:eastAsia="zh-CN"/>
                    </w:rPr>
                    <w:t>0.069</w:t>
                  </w:r>
                </w:p>
              </w:tc>
            </w:tr>
          </w:tbl>
          <w:p w14:paraId="0D6B7479">
            <w:pPr>
              <w:pStyle w:val="11"/>
              <w:keepNext w:val="0"/>
              <w:keepLines w:val="0"/>
              <w:pageBreakBefore w:val="0"/>
              <w:widowControl/>
              <w:numPr>
                <w:ilvl w:val="0"/>
                <w:numId w:val="21"/>
              </w:numPr>
              <w:suppressLineNumbers w:val="0"/>
              <w:kinsoku/>
              <w:wordWrap/>
              <w:overflowPunct/>
              <w:topLinePunct w:val="0"/>
              <w:autoSpaceDE/>
              <w:autoSpaceDN/>
              <w:bidi w:val="0"/>
              <w:adjustRightInd/>
              <w:snapToGrid/>
              <w:spacing w:before="157" w:beforeLines="50" w:beforeAutospacing="0" w:after="0" w:afterAutospacing="0"/>
              <w:ind w:left="0" w:leftChars="0" w:firstLine="480" w:firstLineChars="200"/>
              <w:textAlignment w:val="auto"/>
              <w:rPr>
                <w:rFonts w:hint="default" w:ascii="Times New Roman" w:hAnsi="Times New Roman" w:eastAsia="宋体" w:cs="Times New Roman"/>
                <w:caps w:val="0"/>
                <w:color w:val="000000"/>
                <w:kern w:val="2"/>
                <w:sz w:val="24"/>
                <w:szCs w:val="24"/>
                <w:u w:val="none" w:color="auto"/>
                <w:lang w:val="en-US" w:eastAsia="zh-CN" w:bidi="ar-SA"/>
              </w:rPr>
            </w:pPr>
            <w:r>
              <w:rPr>
                <w:rFonts w:hint="eastAsia" w:ascii="Times New Roman" w:hAnsi="Times New Roman" w:cs="Times New Roman"/>
                <w:caps w:val="0"/>
                <w:color w:val="000000"/>
                <w:kern w:val="2"/>
                <w:sz w:val="24"/>
                <w:szCs w:val="24"/>
                <w:u w:val="none" w:color="auto"/>
                <w:lang w:val="en-US" w:eastAsia="zh-CN" w:bidi="ar-SA"/>
              </w:rPr>
              <w:t>项目污水排入污水处理厂处理可行性分析</w:t>
            </w:r>
          </w:p>
          <w:p w14:paraId="4822F169">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Cs/>
                <w:caps w:val="0"/>
                <w:color w:val="000000"/>
                <w:sz w:val="24"/>
                <w:u w:val="none" w:color="auto"/>
              </w:rPr>
            </w:pPr>
            <w:r>
              <w:rPr>
                <w:rFonts w:hint="eastAsia" w:ascii="Times New Roman" w:hAnsi="Times New Roman" w:cs="Times New Roman"/>
                <w:bCs/>
                <w:caps w:val="0"/>
                <w:color w:val="000000"/>
                <w:sz w:val="24"/>
                <w:u w:val="none" w:color="auto"/>
              </w:rPr>
              <w:t>君山工业园废水排放路线：企业生产废水</w:t>
            </w:r>
            <w:r>
              <w:rPr>
                <w:rFonts w:hint="default" w:ascii="Times New Roman" w:hAnsi="Times New Roman" w:cs="Times New Roman"/>
                <w:bCs/>
                <w:caps w:val="0"/>
                <w:color w:val="000000"/>
                <w:sz w:val="24"/>
                <w:u w:val="none" w:color="auto"/>
              </w:rPr>
              <w:t>、污水→</w:t>
            </w:r>
            <w:r>
              <w:rPr>
                <w:rFonts w:hint="eastAsia" w:ascii="Times New Roman" w:hAnsi="Times New Roman" w:cs="Times New Roman"/>
                <w:bCs/>
                <w:caps w:val="0"/>
                <w:color w:val="000000"/>
                <w:sz w:val="24"/>
                <w:u w:val="none" w:color="auto"/>
              </w:rPr>
              <w:t>企业生产废水</w:t>
            </w:r>
            <w:r>
              <w:rPr>
                <w:rFonts w:hint="default" w:ascii="Times New Roman" w:hAnsi="Times New Roman" w:cs="Times New Roman"/>
                <w:bCs/>
                <w:caps w:val="0"/>
                <w:color w:val="000000"/>
                <w:sz w:val="24"/>
                <w:u w:val="none" w:color="auto"/>
              </w:rPr>
              <w:t>、污水</w:t>
            </w:r>
            <w:r>
              <w:rPr>
                <w:rFonts w:hint="eastAsia" w:ascii="Times New Roman" w:hAnsi="Times New Roman" w:cs="Times New Roman"/>
                <w:bCs/>
                <w:caps w:val="0"/>
                <w:color w:val="000000"/>
                <w:sz w:val="24"/>
                <w:u w:val="none" w:color="auto"/>
              </w:rPr>
              <w:t>处理</w:t>
            </w:r>
            <w:r>
              <w:rPr>
                <w:rFonts w:hint="default" w:ascii="Times New Roman" w:hAnsi="Times New Roman" w:cs="Times New Roman"/>
                <w:bCs/>
                <w:caps w:val="0"/>
                <w:color w:val="000000"/>
                <w:sz w:val="24"/>
                <w:u w:val="none" w:color="auto"/>
              </w:rPr>
              <w:t>设施→</w:t>
            </w:r>
            <w:r>
              <w:rPr>
                <w:rFonts w:hint="eastAsia" w:ascii="Times New Roman" w:hAnsi="Times New Roman" w:cs="Times New Roman"/>
                <w:bCs/>
                <w:caps w:val="0"/>
                <w:color w:val="000000"/>
                <w:sz w:val="24"/>
                <w:u w:val="none" w:color="auto"/>
              </w:rPr>
              <w:t>园区</w:t>
            </w:r>
            <w:r>
              <w:rPr>
                <w:rFonts w:hint="default" w:ascii="Times New Roman" w:hAnsi="Times New Roman" w:cs="Times New Roman"/>
                <w:bCs/>
                <w:caps w:val="0"/>
                <w:color w:val="000000"/>
                <w:sz w:val="24"/>
                <w:u w:val="none" w:color="auto"/>
              </w:rPr>
              <w:t>污水收集</w:t>
            </w:r>
            <w:r>
              <w:rPr>
                <w:rFonts w:hint="eastAsia" w:ascii="Times New Roman" w:hAnsi="Times New Roman" w:cs="Times New Roman"/>
                <w:bCs/>
                <w:caps w:val="0"/>
                <w:color w:val="000000"/>
                <w:sz w:val="24"/>
                <w:u w:val="none" w:color="auto"/>
              </w:rPr>
              <w:t>管网</w:t>
            </w:r>
            <w:r>
              <w:rPr>
                <w:rFonts w:hint="default" w:ascii="Times New Roman" w:hAnsi="Times New Roman" w:cs="Times New Roman"/>
                <w:bCs/>
                <w:caps w:val="0"/>
                <w:color w:val="000000"/>
                <w:sz w:val="24"/>
                <w:u w:val="none" w:color="auto"/>
              </w:rPr>
              <w:t>→</w:t>
            </w:r>
            <w:r>
              <w:rPr>
                <w:rFonts w:hint="eastAsia" w:ascii="Times New Roman" w:hAnsi="Times New Roman" w:cs="Times New Roman"/>
                <w:bCs/>
                <w:caps w:val="0"/>
                <w:color w:val="000000"/>
                <w:sz w:val="24"/>
                <w:u w:val="none" w:color="auto"/>
              </w:rPr>
              <w:t>纳污</w:t>
            </w:r>
            <w:r>
              <w:rPr>
                <w:rFonts w:hint="default" w:ascii="Times New Roman" w:hAnsi="Times New Roman" w:cs="Times New Roman"/>
                <w:bCs/>
                <w:caps w:val="0"/>
                <w:color w:val="000000"/>
                <w:sz w:val="24"/>
                <w:u w:val="none" w:color="auto"/>
              </w:rPr>
              <w:t>调节池</w:t>
            </w:r>
            <w:r>
              <w:rPr>
                <w:rFonts w:hint="eastAsia" w:ascii="Times New Roman" w:hAnsi="Times New Roman" w:cs="Times New Roman"/>
                <w:bCs/>
                <w:caps w:val="0"/>
                <w:color w:val="000000"/>
                <w:sz w:val="24"/>
                <w:u w:val="none" w:color="auto"/>
              </w:rPr>
              <w:t>前处理</w:t>
            </w:r>
            <w:r>
              <w:rPr>
                <w:rFonts w:hint="default" w:ascii="Times New Roman" w:hAnsi="Times New Roman" w:cs="Times New Roman"/>
                <w:bCs/>
                <w:caps w:val="0"/>
                <w:color w:val="000000"/>
                <w:sz w:val="24"/>
                <w:u w:val="none" w:color="auto"/>
              </w:rPr>
              <w:t>设施→</w:t>
            </w:r>
            <w:r>
              <w:rPr>
                <w:rFonts w:hint="eastAsia" w:ascii="Times New Roman" w:hAnsi="Times New Roman" w:cs="Times New Roman"/>
                <w:bCs/>
                <w:caps w:val="0"/>
                <w:color w:val="000000"/>
                <w:sz w:val="24"/>
                <w:u w:val="none" w:color="auto"/>
              </w:rPr>
              <w:t>纳污</w:t>
            </w:r>
            <w:r>
              <w:rPr>
                <w:rFonts w:hint="default" w:ascii="Times New Roman" w:hAnsi="Times New Roman" w:cs="Times New Roman"/>
                <w:bCs/>
                <w:caps w:val="0"/>
                <w:color w:val="000000"/>
                <w:sz w:val="24"/>
                <w:u w:val="none" w:color="auto"/>
              </w:rPr>
              <w:t>调节池→</w:t>
            </w:r>
            <w:r>
              <w:rPr>
                <w:rFonts w:hint="eastAsia" w:ascii="Times New Roman" w:hAnsi="Times New Roman" w:cs="Times New Roman"/>
                <w:bCs/>
                <w:caps w:val="0"/>
                <w:color w:val="000000"/>
                <w:sz w:val="24"/>
                <w:u w:val="none" w:color="auto"/>
              </w:rPr>
              <w:t>二污预处理中心</w:t>
            </w:r>
            <w:r>
              <w:rPr>
                <w:rFonts w:hint="default" w:ascii="Times New Roman" w:hAnsi="Times New Roman" w:cs="Times New Roman"/>
                <w:bCs/>
                <w:caps w:val="0"/>
                <w:color w:val="000000"/>
                <w:sz w:val="24"/>
                <w:u w:val="none" w:color="auto"/>
              </w:rPr>
              <w:t>及</w:t>
            </w:r>
            <w:r>
              <w:rPr>
                <w:rFonts w:hint="eastAsia" w:ascii="Times New Roman" w:hAnsi="Times New Roman" w:cs="Times New Roman"/>
                <w:bCs/>
                <w:caps w:val="0"/>
                <w:color w:val="000000"/>
                <w:sz w:val="24"/>
                <w:u w:val="none" w:color="auto"/>
              </w:rPr>
              <w:t>第二污水处理厂</w:t>
            </w:r>
            <w:r>
              <w:rPr>
                <w:rFonts w:hint="default" w:ascii="Times New Roman" w:hAnsi="Times New Roman" w:cs="Times New Roman"/>
                <w:bCs/>
                <w:caps w:val="0"/>
                <w:color w:val="000000"/>
                <w:sz w:val="24"/>
                <w:u w:val="none" w:color="auto"/>
              </w:rPr>
              <w:t>→</w:t>
            </w:r>
            <w:r>
              <w:rPr>
                <w:rFonts w:hint="eastAsia" w:ascii="Times New Roman" w:hAnsi="Times New Roman" w:cs="Times New Roman"/>
                <w:bCs/>
                <w:caps w:val="0"/>
                <w:color w:val="000000"/>
                <w:sz w:val="24"/>
                <w:u w:val="none" w:color="auto"/>
              </w:rPr>
              <w:t>达标排</w:t>
            </w:r>
            <w:r>
              <w:rPr>
                <w:rFonts w:hint="default" w:ascii="Times New Roman" w:hAnsi="Times New Roman" w:cs="Times New Roman"/>
                <w:bCs/>
                <w:caps w:val="0"/>
                <w:color w:val="000000"/>
                <w:sz w:val="24"/>
                <w:u w:val="none" w:color="auto"/>
              </w:rPr>
              <w:t>放</w:t>
            </w:r>
            <w:r>
              <w:rPr>
                <w:rFonts w:hint="eastAsia" w:ascii="Times New Roman" w:hAnsi="Times New Roman" w:cs="Times New Roman"/>
                <w:bCs/>
                <w:caps w:val="0"/>
                <w:color w:val="000000"/>
                <w:sz w:val="24"/>
                <w:u w:val="none" w:color="auto"/>
              </w:rPr>
              <w:t>）。</w:t>
            </w:r>
          </w:p>
          <w:p w14:paraId="4BB2F4B4">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Cs/>
                <w:caps w:val="0"/>
                <w:color w:val="000000"/>
                <w:sz w:val="24"/>
                <w:u w:val="none" w:color="auto"/>
              </w:rPr>
            </w:pPr>
            <w:r>
              <w:rPr>
                <w:rFonts w:hint="default" w:ascii="Times New Roman" w:hAnsi="Times New Roman" w:cs="Times New Roman"/>
                <w:bCs/>
                <w:caps w:val="0"/>
                <w:color w:val="000000"/>
                <w:sz w:val="24"/>
                <w:u w:val="none" w:color="auto"/>
              </w:rPr>
              <w:t>君山区第二污水处理厂位于岳阳市君山区柳林洲镇三家店村，工程服务范围为岳阳市君山工业集中区荆江门片区生活污水和生产废水，纳污范围北至长江河堤路，南至省道S306，西抵建新农场大堤，东至岳华村。本项目位于君山工业集中区荆江门片区，可依托君山区第二污水处理厂进行废水处理。</w:t>
            </w:r>
          </w:p>
          <w:p w14:paraId="6BCF8445">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Cs/>
                <w:caps w:val="0"/>
                <w:color w:val="000000"/>
                <w:sz w:val="24"/>
                <w:u w:val="none" w:color="auto"/>
              </w:rPr>
            </w:pPr>
            <w:r>
              <w:rPr>
                <w:rFonts w:hint="eastAsia" w:ascii="Times New Roman" w:hAnsi="Times New Roman" w:cs="Times New Roman"/>
                <w:bCs/>
                <w:caps w:val="0"/>
                <w:color w:val="000000"/>
                <w:sz w:val="24"/>
                <w:u w:val="none" w:color="auto"/>
              </w:rPr>
              <w:t>君山</w:t>
            </w:r>
            <w:r>
              <w:rPr>
                <w:rFonts w:hint="default" w:ascii="Times New Roman" w:hAnsi="Times New Roman" w:cs="Times New Roman"/>
                <w:bCs/>
                <w:caps w:val="0"/>
                <w:color w:val="000000"/>
                <w:sz w:val="24"/>
                <w:u w:val="none" w:color="auto"/>
              </w:rPr>
              <w:t>第二污水处理厂</w:t>
            </w:r>
            <w:r>
              <w:rPr>
                <w:rFonts w:hint="eastAsia" w:ascii="Times New Roman" w:hAnsi="Times New Roman" w:cs="Times New Roman"/>
                <w:bCs/>
                <w:caps w:val="0"/>
                <w:color w:val="000000"/>
                <w:sz w:val="24"/>
                <w:u w:val="none" w:color="auto"/>
              </w:rPr>
              <w:t>预处理中心（君山第二污水处理厂改扩建工程）环评于2019年7月29日取得了岳阳市生态环境局的批复（岳环评</w:t>
            </w:r>
            <w:r>
              <w:rPr>
                <w:rFonts w:hint="eastAsia" w:cs="Times New Roman"/>
                <w:bCs/>
                <w:caps w:val="0"/>
                <w:color w:val="000000"/>
                <w:sz w:val="24"/>
                <w:u w:val="none" w:color="auto"/>
                <w:lang w:val="en-US" w:eastAsia="zh-CN"/>
              </w:rPr>
              <w:t>[</w:t>
            </w:r>
            <w:r>
              <w:rPr>
                <w:rFonts w:hint="eastAsia" w:ascii="Times New Roman" w:hAnsi="Times New Roman" w:cs="Times New Roman"/>
                <w:bCs/>
                <w:caps w:val="0"/>
                <w:color w:val="000000"/>
                <w:sz w:val="24"/>
                <w:u w:val="none" w:color="auto"/>
              </w:rPr>
              <w:t>2019</w:t>
            </w:r>
            <w:r>
              <w:rPr>
                <w:rFonts w:hint="eastAsia" w:cs="Times New Roman"/>
                <w:bCs/>
                <w:caps w:val="0"/>
                <w:color w:val="000000"/>
                <w:sz w:val="24"/>
                <w:u w:val="none" w:color="auto"/>
                <w:lang w:val="en-US" w:eastAsia="zh-CN"/>
              </w:rPr>
              <w:t>]</w:t>
            </w:r>
            <w:r>
              <w:rPr>
                <w:rFonts w:hint="eastAsia" w:ascii="Times New Roman" w:hAnsi="Times New Roman" w:cs="Times New Roman"/>
                <w:bCs/>
                <w:caps w:val="0"/>
                <w:color w:val="000000"/>
                <w:sz w:val="24"/>
                <w:u w:val="none" w:color="auto"/>
              </w:rPr>
              <w:t>103号）。目前已建成投入运营。</w:t>
            </w:r>
            <w:r>
              <w:rPr>
                <w:rFonts w:hint="default" w:ascii="Times New Roman" w:hAnsi="Times New Roman" w:cs="Times New Roman"/>
                <w:bCs/>
                <w:caps w:val="0"/>
                <w:color w:val="000000"/>
                <w:sz w:val="24"/>
                <w:u w:val="none" w:color="auto"/>
              </w:rPr>
              <w:t>废水经预处理中心UASB+两级AO处理后再排入第二污水处理厂进行后续达标处理</w:t>
            </w:r>
            <w:r>
              <w:rPr>
                <w:rFonts w:hint="eastAsia" w:ascii="Times New Roman" w:hAnsi="Times New Roman" w:cs="Times New Roman"/>
                <w:bCs/>
                <w:caps w:val="0"/>
                <w:color w:val="000000"/>
                <w:sz w:val="24"/>
                <w:u w:val="none" w:color="auto"/>
              </w:rPr>
              <w:t>，处理规模为5000m</w:t>
            </w:r>
            <w:r>
              <w:rPr>
                <w:rFonts w:hint="eastAsia" w:ascii="Times New Roman" w:hAnsi="Times New Roman" w:cs="Times New Roman"/>
                <w:bCs/>
                <w:caps w:val="0"/>
                <w:color w:val="000000"/>
                <w:sz w:val="24"/>
                <w:u w:val="none" w:color="auto"/>
                <w:vertAlign w:val="superscript"/>
              </w:rPr>
              <w:t>3</w:t>
            </w:r>
            <w:r>
              <w:rPr>
                <w:rFonts w:hint="eastAsia" w:ascii="Times New Roman" w:hAnsi="Times New Roman" w:cs="Times New Roman"/>
                <w:bCs/>
                <w:caps w:val="0"/>
                <w:color w:val="000000"/>
                <w:sz w:val="24"/>
                <w:u w:val="none" w:color="auto"/>
              </w:rPr>
              <w:t>/d。其工艺流程图如下：</w:t>
            </w:r>
          </w:p>
          <w:p w14:paraId="2432E974">
            <w:pPr>
              <w:keepNext w:val="0"/>
              <w:keepLines w:val="0"/>
              <w:suppressLineNumbers w:val="0"/>
              <w:spacing w:before="0" w:beforeAutospacing="0" w:after="0" w:afterAutospacing="0" w:line="360" w:lineRule="auto"/>
              <w:ind w:left="0" w:leftChars="0" w:right="0" w:rightChars="0" w:firstLine="0" w:firstLineChars="0"/>
              <w:jc w:val="center"/>
              <w:rPr>
                <w:rFonts w:hint="eastAsia" w:ascii="Times New Roman" w:hAnsi="Times New Roman" w:cs="Times New Roman"/>
                <w:bCs/>
                <w:caps w:val="0"/>
                <w:color w:val="000000"/>
                <w:sz w:val="24"/>
                <w:u w:val="none" w:color="auto"/>
              </w:rPr>
            </w:pPr>
            <w:r>
              <w:rPr>
                <w:rFonts w:hint="default" w:ascii="Times New Roman" w:hAnsi="Times New Roman" w:cs="Times New Roman"/>
                <w:bCs/>
                <w:caps w:val="0"/>
                <w:color w:val="000000"/>
                <w:sz w:val="24"/>
                <w:u w:val="none" w:color="auto"/>
              </w:rPr>
              <w:drawing>
                <wp:inline distT="0" distB="0" distL="114300" distR="114300">
                  <wp:extent cx="4107180" cy="1356995"/>
                  <wp:effectExtent l="0" t="0" r="7620" b="14605"/>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35"/>
                          <a:srcRect t="5284"/>
                          <a:stretch>
                            <a:fillRect/>
                          </a:stretch>
                        </pic:blipFill>
                        <pic:spPr>
                          <a:xfrm>
                            <a:off x="0" y="0"/>
                            <a:ext cx="4107180" cy="1356995"/>
                          </a:xfrm>
                          <a:prstGeom prst="rect">
                            <a:avLst/>
                          </a:prstGeom>
                          <a:noFill/>
                          <a:ln>
                            <a:noFill/>
                          </a:ln>
                        </pic:spPr>
                      </pic:pic>
                    </a:graphicData>
                  </a:graphic>
                </wp:inline>
              </w:drawing>
            </w:r>
          </w:p>
          <w:p w14:paraId="1A3A4801">
            <w:pPr>
              <w:keepNext w:val="0"/>
              <w:keepLines w:val="0"/>
              <w:suppressLineNumbers w:val="0"/>
              <w:spacing w:before="0" w:beforeAutospacing="0" w:after="0" w:afterAutospacing="0" w:line="360" w:lineRule="auto"/>
              <w:ind w:left="0" w:right="0"/>
              <w:jc w:val="center"/>
              <w:rPr>
                <w:rFonts w:hint="eastAsia" w:ascii="Times New Roman" w:hAnsi="Times New Roman" w:cs="Times New Roman"/>
                <w:b/>
                <w:bCs w:val="0"/>
                <w:caps w:val="0"/>
                <w:color w:val="000000"/>
                <w:sz w:val="21"/>
                <w:szCs w:val="21"/>
                <w:u w:val="none" w:color="auto"/>
              </w:rPr>
            </w:pPr>
            <w:r>
              <w:rPr>
                <w:rFonts w:hint="eastAsia" w:ascii="Times New Roman" w:hAnsi="Times New Roman" w:cs="Times New Roman"/>
                <w:b/>
                <w:bCs w:val="0"/>
                <w:caps w:val="0"/>
                <w:color w:val="000000"/>
                <w:sz w:val="21"/>
                <w:szCs w:val="21"/>
                <w:u w:val="none" w:color="auto"/>
              </w:rPr>
              <w:t>图4-1 君山第二污水处理厂预处理中心废水处理工艺流程图</w:t>
            </w:r>
          </w:p>
          <w:p w14:paraId="0242794A">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default" w:ascii="Times New Roman" w:hAnsi="Times New Roman" w:cs="Times New Roman"/>
                <w:bCs/>
                <w:caps w:val="0"/>
                <w:color w:val="000000"/>
                <w:sz w:val="24"/>
                <w:u w:val="none" w:color="auto"/>
              </w:rPr>
            </w:pPr>
            <w:r>
              <w:rPr>
                <w:rFonts w:hint="default" w:ascii="Times New Roman" w:hAnsi="Times New Roman" w:cs="Times New Roman"/>
                <w:bCs/>
                <w:caps w:val="0"/>
                <w:color w:val="000000"/>
                <w:sz w:val="24"/>
                <w:u w:val="none" w:color="auto"/>
              </w:rPr>
              <w:t>君山区第二污水处理厂设计规模10000m</w:t>
            </w:r>
            <w:r>
              <w:rPr>
                <w:rFonts w:hint="default" w:ascii="Times New Roman" w:hAnsi="Times New Roman" w:cs="Times New Roman"/>
                <w:bCs/>
                <w:caps w:val="0"/>
                <w:color w:val="000000"/>
                <w:sz w:val="24"/>
                <w:u w:val="none" w:color="auto"/>
                <w:vertAlign w:val="superscript"/>
              </w:rPr>
              <w:t>3</w:t>
            </w:r>
            <w:r>
              <w:rPr>
                <w:rFonts w:hint="default" w:ascii="Times New Roman" w:hAnsi="Times New Roman" w:cs="Times New Roman"/>
                <w:bCs/>
                <w:caps w:val="0"/>
                <w:color w:val="000000"/>
                <w:sz w:val="24"/>
                <w:u w:val="none" w:color="auto"/>
              </w:rPr>
              <w:t>/d，设备按5000m</w:t>
            </w:r>
            <w:r>
              <w:rPr>
                <w:rFonts w:hint="default" w:ascii="Times New Roman" w:hAnsi="Times New Roman" w:cs="Times New Roman"/>
                <w:bCs/>
                <w:caps w:val="0"/>
                <w:color w:val="000000"/>
                <w:sz w:val="24"/>
                <w:u w:val="none" w:color="auto"/>
                <w:vertAlign w:val="superscript"/>
              </w:rPr>
              <w:t>3</w:t>
            </w:r>
            <w:r>
              <w:rPr>
                <w:rFonts w:hint="default" w:ascii="Times New Roman" w:hAnsi="Times New Roman" w:cs="Times New Roman"/>
                <w:bCs/>
                <w:caps w:val="0"/>
                <w:color w:val="000000"/>
                <w:sz w:val="24"/>
                <w:u w:val="none" w:color="auto"/>
              </w:rPr>
              <w:t>/d规模配置，前端设置预处理中心，经预处理中心</w:t>
            </w:r>
            <w:r>
              <w:rPr>
                <w:rFonts w:hint="eastAsia" w:ascii="Times New Roman" w:hAnsi="Times New Roman" w:cs="Times New Roman"/>
                <w:bCs/>
                <w:caps w:val="0"/>
                <w:color w:val="000000"/>
                <w:sz w:val="24"/>
                <w:u w:val="none" w:color="auto"/>
              </w:rPr>
              <w:t>处理后排入君山第二污水处理厂处理</w:t>
            </w:r>
            <w:r>
              <w:rPr>
                <w:rFonts w:hint="default" w:ascii="Times New Roman" w:hAnsi="Times New Roman" w:cs="Times New Roman"/>
                <w:bCs/>
                <w:caps w:val="0"/>
                <w:color w:val="000000"/>
                <w:sz w:val="24"/>
                <w:u w:val="none" w:color="auto"/>
              </w:rPr>
              <w:t>，君山区第二污水处理厂采用预处理（格栅、沉砂、隔油沉淀+气浮处理+调节+气浮）（含除臭）+改良A/A/O +深度处理系统（高效沉淀池+滤布滤池+消毒），根据上述污水处理工艺，可确保出水稳定达到《城镇污水处理厂污染物排放标准》（GB18918-2002）一级</w:t>
            </w:r>
            <w:r>
              <w:rPr>
                <w:rFonts w:hint="eastAsia" w:ascii="Times New Roman" w:hAnsi="Times New Roman" w:cs="Times New Roman"/>
                <w:bCs/>
                <w:caps w:val="0"/>
                <w:color w:val="000000"/>
                <w:sz w:val="24"/>
                <w:u w:val="none" w:color="auto"/>
                <w:lang w:val="en-US" w:eastAsia="zh-CN"/>
              </w:rPr>
              <w:t>A</w:t>
            </w:r>
            <w:r>
              <w:rPr>
                <w:rFonts w:hint="default" w:ascii="Times New Roman" w:hAnsi="Times New Roman" w:cs="Times New Roman"/>
                <w:bCs/>
                <w:caps w:val="0"/>
                <w:color w:val="000000"/>
                <w:sz w:val="24"/>
                <w:u w:val="none" w:color="auto"/>
              </w:rPr>
              <w:t>标准。</w:t>
            </w:r>
          </w:p>
          <w:p w14:paraId="0B6FD729">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bCs/>
                <w:caps w:val="0"/>
                <w:color w:val="000000"/>
                <w:sz w:val="24"/>
                <w:u w:val="none" w:color="auto"/>
              </w:rPr>
            </w:pPr>
            <w:r>
              <w:rPr>
                <w:rFonts w:hint="default" w:ascii="Times New Roman" w:hAnsi="Times New Roman"/>
                <w:bCs/>
                <w:caps w:val="0"/>
                <w:color w:val="000000"/>
                <w:sz w:val="24"/>
                <w:u w:val="none" w:color="auto"/>
              </w:rPr>
              <w:drawing>
                <wp:inline distT="0" distB="0" distL="114300" distR="114300">
                  <wp:extent cx="5153660" cy="2736850"/>
                  <wp:effectExtent l="0" t="0" r="8890" b="635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36"/>
                          <a:srcRect t="2713"/>
                          <a:stretch>
                            <a:fillRect/>
                          </a:stretch>
                        </pic:blipFill>
                        <pic:spPr>
                          <a:xfrm>
                            <a:off x="0" y="0"/>
                            <a:ext cx="5153660" cy="2736850"/>
                          </a:xfrm>
                          <a:prstGeom prst="rect">
                            <a:avLst/>
                          </a:prstGeom>
                          <a:noFill/>
                          <a:ln>
                            <a:noFill/>
                          </a:ln>
                        </pic:spPr>
                      </pic:pic>
                    </a:graphicData>
                  </a:graphic>
                </wp:inline>
              </w:drawing>
            </w:r>
          </w:p>
          <w:p w14:paraId="3929E805">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bCs w:val="0"/>
                <w:caps w:val="0"/>
                <w:color w:val="000000"/>
                <w:sz w:val="21"/>
                <w:szCs w:val="21"/>
                <w:u w:val="none" w:color="auto"/>
              </w:rPr>
            </w:pPr>
            <w:r>
              <w:rPr>
                <w:rFonts w:hint="default" w:ascii="Times New Roman" w:hAnsi="Times New Roman" w:cs="Times New Roman"/>
                <w:b/>
                <w:bCs w:val="0"/>
                <w:caps w:val="0"/>
                <w:color w:val="000000"/>
                <w:sz w:val="21"/>
                <w:szCs w:val="21"/>
                <w:u w:val="none" w:color="auto"/>
              </w:rPr>
              <w:t>图4-</w:t>
            </w:r>
            <w:r>
              <w:rPr>
                <w:rFonts w:hint="eastAsia" w:ascii="Times New Roman" w:hAnsi="Times New Roman" w:cs="Times New Roman"/>
                <w:b/>
                <w:bCs w:val="0"/>
                <w:caps w:val="0"/>
                <w:color w:val="000000"/>
                <w:sz w:val="21"/>
                <w:szCs w:val="21"/>
                <w:u w:val="none" w:color="auto"/>
              </w:rPr>
              <w:t>2</w:t>
            </w:r>
            <w:r>
              <w:rPr>
                <w:rFonts w:hint="default" w:ascii="Times New Roman" w:hAnsi="Times New Roman" w:cs="Times New Roman"/>
                <w:b/>
                <w:bCs w:val="0"/>
                <w:caps w:val="0"/>
                <w:color w:val="000000"/>
                <w:sz w:val="21"/>
                <w:szCs w:val="21"/>
                <w:u w:val="none" w:color="auto"/>
              </w:rPr>
              <w:t xml:space="preserve"> 君山区第二污水处理厂处理工艺流程图</w:t>
            </w:r>
          </w:p>
          <w:p w14:paraId="668BC49D">
            <w:pPr>
              <w:pStyle w:val="33"/>
              <w:keepNext w:val="0"/>
              <w:keepLines w:val="0"/>
              <w:pageBreakBefore w:val="0"/>
              <w:widowControl w:val="0"/>
              <w:numPr>
                <w:ilvl w:val="0"/>
                <w:numId w:val="19"/>
              </w:numPr>
              <w:suppressLineNumbers w:val="0"/>
              <w:kinsoku/>
              <w:wordWrap/>
              <w:overflowPunct/>
              <w:topLinePunct w:val="0"/>
              <w:autoSpaceDE/>
              <w:autoSpaceDN/>
              <w:bidi w:val="0"/>
              <w:adjustRightInd/>
              <w:snapToGrid/>
              <w:spacing w:before="0" w:beforeAutospacing="0" w:after="0" w:afterAutospacing="0"/>
              <w:ind w:right="0" w:firstLine="0" w:firstLineChars="0"/>
              <w:jc w:val="center"/>
              <w:textAlignment w:val="auto"/>
              <w:rPr>
                <w:rFonts w:hint="eastAsia" w:ascii="Times New Roman" w:hAnsi="Times New Roman" w:eastAsia="宋体" w:cs="Times New Roman"/>
                <w:b/>
                <w:bCs/>
                <w:caps w:val="0"/>
                <w:color w:val="000000"/>
                <w:kern w:val="0"/>
                <w:sz w:val="21"/>
                <w:szCs w:val="21"/>
                <w:u w:val="none" w:color="auto"/>
                <w:lang w:val="en-US" w:eastAsia="zh-CN"/>
              </w:rPr>
            </w:pPr>
            <w:r>
              <w:rPr>
                <w:rFonts w:hint="default" w:ascii="Times New Roman" w:hAnsi="Times New Roman" w:cs="Times New Roman"/>
                <w:b/>
                <w:bCs/>
                <w:caps w:val="0"/>
                <w:color w:val="000000"/>
                <w:kern w:val="0"/>
                <w:sz w:val="24"/>
                <w:szCs w:val="24"/>
                <w:u w:val="none" w:color="auto"/>
              </w:rPr>
              <w:t>君山区第二污水处理厂前端废水预处理中心设计水质表</w:t>
            </w:r>
          </w:p>
          <w:p w14:paraId="795292C3">
            <w:pPr>
              <w:pStyle w:val="33"/>
              <w:keepNext w:val="0"/>
              <w:keepLines w:val="0"/>
              <w:pageBreakBefore w:val="0"/>
              <w:widowControl w:val="0"/>
              <w:numPr>
                <w:ilvl w:val="-1"/>
                <w:numId w:val="0"/>
              </w:numPr>
              <w:suppressLineNumbers w:val="0"/>
              <w:tabs>
                <w:tab w:val="left" w:pos="0"/>
              </w:tabs>
              <w:kinsoku/>
              <w:wordWrap/>
              <w:overflowPunct/>
              <w:topLinePunct w:val="0"/>
              <w:autoSpaceDE/>
              <w:autoSpaceDN/>
              <w:bidi w:val="0"/>
              <w:adjustRightInd/>
              <w:snapToGrid/>
              <w:spacing w:before="0" w:beforeAutospacing="0" w:after="0" w:afterAutospacing="0"/>
              <w:ind w:left="420" w:leftChars="200" w:right="0" w:firstLine="0" w:firstLineChars="0"/>
              <w:jc w:val="right"/>
              <w:textAlignment w:val="auto"/>
              <w:rPr>
                <w:rFonts w:hint="eastAsia" w:ascii="Times New Roman" w:hAnsi="Times New Roman" w:eastAsia="宋体" w:cs="Times New Roman"/>
                <w:b/>
                <w:bCs/>
                <w:caps w:val="0"/>
                <w:color w:val="000000"/>
                <w:kern w:val="0"/>
                <w:sz w:val="21"/>
                <w:szCs w:val="21"/>
                <w:u w:val="none" w:color="auto"/>
                <w:lang w:val="en-US" w:eastAsia="zh-CN"/>
              </w:rPr>
            </w:pPr>
            <w:r>
              <w:rPr>
                <w:rFonts w:hint="eastAsia" w:ascii="Times New Roman" w:hAnsi="Times New Roman" w:cs="Times New Roman"/>
                <w:b/>
                <w:bCs/>
                <w:caps w:val="0"/>
                <w:color w:val="000000"/>
                <w:kern w:val="0"/>
                <w:sz w:val="21"/>
                <w:szCs w:val="21"/>
                <w:u w:val="none" w:color="auto"/>
                <w:lang w:val="en-US" w:eastAsia="zh-CN"/>
              </w:rPr>
              <w:t>(单位:mg/L，pH</w:t>
            </w:r>
            <w:r>
              <w:rPr>
                <w:rFonts w:hint="eastAsia" w:cs="Times New Roman"/>
                <w:b/>
                <w:bCs/>
                <w:caps w:val="0"/>
                <w:color w:val="000000"/>
                <w:kern w:val="0"/>
                <w:sz w:val="21"/>
                <w:szCs w:val="21"/>
                <w:u w:val="none" w:color="auto"/>
                <w:lang w:val="en-US" w:eastAsia="zh-CN"/>
              </w:rPr>
              <w:t>无量纲)</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341"/>
              <w:gridCol w:w="612"/>
              <w:gridCol w:w="865"/>
              <w:gridCol w:w="870"/>
              <w:gridCol w:w="944"/>
              <w:gridCol w:w="879"/>
              <w:gridCol w:w="1003"/>
              <w:gridCol w:w="882"/>
            </w:tblGrid>
            <w:tr w14:paraId="7BC9CC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1393" w:type="pct"/>
                  <w:noWrap w:val="0"/>
                  <w:vAlign w:val="center"/>
                </w:tcPr>
                <w:p w14:paraId="69EE6EDF">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eastAsia" w:ascii="Times New Roman" w:hAnsi="Times New Roman" w:cs="Times New Roman"/>
                      <w:b/>
                      <w:bCs/>
                      <w:caps w:val="0"/>
                      <w:color w:val="000000"/>
                      <w:szCs w:val="21"/>
                      <w:u w:val="none" w:color="auto"/>
                      <w:lang w:val="en-US" w:eastAsia="zh-CN"/>
                    </w:rPr>
                    <w:t>水质标准</w:t>
                  </w:r>
                </w:p>
              </w:tc>
              <w:tc>
                <w:tcPr>
                  <w:tcW w:w="364" w:type="pct"/>
                  <w:noWrap w:val="0"/>
                  <w:vAlign w:val="center"/>
                </w:tcPr>
                <w:p w14:paraId="2CFC7DCE">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pH</w:t>
                  </w:r>
                </w:p>
              </w:tc>
              <w:tc>
                <w:tcPr>
                  <w:tcW w:w="515" w:type="pct"/>
                  <w:noWrap w:val="0"/>
                  <w:vAlign w:val="center"/>
                </w:tcPr>
                <w:p w14:paraId="46D385E7">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COD</w:t>
                  </w:r>
                </w:p>
              </w:tc>
              <w:tc>
                <w:tcPr>
                  <w:tcW w:w="518" w:type="pct"/>
                  <w:noWrap w:val="0"/>
                  <w:vAlign w:val="center"/>
                </w:tcPr>
                <w:p w14:paraId="333AF252">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BOD</w:t>
                  </w:r>
                  <w:r>
                    <w:rPr>
                      <w:rFonts w:hint="default" w:ascii="Times New Roman" w:hAnsi="Times New Roman" w:cs="Times New Roman"/>
                      <w:b/>
                      <w:bCs/>
                      <w:caps w:val="0"/>
                      <w:color w:val="000000"/>
                      <w:szCs w:val="21"/>
                      <w:u w:val="none" w:color="auto"/>
                      <w:vertAlign w:val="subscript"/>
                    </w:rPr>
                    <w:t>5</w:t>
                  </w:r>
                </w:p>
              </w:tc>
              <w:tc>
                <w:tcPr>
                  <w:tcW w:w="562" w:type="pct"/>
                  <w:noWrap w:val="0"/>
                  <w:vAlign w:val="center"/>
                </w:tcPr>
                <w:p w14:paraId="33216704">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氨氮</w:t>
                  </w:r>
                </w:p>
              </w:tc>
              <w:tc>
                <w:tcPr>
                  <w:tcW w:w="523" w:type="pct"/>
                  <w:noWrap w:val="0"/>
                  <w:vAlign w:val="center"/>
                </w:tcPr>
                <w:p w14:paraId="4FC24568">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SS</w:t>
                  </w:r>
                </w:p>
              </w:tc>
              <w:tc>
                <w:tcPr>
                  <w:tcW w:w="597" w:type="pct"/>
                  <w:noWrap w:val="0"/>
                  <w:vAlign w:val="center"/>
                </w:tcPr>
                <w:p w14:paraId="55D75D49">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动植物油</w:t>
                  </w:r>
                </w:p>
              </w:tc>
              <w:tc>
                <w:tcPr>
                  <w:tcW w:w="525" w:type="pct"/>
                  <w:noWrap w:val="0"/>
                  <w:vAlign w:val="center"/>
                </w:tcPr>
                <w:p w14:paraId="152969E3">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aps w:val="0"/>
                      <w:color w:val="000000"/>
                      <w:szCs w:val="21"/>
                      <w:u w:val="none" w:color="auto"/>
                      <w:lang w:val="en-US" w:eastAsia="zh-CN"/>
                    </w:rPr>
                  </w:pPr>
                  <w:r>
                    <w:rPr>
                      <w:rFonts w:hint="default" w:ascii="Times New Roman" w:hAnsi="Times New Roman" w:cs="Times New Roman"/>
                      <w:b/>
                      <w:bCs/>
                      <w:caps w:val="0"/>
                      <w:color w:val="000000"/>
                      <w:szCs w:val="21"/>
                      <w:u w:val="none" w:color="auto"/>
                      <w:lang w:val="en-US" w:eastAsia="zh-CN"/>
                    </w:rPr>
                    <w:t>TN</w:t>
                  </w:r>
                </w:p>
              </w:tc>
            </w:tr>
            <w:tr w14:paraId="65F020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3" w:type="pct"/>
                  <w:noWrap w:val="0"/>
                  <w:vAlign w:val="center"/>
                </w:tcPr>
                <w:p w14:paraId="454269FF">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eastAsia" w:ascii="Times New Roman" w:hAnsi="Times New Roman" w:cs="Times New Roman"/>
                      <w:caps w:val="0"/>
                      <w:color w:val="000000"/>
                      <w:szCs w:val="21"/>
                      <w:u w:val="none" w:color="auto"/>
                      <w:lang w:eastAsia="zh-CN"/>
                    </w:rPr>
                    <w:t>君山区第二污水处理厂前端废水预处理中心</w:t>
                  </w:r>
                  <w:r>
                    <w:rPr>
                      <w:rFonts w:hint="default" w:ascii="Times New Roman" w:hAnsi="Times New Roman" w:cs="Times New Roman"/>
                      <w:caps w:val="0"/>
                      <w:color w:val="000000"/>
                      <w:szCs w:val="21"/>
                      <w:u w:val="none" w:color="auto"/>
                    </w:rPr>
                    <w:t>前端预处理工程进水水质标准</w:t>
                  </w:r>
                </w:p>
              </w:tc>
              <w:tc>
                <w:tcPr>
                  <w:tcW w:w="364" w:type="pct"/>
                  <w:noWrap w:val="0"/>
                  <w:vAlign w:val="center"/>
                </w:tcPr>
                <w:p w14:paraId="0FD22E95">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6~9</w:t>
                  </w:r>
                </w:p>
              </w:tc>
              <w:tc>
                <w:tcPr>
                  <w:tcW w:w="515" w:type="pct"/>
                  <w:noWrap w:val="0"/>
                  <w:vAlign w:val="center"/>
                </w:tcPr>
                <w:p w14:paraId="6B2DBFC3">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≤3500</w:t>
                  </w:r>
                </w:p>
              </w:tc>
              <w:tc>
                <w:tcPr>
                  <w:tcW w:w="518" w:type="pct"/>
                  <w:noWrap w:val="0"/>
                  <w:vAlign w:val="center"/>
                </w:tcPr>
                <w:p w14:paraId="5470F6EA">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≤1500</w:t>
                  </w:r>
                </w:p>
              </w:tc>
              <w:tc>
                <w:tcPr>
                  <w:tcW w:w="562" w:type="pct"/>
                  <w:noWrap w:val="0"/>
                  <w:vAlign w:val="center"/>
                </w:tcPr>
                <w:p w14:paraId="312DFAE0">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≤120</w:t>
                  </w:r>
                </w:p>
              </w:tc>
              <w:tc>
                <w:tcPr>
                  <w:tcW w:w="523" w:type="pct"/>
                  <w:noWrap w:val="0"/>
                  <w:vAlign w:val="center"/>
                </w:tcPr>
                <w:p w14:paraId="40E05D61">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≤400</w:t>
                  </w:r>
                </w:p>
              </w:tc>
              <w:tc>
                <w:tcPr>
                  <w:tcW w:w="597" w:type="pct"/>
                  <w:noWrap w:val="0"/>
                  <w:vAlign w:val="center"/>
                </w:tcPr>
                <w:p w14:paraId="4508D63D">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≤100</w:t>
                  </w:r>
                </w:p>
              </w:tc>
              <w:tc>
                <w:tcPr>
                  <w:tcW w:w="525" w:type="pct"/>
                  <w:noWrap w:val="0"/>
                  <w:vAlign w:val="center"/>
                </w:tcPr>
                <w:p w14:paraId="2CC0BFCB">
                  <w:pPr>
                    <w:keepNext w:val="0"/>
                    <w:keepLines w:val="0"/>
                    <w:suppressLineNumbers w:val="0"/>
                    <w:spacing w:before="0" w:beforeAutospacing="0" w:after="0" w:afterAutospacing="0"/>
                    <w:ind w:left="0" w:right="0"/>
                    <w:jc w:val="center"/>
                    <w:rPr>
                      <w:rFonts w:hint="default" w:ascii="Times New Roman" w:hAnsi="Times New Roman" w:eastAsia="宋体" w:cs="Times New Roman"/>
                      <w:caps w:val="0"/>
                      <w:color w:val="000000"/>
                      <w:szCs w:val="21"/>
                      <w:u w:val="none" w:color="auto"/>
                      <w:lang w:val="en-US" w:eastAsia="zh-CN"/>
                    </w:rPr>
                  </w:pPr>
                  <w:r>
                    <w:rPr>
                      <w:rFonts w:hint="default" w:ascii="Times New Roman" w:hAnsi="Times New Roman" w:cs="Times New Roman"/>
                      <w:caps w:val="0"/>
                      <w:color w:val="000000"/>
                      <w:szCs w:val="21"/>
                      <w:u w:val="none" w:color="auto"/>
                    </w:rPr>
                    <w:t>≤</w:t>
                  </w:r>
                  <w:r>
                    <w:rPr>
                      <w:rFonts w:hint="default" w:ascii="Times New Roman" w:hAnsi="Times New Roman" w:cs="Times New Roman"/>
                      <w:caps w:val="0"/>
                      <w:color w:val="000000"/>
                      <w:szCs w:val="21"/>
                      <w:u w:val="none" w:color="auto"/>
                      <w:lang w:val="en-US" w:eastAsia="zh-CN"/>
                    </w:rPr>
                    <w:t>200</w:t>
                  </w:r>
                </w:p>
              </w:tc>
            </w:tr>
            <w:tr w14:paraId="5C84EE1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93" w:type="pct"/>
                  <w:noWrap w:val="0"/>
                  <w:vAlign w:val="center"/>
                </w:tcPr>
                <w:p w14:paraId="0B381137">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lang w:val="en-US" w:eastAsia="zh-CN"/>
                    </w:rPr>
                  </w:pPr>
                  <w:r>
                    <w:rPr>
                      <w:rFonts w:hint="eastAsia" w:cs="Times New Roman"/>
                      <w:caps w:val="0"/>
                      <w:color w:val="000000"/>
                      <w:szCs w:val="21"/>
                      <w:u w:val="none" w:color="auto"/>
                      <w:lang w:val="en-US" w:eastAsia="zh-CN"/>
                    </w:rPr>
                    <w:t>本项目预处理后的浓度</w:t>
                  </w:r>
                </w:p>
              </w:tc>
              <w:tc>
                <w:tcPr>
                  <w:tcW w:w="364" w:type="pct"/>
                  <w:shd w:val="clear" w:color="auto" w:fill="auto"/>
                  <w:noWrap w:val="0"/>
                  <w:vAlign w:val="center"/>
                </w:tcPr>
                <w:p w14:paraId="1EEC0A7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6~9</w:t>
                  </w:r>
                </w:p>
              </w:tc>
              <w:tc>
                <w:tcPr>
                  <w:tcW w:w="855" w:type="dxa"/>
                  <w:shd w:val="clear" w:color="auto" w:fill="auto"/>
                  <w:noWrap w:val="0"/>
                  <w:vAlign w:val="center"/>
                </w:tcPr>
                <w:p w14:paraId="423CA5CA">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eastAsia" w:cs="Times New Roman"/>
                      <w:b/>
                      <w:bCs/>
                      <w:caps w:val="0"/>
                      <w:color w:val="000000"/>
                      <w:kern w:val="0"/>
                      <w:sz w:val="21"/>
                      <w:szCs w:val="21"/>
                      <w:u w:val="none" w:color="auto"/>
                      <w:lang w:val="en-US" w:eastAsia="zh-CN" w:bidi="ar-SA"/>
                    </w:rPr>
                    <w:t>889.00</w:t>
                  </w:r>
                </w:p>
              </w:tc>
              <w:tc>
                <w:tcPr>
                  <w:tcW w:w="860" w:type="dxa"/>
                  <w:shd w:val="clear" w:color="auto" w:fill="auto"/>
                  <w:noWrap w:val="0"/>
                  <w:vAlign w:val="center"/>
                </w:tcPr>
                <w:p w14:paraId="2A90EE61">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eastAsia" w:cs="Times New Roman"/>
                      <w:b/>
                      <w:bCs/>
                      <w:caps w:val="0"/>
                      <w:color w:val="000000"/>
                      <w:kern w:val="0"/>
                      <w:sz w:val="21"/>
                      <w:szCs w:val="21"/>
                      <w:u w:val="none" w:color="auto"/>
                      <w:lang w:val="en-US" w:eastAsia="zh-CN" w:bidi="ar-SA"/>
                    </w:rPr>
                    <w:t>479.48</w:t>
                  </w:r>
                </w:p>
              </w:tc>
              <w:tc>
                <w:tcPr>
                  <w:tcW w:w="933" w:type="dxa"/>
                  <w:shd w:val="clear" w:color="auto" w:fill="auto"/>
                  <w:noWrap w:val="0"/>
                  <w:vAlign w:val="center"/>
                </w:tcPr>
                <w:p w14:paraId="3A3A0071">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eastAsia" w:cs="Times New Roman"/>
                      <w:b/>
                      <w:bCs/>
                      <w:caps w:val="0"/>
                      <w:color w:val="000000"/>
                      <w:kern w:val="0"/>
                      <w:sz w:val="21"/>
                      <w:szCs w:val="21"/>
                      <w:u w:val="none" w:color="auto"/>
                      <w:lang w:val="en-US" w:eastAsia="zh-CN" w:bidi="ar-SA"/>
                    </w:rPr>
                    <w:t>20.55</w:t>
                  </w:r>
                </w:p>
              </w:tc>
              <w:tc>
                <w:tcPr>
                  <w:tcW w:w="868" w:type="dxa"/>
                  <w:shd w:val="clear" w:color="auto" w:fill="auto"/>
                  <w:noWrap w:val="0"/>
                  <w:vAlign w:val="center"/>
                </w:tcPr>
                <w:p w14:paraId="350F63D2">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eastAsia" w:cs="Times New Roman"/>
                      <w:b/>
                      <w:bCs/>
                      <w:caps w:val="0"/>
                      <w:color w:val="000000"/>
                      <w:kern w:val="0"/>
                      <w:sz w:val="21"/>
                      <w:szCs w:val="21"/>
                      <w:u w:val="none" w:color="auto"/>
                      <w:lang w:val="en-US" w:eastAsia="zh-CN" w:bidi="ar-SA"/>
                    </w:rPr>
                    <w:t>347.30</w:t>
                  </w:r>
                </w:p>
              </w:tc>
              <w:tc>
                <w:tcPr>
                  <w:tcW w:w="991" w:type="dxa"/>
                  <w:shd w:val="clear" w:color="auto" w:fill="auto"/>
                  <w:noWrap w:val="0"/>
                  <w:vAlign w:val="center"/>
                </w:tcPr>
                <w:p w14:paraId="3ECCF143">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
                    </w:rPr>
                  </w:pPr>
                  <w:r>
                    <w:rPr>
                      <w:rFonts w:hint="eastAsia" w:cs="Times New Roman"/>
                      <w:b/>
                      <w:bCs/>
                      <w:caps w:val="0"/>
                      <w:color w:val="000000"/>
                      <w:kern w:val="0"/>
                      <w:sz w:val="21"/>
                      <w:szCs w:val="21"/>
                      <w:u w:val="none" w:color="auto"/>
                      <w:lang w:val="en-US" w:eastAsia="zh-CN" w:bidi="ar"/>
                    </w:rPr>
                    <w:t>49.50</w:t>
                  </w:r>
                </w:p>
              </w:tc>
              <w:tc>
                <w:tcPr>
                  <w:tcW w:w="871" w:type="dxa"/>
                  <w:shd w:val="clear" w:color="auto" w:fill="auto"/>
                  <w:noWrap w:val="0"/>
                  <w:vAlign w:val="center"/>
                </w:tcPr>
                <w:p w14:paraId="6ECD8678">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eastAsia" w:cs="Times New Roman"/>
                      <w:b/>
                      <w:bCs/>
                      <w:caps w:val="0"/>
                      <w:color w:val="000000"/>
                      <w:kern w:val="0"/>
                      <w:sz w:val="21"/>
                      <w:szCs w:val="21"/>
                      <w:u w:val="none" w:color="auto"/>
                      <w:lang w:val="en-US" w:eastAsia="zh-CN" w:bidi="ar-SA"/>
                    </w:rPr>
                    <w:t>32.93</w:t>
                  </w:r>
                </w:p>
              </w:tc>
            </w:tr>
          </w:tbl>
          <w:p w14:paraId="32904982">
            <w:pPr>
              <w:keepNext w:val="0"/>
              <w:keepLines w:val="0"/>
              <w:widowControl/>
              <w:suppressLineNumbers w:val="0"/>
              <w:spacing w:before="157" w:beforeLines="50" w:beforeAutospacing="0" w:after="0" w:afterAutospacing="0" w:line="360" w:lineRule="auto"/>
              <w:ind w:left="0" w:right="0" w:firstLine="480" w:firstLineChars="200"/>
              <w:rPr>
                <w:rFonts w:hint="default" w:ascii="Times New Roman" w:hAnsi="Times New Roman" w:cs="Times New Roman"/>
                <w:caps w:val="0"/>
                <w:color w:val="000000"/>
                <w:sz w:val="24"/>
                <w:u w:val="none" w:color="auto"/>
              </w:rPr>
            </w:pPr>
            <w:r>
              <w:rPr>
                <w:rFonts w:hint="eastAsia" w:cs="Times New Roman"/>
                <w:caps w:val="0"/>
                <w:color w:val="000000"/>
                <w:sz w:val="24"/>
                <w:u w:val="none" w:color="auto"/>
                <w:lang w:val="en-US" w:eastAsia="zh-CN"/>
              </w:rPr>
              <w:t>本项目外排</w:t>
            </w:r>
            <w:r>
              <w:rPr>
                <w:rFonts w:hint="default" w:ascii="Times New Roman" w:hAnsi="Times New Roman" w:cs="Times New Roman"/>
                <w:caps w:val="0"/>
                <w:color w:val="000000"/>
                <w:sz w:val="24"/>
                <w:u w:val="none" w:color="auto"/>
                <w:lang w:val="en-US" w:eastAsia="zh-CN"/>
              </w:rPr>
              <w:t>综合废水主要污染因子为COD、BOD</w:t>
            </w:r>
            <w:r>
              <w:rPr>
                <w:rFonts w:hint="default" w:ascii="Times New Roman" w:hAnsi="Times New Roman" w:cs="Times New Roman"/>
                <w:caps w:val="0"/>
                <w:color w:val="000000"/>
                <w:sz w:val="24"/>
                <w:u w:val="none" w:color="auto"/>
                <w:vertAlign w:val="subscript"/>
                <w:lang w:val="en-US" w:eastAsia="zh-CN"/>
              </w:rPr>
              <w:t>5</w:t>
            </w:r>
            <w:r>
              <w:rPr>
                <w:rFonts w:hint="default" w:ascii="Times New Roman" w:hAnsi="Times New Roman" w:cs="Times New Roman"/>
                <w:caps w:val="0"/>
                <w:color w:val="000000"/>
                <w:sz w:val="24"/>
                <w:u w:val="none" w:color="auto"/>
                <w:lang w:val="en-US" w:eastAsia="zh-CN"/>
              </w:rPr>
              <w:t>、SS、氨氮、动植物油、</w:t>
            </w:r>
            <w:r>
              <w:rPr>
                <w:rFonts w:hint="eastAsia" w:ascii="Times New Roman" w:hAnsi="Times New Roman" w:cs="Times New Roman"/>
                <w:caps w:val="0"/>
                <w:color w:val="000000"/>
                <w:sz w:val="24"/>
                <w:u w:val="none" w:color="auto"/>
                <w:lang w:val="en-US" w:eastAsia="zh-CN"/>
              </w:rPr>
              <w:t>TN</w:t>
            </w:r>
            <w:r>
              <w:rPr>
                <w:rFonts w:hint="default" w:ascii="Times New Roman" w:hAnsi="Times New Roman" w:cs="Times New Roman"/>
                <w:caps w:val="0"/>
                <w:color w:val="000000"/>
                <w:sz w:val="24"/>
                <w:u w:val="none" w:color="auto"/>
                <w:lang w:val="en-US" w:eastAsia="zh-CN"/>
              </w:rPr>
              <w:t>等</w:t>
            </w:r>
            <w:r>
              <w:rPr>
                <w:rFonts w:hint="eastAsia" w:ascii="Times New Roman" w:hAnsi="Times New Roman" w:cs="Times New Roman"/>
                <w:caps w:val="0"/>
                <w:color w:val="000000"/>
                <w:sz w:val="24"/>
                <w:u w:val="none" w:color="auto"/>
                <w:lang w:val="en-US" w:eastAsia="zh-CN"/>
              </w:rPr>
              <w:t>，</w:t>
            </w:r>
            <w:r>
              <w:rPr>
                <w:rFonts w:hint="eastAsia" w:ascii="Times New Roman" w:hAnsi="Times New Roman" w:cs="Times New Roman"/>
                <w:caps w:val="0"/>
                <w:color w:val="000000"/>
                <w:sz w:val="24"/>
                <w:szCs w:val="24"/>
                <w:u w:val="none" w:color="auto"/>
                <w:lang w:val="en-US" w:eastAsia="zh-CN"/>
              </w:rPr>
              <w:t>满足君山区第二污水处理厂前端废水预处理中心前端预处理工程进水水质标准要求，对君山区第二污水处理厂前端废水预处理中心前端预处理工程影响较小</w:t>
            </w:r>
            <w:r>
              <w:rPr>
                <w:rFonts w:hint="eastAsia" w:cs="Times New Roman"/>
                <w:caps w:val="0"/>
                <w:color w:val="000000"/>
                <w:sz w:val="24"/>
                <w:szCs w:val="24"/>
                <w:u w:val="none" w:color="auto"/>
                <w:lang w:val="en-US" w:eastAsia="zh-CN"/>
              </w:rPr>
              <w:t>。</w:t>
            </w:r>
          </w:p>
          <w:p w14:paraId="190B4C3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aps w:val="0"/>
                <w:color w:val="000000"/>
                <w:sz w:val="24"/>
                <w:u w:val="none" w:color="auto"/>
              </w:rPr>
            </w:pPr>
            <w:r>
              <w:rPr>
                <w:rFonts w:hint="default" w:ascii="Times New Roman" w:hAnsi="Times New Roman" w:cs="Times New Roman"/>
                <w:bCs/>
                <w:caps w:val="0"/>
                <w:color w:val="000000"/>
                <w:sz w:val="24"/>
                <w:u w:val="none" w:color="auto"/>
              </w:rPr>
              <w:t>本项目位于君山工业集中区荆江门片区，</w:t>
            </w:r>
            <w:r>
              <w:rPr>
                <w:rFonts w:hint="eastAsia" w:cs="Times New Roman"/>
                <w:bCs/>
                <w:caps w:val="0"/>
                <w:color w:val="000000"/>
                <w:sz w:val="24"/>
                <w:u w:val="none" w:color="auto"/>
                <w:lang w:val="en-US" w:eastAsia="zh-CN"/>
              </w:rPr>
              <w:t>属于</w:t>
            </w:r>
            <w:r>
              <w:rPr>
                <w:rFonts w:hint="default" w:ascii="Times New Roman" w:hAnsi="Times New Roman" w:cs="Times New Roman"/>
                <w:bCs/>
                <w:caps w:val="0"/>
                <w:color w:val="000000"/>
                <w:sz w:val="24"/>
                <w:u w:val="none" w:color="auto"/>
              </w:rPr>
              <w:t>君山区第二污水处理厂</w:t>
            </w:r>
            <w:r>
              <w:rPr>
                <w:rFonts w:hint="eastAsia" w:cs="Times New Roman"/>
                <w:bCs/>
                <w:caps w:val="0"/>
                <w:color w:val="000000"/>
                <w:sz w:val="24"/>
                <w:u w:val="none" w:color="auto"/>
                <w:lang w:val="en-US" w:eastAsia="zh-CN"/>
              </w:rPr>
              <w:t>的纳污范围，</w:t>
            </w:r>
            <w:r>
              <w:rPr>
                <w:rFonts w:hint="default" w:ascii="Times New Roman" w:hAnsi="Times New Roman" w:cs="Times New Roman"/>
                <w:bCs/>
                <w:caps w:val="0"/>
                <w:color w:val="000000"/>
                <w:sz w:val="24"/>
                <w:u w:val="none" w:color="auto"/>
              </w:rPr>
              <w:t>可依托君山区第二污水处理厂进行废水处理。</w:t>
            </w:r>
            <w:r>
              <w:rPr>
                <w:rFonts w:hint="eastAsia" w:cs="Times New Roman"/>
                <w:bCs/>
                <w:caps w:val="0"/>
                <w:color w:val="000000"/>
                <w:sz w:val="24"/>
                <w:u w:val="none" w:color="auto"/>
                <w:lang w:val="en-US" w:eastAsia="zh-CN"/>
              </w:rPr>
              <w:t>君山第二污水处理厂</w:t>
            </w:r>
            <w:r>
              <w:rPr>
                <w:rFonts w:hint="default" w:ascii="Times New Roman" w:hAnsi="Times New Roman" w:cs="Times New Roman"/>
                <w:bCs/>
                <w:caps w:val="0"/>
                <w:color w:val="000000"/>
                <w:sz w:val="24"/>
                <w:u w:val="none" w:color="auto"/>
              </w:rPr>
              <w:t>预处理中心处理规模为5000m</w:t>
            </w:r>
            <w:r>
              <w:rPr>
                <w:rFonts w:hint="default" w:ascii="Times New Roman" w:hAnsi="Times New Roman" w:cs="Times New Roman"/>
                <w:bCs/>
                <w:caps w:val="0"/>
                <w:color w:val="000000"/>
                <w:sz w:val="24"/>
                <w:u w:val="none" w:color="auto"/>
                <w:vertAlign w:val="superscript"/>
              </w:rPr>
              <w:t>3</w:t>
            </w:r>
            <w:r>
              <w:rPr>
                <w:rFonts w:hint="default" w:ascii="Times New Roman" w:hAnsi="Times New Roman" w:cs="Times New Roman"/>
                <w:bCs/>
                <w:caps w:val="0"/>
                <w:color w:val="000000"/>
                <w:sz w:val="24"/>
                <w:u w:val="none" w:color="auto"/>
              </w:rPr>
              <w:t>/d，本项目污水排放量为</w:t>
            </w:r>
            <w:r>
              <w:rPr>
                <w:rFonts w:hint="eastAsia" w:cs="Times New Roman"/>
                <w:bCs/>
                <w:caps w:val="0"/>
                <w:color w:val="000000"/>
                <w:sz w:val="24"/>
                <w:u w:val="none" w:color="auto"/>
                <w:lang w:val="en-US" w:eastAsia="zh-CN"/>
              </w:rPr>
              <w:t>276.44</w:t>
            </w:r>
            <w:r>
              <w:rPr>
                <w:rFonts w:hint="default" w:ascii="Times New Roman" w:hAnsi="Times New Roman" w:cs="Times New Roman"/>
                <w:bCs/>
                <w:caps w:val="0"/>
                <w:color w:val="000000"/>
                <w:sz w:val="24"/>
                <w:u w:val="none" w:color="auto"/>
                <w:lang w:val="en-US" w:eastAsia="zh-CN"/>
              </w:rPr>
              <w:t>m</w:t>
            </w:r>
            <w:r>
              <w:rPr>
                <w:rFonts w:hint="default" w:ascii="Times New Roman" w:hAnsi="Times New Roman" w:cs="Times New Roman"/>
                <w:bCs/>
                <w:caps w:val="0"/>
                <w:color w:val="000000"/>
                <w:sz w:val="24"/>
                <w:u w:val="none" w:color="auto"/>
                <w:vertAlign w:val="superscript"/>
                <w:lang w:val="en-US" w:eastAsia="zh-CN"/>
              </w:rPr>
              <w:t>3</w:t>
            </w:r>
            <w:r>
              <w:rPr>
                <w:rFonts w:hint="default" w:ascii="Times New Roman" w:hAnsi="Times New Roman" w:cs="Times New Roman"/>
                <w:bCs/>
                <w:caps w:val="0"/>
                <w:color w:val="000000"/>
                <w:sz w:val="24"/>
                <w:u w:val="none" w:color="auto"/>
              </w:rPr>
              <w:t>/d</w:t>
            </w:r>
            <w:r>
              <w:rPr>
                <w:rFonts w:hint="default" w:ascii="Times New Roman" w:hAnsi="Times New Roman" w:cs="Times New Roman"/>
                <w:bCs/>
                <w:caps w:val="0"/>
                <w:color w:val="000000"/>
                <w:sz w:val="24"/>
                <w:u w:val="none" w:color="auto"/>
                <w:lang w:eastAsia="zh-CN"/>
              </w:rPr>
              <w:t>（</w:t>
            </w:r>
            <w:r>
              <w:rPr>
                <w:rFonts w:hint="eastAsia" w:cs="Times New Roman"/>
                <w:bCs/>
                <w:caps w:val="0"/>
                <w:color w:val="000000"/>
                <w:sz w:val="24"/>
                <w:u w:val="none" w:color="auto"/>
                <w:lang w:val="en-US" w:eastAsia="zh-CN"/>
              </w:rPr>
              <w:t>69110.39</w:t>
            </w:r>
            <w:r>
              <w:rPr>
                <w:rFonts w:hint="default" w:ascii="Times New Roman" w:hAnsi="Times New Roman" w:cs="Times New Roman"/>
                <w:bCs/>
                <w:caps w:val="0"/>
                <w:color w:val="000000"/>
                <w:sz w:val="24"/>
                <w:u w:val="none" w:color="auto"/>
                <w:lang w:eastAsia="zh-CN"/>
              </w:rPr>
              <w:t>m</w:t>
            </w:r>
            <w:r>
              <w:rPr>
                <w:rFonts w:hint="default" w:ascii="Times New Roman" w:hAnsi="Times New Roman" w:cs="Times New Roman"/>
                <w:bCs/>
                <w:caps w:val="0"/>
                <w:color w:val="000000"/>
                <w:sz w:val="24"/>
                <w:u w:val="none" w:color="auto"/>
                <w:vertAlign w:val="superscript"/>
                <w:lang w:eastAsia="zh-CN"/>
              </w:rPr>
              <w:t>3</w:t>
            </w:r>
            <w:r>
              <w:rPr>
                <w:rFonts w:hint="default" w:ascii="Times New Roman" w:hAnsi="Times New Roman" w:cs="Times New Roman"/>
                <w:bCs/>
                <w:caps w:val="0"/>
                <w:color w:val="000000"/>
                <w:sz w:val="24"/>
                <w:u w:val="none" w:color="auto"/>
                <w:lang w:eastAsia="zh-CN"/>
              </w:rPr>
              <w:t>/a）</w:t>
            </w:r>
            <w:r>
              <w:rPr>
                <w:rFonts w:hint="default" w:ascii="Times New Roman" w:hAnsi="Times New Roman" w:cs="Times New Roman"/>
                <w:bCs/>
                <w:caps w:val="0"/>
                <w:color w:val="000000"/>
                <w:sz w:val="24"/>
                <w:u w:val="none" w:color="auto"/>
              </w:rPr>
              <w:t>，</w:t>
            </w:r>
            <w:r>
              <w:rPr>
                <w:rFonts w:hint="eastAsia" w:cs="Times New Roman"/>
                <w:bCs/>
                <w:caps w:val="0"/>
                <w:color w:val="000000"/>
                <w:sz w:val="24"/>
                <w:u w:val="none" w:color="auto"/>
                <w:lang w:val="en-US" w:eastAsia="zh-CN"/>
              </w:rPr>
              <w:t>仅占君山第二污水处理厂预处理中心处理规模的5.53%，不会对君山第二污水处理厂造成冲击影响，</w:t>
            </w:r>
            <w:r>
              <w:rPr>
                <w:rFonts w:hint="default" w:ascii="Times New Roman" w:hAnsi="Times New Roman" w:cs="Times New Roman"/>
                <w:bCs/>
                <w:caps w:val="0"/>
                <w:color w:val="000000"/>
                <w:sz w:val="24"/>
                <w:u w:val="none" w:color="auto"/>
              </w:rPr>
              <w:t>且本项目排放废水水质能够满足其接纳要求。同时项目区域污水管道已铺设完整，因此，本项目污水排入</w:t>
            </w:r>
            <w:r>
              <w:rPr>
                <w:rFonts w:hint="eastAsia" w:cs="Times New Roman"/>
                <w:bCs/>
                <w:caps w:val="0"/>
                <w:color w:val="000000"/>
                <w:sz w:val="24"/>
                <w:u w:val="none" w:color="auto"/>
                <w:lang w:val="en-US" w:eastAsia="zh-CN"/>
              </w:rPr>
              <w:t>君山第二</w:t>
            </w:r>
            <w:r>
              <w:rPr>
                <w:rFonts w:hint="default" w:ascii="Times New Roman" w:hAnsi="Times New Roman" w:cs="Times New Roman"/>
                <w:bCs/>
                <w:caps w:val="0"/>
                <w:color w:val="000000"/>
                <w:sz w:val="24"/>
                <w:u w:val="none" w:color="auto"/>
              </w:rPr>
              <w:t>污水处理厂</w:t>
            </w:r>
            <w:r>
              <w:rPr>
                <w:rFonts w:hint="eastAsia" w:cs="Times New Roman"/>
                <w:bCs/>
                <w:caps w:val="0"/>
                <w:color w:val="000000"/>
                <w:sz w:val="24"/>
                <w:u w:val="none" w:color="auto"/>
                <w:lang w:val="en-US" w:eastAsia="zh-CN"/>
              </w:rPr>
              <w:t>具有可行性</w:t>
            </w:r>
            <w:r>
              <w:rPr>
                <w:rFonts w:hint="default" w:ascii="Times New Roman" w:hAnsi="Times New Roman" w:cs="Times New Roman"/>
                <w:bCs/>
                <w:caps w:val="0"/>
                <w:color w:val="000000"/>
                <w:sz w:val="24"/>
                <w:u w:val="none" w:color="auto"/>
              </w:rPr>
              <w:t>。</w:t>
            </w:r>
          </w:p>
          <w:p w14:paraId="169EA637">
            <w:pPr>
              <w:pStyle w:val="11"/>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firstLine="480" w:firstLineChars="200"/>
              <w:textAlignment w:val="auto"/>
              <w:rPr>
                <w:rFonts w:hint="default" w:ascii="Times New Roman" w:hAnsi="Times New Roman"/>
                <w:bCs/>
                <w:caps w:val="0"/>
                <w:color w:val="000000"/>
                <w:sz w:val="24"/>
                <w:u w:val="none" w:color="auto"/>
                <w:lang w:val="en-US" w:eastAsia="zh-CN"/>
              </w:rPr>
            </w:pPr>
            <w:r>
              <w:rPr>
                <w:rFonts w:hint="eastAsia" w:ascii="Times New Roman" w:hAnsi="Times New Roman" w:cs="Times New Roman"/>
                <w:bCs/>
                <w:caps w:val="0"/>
                <w:color w:val="000000"/>
                <w:sz w:val="24"/>
                <w:u w:val="none" w:color="auto"/>
              </w:rPr>
              <w:t>综上，</w:t>
            </w:r>
            <w:r>
              <w:rPr>
                <w:rFonts w:hint="eastAsia" w:cs="Times New Roman"/>
                <w:bCs/>
                <w:caps w:val="0"/>
                <w:color w:val="000000"/>
                <w:sz w:val="24"/>
                <w:u w:val="none" w:color="auto"/>
                <w:lang w:val="en-US" w:eastAsia="zh-CN"/>
              </w:rPr>
              <w:t>本</w:t>
            </w:r>
            <w:r>
              <w:rPr>
                <w:rFonts w:hint="eastAsia" w:ascii="Times New Roman" w:hAnsi="Times New Roman" w:cs="Times New Roman"/>
                <w:bCs/>
                <w:caps w:val="0"/>
                <w:color w:val="000000"/>
                <w:sz w:val="24"/>
                <w:u w:val="none" w:color="auto"/>
              </w:rPr>
              <w:t>项目</w:t>
            </w:r>
            <w:r>
              <w:rPr>
                <w:rFonts w:hint="eastAsia" w:cs="Times New Roman"/>
                <w:bCs/>
                <w:caps w:val="0"/>
                <w:color w:val="000000"/>
                <w:sz w:val="24"/>
                <w:u w:val="none" w:color="auto"/>
                <w:lang w:val="en-US" w:eastAsia="zh-CN"/>
              </w:rPr>
              <w:t>综合废水</w:t>
            </w:r>
            <w:r>
              <w:rPr>
                <w:rFonts w:hint="eastAsia" w:ascii="Times New Roman" w:hAnsi="Times New Roman" w:cs="Times New Roman"/>
                <w:bCs/>
                <w:caps w:val="0"/>
                <w:color w:val="000000"/>
                <w:sz w:val="24"/>
                <w:u w:val="none" w:color="auto"/>
              </w:rPr>
              <w:t>通过</w:t>
            </w:r>
            <w:r>
              <w:rPr>
                <w:rFonts w:hint="eastAsia" w:cs="Times New Roman"/>
                <w:bCs/>
                <w:caps w:val="0"/>
                <w:color w:val="000000"/>
                <w:sz w:val="24"/>
                <w:u w:val="none" w:color="auto"/>
                <w:lang w:val="en-US" w:eastAsia="zh-CN"/>
              </w:rPr>
              <w:t>园区污水</w:t>
            </w:r>
            <w:r>
              <w:rPr>
                <w:rFonts w:hint="eastAsia" w:ascii="Times New Roman" w:hAnsi="Times New Roman" w:cs="Times New Roman"/>
                <w:bCs/>
                <w:caps w:val="0"/>
                <w:color w:val="000000"/>
                <w:sz w:val="24"/>
                <w:u w:val="none" w:color="auto"/>
              </w:rPr>
              <w:t>管网接入</w:t>
            </w:r>
            <w:r>
              <w:rPr>
                <w:rFonts w:hint="default" w:ascii="Times New Roman" w:hAnsi="Times New Roman" w:cs="Times New Roman"/>
                <w:bCs/>
                <w:caps w:val="0"/>
                <w:color w:val="000000"/>
                <w:sz w:val="24"/>
                <w:u w:val="none" w:color="auto"/>
              </w:rPr>
              <w:t>君山区第二污水处理厂</w:t>
            </w:r>
            <w:r>
              <w:rPr>
                <w:rFonts w:hint="eastAsia" w:ascii="Times New Roman" w:hAnsi="Times New Roman" w:cs="Times New Roman"/>
                <w:bCs/>
                <w:caps w:val="0"/>
                <w:color w:val="000000"/>
                <w:sz w:val="24"/>
                <w:u w:val="none" w:color="auto"/>
              </w:rPr>
              <w:t>在容量上、接管标准上均可行。</w:t>
            </w:r>
          </w:p>
          <w:p w14:paraId="64F94076">
            <w:pPr>
              <w:pStyle w:val="11"/>
              <w:keepNext w:val="0"/>
              <w:keepLines w:val="0"/>
              <w:pageBreakBefore w:val="0"/>
              <w:widowControl/>
              <w:numPr>
                <w:ilvl w:val="0"/>
                <w:numId w:val="21"/>
              </w:numPr>
              <w:suppressLineNumbers w:val="0"/>
              <w:kinsoku/>
              <w:wordWrap/>
              <w:overflowPunct/>
              <w:topLinePunct w:val="0"/>
              <w:autoSpaceDE/>
              <w:autoSpaceDN/>
              <w:bidi w:val="0"/>
              <w:adjustRightInd/>
              <w:snapToGrid/>
              <w:spacing w:before="0" w:beforeAutospacing="0" w:after="0" w:afterAutospacing="0"/>
              <w:ind w:left="0" w:leftChars="0" w:firstLine="480" w:firstLineChars="200"/>
              <w:textAlignment w:val="auto"/>
              <w:rPr>
                <w:rFonts w:hint="default" w:ascii="Times New Roman" w:hAnsi="Times New Roman" w:eastAsia="宋体" w:cs="Times New Roman"/>
                <w:caps w:val="0"/>
                <w:color w:val="000000"/>
                <w:kern w:val="2"/>
                <w:sz w:val="24"/>
                <w:szCs w:val="24"/>
                <w:u w:val="none" w:color="auto"/>
                <w:lang w:val="en-US" w:eastAsia="zh-CN" w:bidi="ar-SA"/>
              </w:rPr>
            </w:pPr>
            <w:r>
              <w:rPr>
                <w:rFonts w:hint="eastAsia" w:ascii="Times New Roman" w:hAnsi="Times New Roman" w:cs="Times New Roman"/>
                <w:caps w:val="0"/>
                <w:color w:val="000000"/>
                <w:kern w:val="2"/>
                <w:sz w:val="24"/>
                <w:szCs w:val="24"/>
                <w:u w:val="none" w:color="auto"/>
                <w:lang w:val="en-US" w:eastAsia="zh-CN" w:bidi="ar-SA"/>
              </w:rPr>
              <w:t>污染物排放情况</w:t>
            </w:r>
          </w:p>
          <w:p w14:paraId="188382FC">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aps w:val="0"/>
                <w:color w:val="000000"/>
                <w:sz w:val="24"/>
                <w:u w:val="none" w:color="auto"/>
              </w:rPr>
            </w:pPr>
            <w:r>
              <w:rPr>
                <w:rFonts w:hint="default" w:ascii="Times New Roman" w:hAnsi="Times New Roman" w:cs="Times New Roman"/>
                <w:bCs/>
                <w:caps w:val="0"/>
                <w:color w:val="000000"/>
                <w:sz w:val="24"/>
                <w:u w:val="none" w:color="auto"/>
              </w:rPr>
              <w:t>本项目废水类别、污染物及污染治理措施见</w:t>
            </w:r>
            <w:r>
              <w:rPr>
                <w:rFonts w:hint="eastAsia" w:ascii="Times New Roman" w:hAnsi="Times New Roman" w:cs="Times New Roman"/>
                <w:bCs/>
                <w:caps w:val="0"/>
                <w:color w:val="000000"/>
                <w:sz w:val="24"/>
                <w:u w:val="none" w:color="auto"/>
              </w:rPr>
              <w:t>下</w:t>
            </w:r>
            <w:r>
              <w:rPr>
                <w:rFonts w:hint="default" w:ascii="Times New Roman" w:hAnsi="Times New Roman" w:cs="Times New Roman"/>
                <w:bCs/>
                <w:caps w:val="0"/>
                <w:color w:val="000000"/>
                <w:sz w:val="24"/>
                <w:u w:val="none" w:color="auto"/>
              </w:rPr>
              <w:t>表。</w:t>
            </w:r>
          </w:p>
          <w:p w14:paraId="7EE81B0D">
            <w:pPr>
              <w:pStyle w:val="33"/>
              <w:keepNext w:val="0"/>
              <w:keepLines w:val="0"/>
              <w:numPr>
                <w:ilvl w:val="0"/>
                <w:numId w:val="19"/>
              </w:numPr>
              <w:suppressLineNumbers w:val="0"/>
              <w:spacing w:before="0" w:beforeAutospacing="0" w:after="0" w:afterAutospacing="0"/>
              <w:ind w:right="0" w:firstLineChars="0"/>
              <w:jc w:val="center"/>
              <w:rPr>
                <w:rFonts w:hint="default" w:ascii="Times New Roman" w:hAnsi="Times New Roman" w:eastAsia="宋体" w:cs="Times New Roman"/>
                <w:b/>
                <w:caps w:val="0"/>
                <w:color w:val="000000"/>
                <w:kern w:val="2"/>
                <w:sz w:val="21"/>
                <w:szCs w:val="21"/>
                <w:u w:val="none" w:color="auto"/>
                <w:lang w:val="en-US" w:eastAsia="zh-CN" w:bidi="ar-SA"/>
              </w:rPr>
            </w:pPr>
            <w:r>
              <w:rPr>
                <w:rFonts w:hint="default" w:ascii="Times New Roman" w:hAnsi="Times New Roman" w:eastAsia="宋体" w:cs="Times New Roman"/>
                <w:b/>
                <w:caps w:val="0"/>
                <w:color w:val="000000"/>
                <w:kern w:val="2"/>
                <w:sz w:val="24"/>
                <w:szCs w:val="24"/>
                <w:u w:val="none" w:color="auto"/>
                <w:lang w:val="en-US" w:eastAsia="zh-CN" w:bidi="ar-SA"/>
              </w:rPr>
              <w:t>本项目废水类别、污染物及污染治理措施信息表</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1"/>
              <w:gridCol w:w="529"/>
              <w:gridCol w:w="1045"/>
              <w:gridCol w:w="696"/>
              <w:gridCol w:w="773"/>
              <w:gridCol w:w="867"/>
              <w:gridCol w:w="654"/>
              <w:gridCol w:w="785"/>
              <w:gridCol w:w="891"/>
              <w:gridCol w:w="691"/>
              <w:gridCol w:w="1034"/>
            </w:tblGrid>
            <w:tr w14:paraId="348E24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7" w:type="pct"/>
                  <w:vMerge w:val="restart"/>
                  <w:vAlign w:val="center"/>
                </w:tcPr>
                <w:p w14:paraId="1570158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序号</w:t>
                  </w:r>
                </w:p>
              </w:tc>
              <w:tc>
                <w:tcPr>
                  <w:tcW w:w="315" w:type="pct"/>
                  <w:vMerge w:val="restart"/>
                  <w:vAlign w:val="center"/>
                </w:tcPr>
                <w:p w14:paraId="501BA97A">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废水类别</w:t>
                  </w:r>
                </w:p>
              </w:tc>
              <w:tc>
                <w:tcPr>
                  <w:tcW w:w="622" w:type="pct"/>
                  <w:vMerge w:val="restart"/>
                  <w:vAlign w:val="center"/>
                </w:tcPr>
                <w:p w14:paraId="42715D1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污染物种类</w:t>
                  </w:r>
                </w:p>
              </w:tc>
              <w:tc>
                <w:tcPr>
                  <w:tcW w:w="414" w:type="pct"/>
                  <w:vMerge w:val="restart"/>
                  <w:vAlign w:val="center"/>
                </w:tcPr>
                <w:p w14:paraId="1A741FA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排放去向</w:t>
                  </w:r>
                </w:p>
              </w:tc>
              <w:tc>
                <w:tcPr>
                  <w:tcW w:w="460" w:type="pct"/>
                  <w:vMerge w:val="restart"/>
                  <w:vAlign w:val="center"/>
                </w:tcPr>
                <w:p w14:paraId="11AD022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排放规律</w:t>
                  </w:r>
                </w:p>
              </w:tc>
              <w:tc>
                <w:tcPr>
                  <w:tcW w:w="1372" w:type="pct"/>
                  <w:gridSpan w:val="3"/>
                  <w:vAlign w:val="center"/>
                </w:tcPr>
                <w:p w14:paraId="37C8D4E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污染治理设施</w:t>
                  </w:r>
                </w:p>
              </w:tc>
              <w:tc>
                <w:tcPr>
                  <w:tcW w:w="530" w:type="pct"/>
                  <w:vMerge w:val="restart"/>
                  <w:vAlign w:val="center"/>
                </w:tcPr>
                <w:p w14:paraId="49DB392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排放口编号</w:t>
                  </w:r>
                </w:p>
              </w:tc>
              <w:tc>
                <w:tcPr>
                  <w:tcW w:w="411" w:type="pct"/>
                  <w:vMerge w:val="restart"/>
                  <w:vAlign w:val="center"/>
                </w:tcPr>
                <w:p w14:paraId="13746B4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排放口设置是否符合要求</w:t>
                  </w:r>
                </w:p>
              </w:tc>
              <w:tc>
                <w:tcPr>
                  <w:tcW w:w="615" w:type="pct"/>
                  <w:vMerge w:val="restart"/>
                  <w:vAlign w:val="center"/>
                </w:tcPr>
                <w:p w14:paraId="18B0E28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排放口类型</w:t>
                  </w:r>
                </w:p>
              </w:tc>
            </w:tr>
            <w:tr w14:paraId="367A5E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7" w:type="pct"/>
                  <w:vMerge w:val="continue"/>
                  <w:vAlign w:val="center"/>
                </w:tcPr>
                <w:p w14:paraId="2B5EB17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315" w:type="pct"/>
                  <w:vMerge w:val="continue"/>
                  <w:vAlign w:val="center"/>
                </w:tcPr>
                <w:p w14:paraId="4968893C">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622" w:type="pct"/>
                  <w:vMerge w:val="continue"/>
                  <w:vAlign w:val="center"/>
                </w:tcPr>
                <w:p w14:paraId="1F795A7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414" w:type="pct"/>
                  <w:vMerge w:val="continue"/>
                  <w:vAlign w:val="center"/>
                </w:tcPr>
                <w:p w14:paraId="1CF0E1E4">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460" w:type="pct"/>
                  <w:vMerge w:val="continue"/>
                  <w:vAlign w:val="center"/>
                </w:tcPr>
                <w:p w14:paraId="37654828">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516" w:type="pct"/>
                  <w:vAlign w:val="center"/>
                </w:tcPr>
                <w:p w14:paraId="7DA687EE">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污染治理设施编号</w:t>
                  </w:r>
                </w:p>
              </w:tc>
              <w:tc>
                <w:tcPr>
                  <w:tcW w:w="389" w:type="pct"/>
                  <w:vAlign w:val="center"/>
                </w:tcPr>
                <w:p w14:paraId="08F2CC6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污染治理设施名称</w:t>
                  </w:r>
                </w:p>
              </w:tc>
              <w:tc>
                <w:tcPr>
                  <w:tcW w:w="467" w:type="pct"/>
                  <w:vAlign w:val="center"/>
                </w:tcPr>
                <w:p w14:paraId="1F43918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aps w:val="0"/>
                      <w:color w:val="000000"/>
                      <w:kern w:val="0"/>
                      <w:sz w:val="21"/>
                      <w:szCs w:val="21"/>
                      <w:u w:val="none" w:color="auto"/>
                      <w:lang w:val="en-US" w:eastAsia="zh-CN" w:bidi="ar-SA"/>
                    </w:rPr>
                  </w:pPr>
                  <w:r>
                    <w:rPr>
                      <w:rFonts w:hint="default" w:ascii="Times New Roman" w:hAnsi="Times New Roman" w:eastAsia="宋体" w:cs="Times New Roman"/>
                      <w:b/>
                      <w:bCs/>
                      <w:caps w:val="0"/>
                      <w:color w:val="000000"/>
                      <w:kern w:val="0"/>
                      <w:sz w:val="21"/>
                      <w:szCs w:val="21"/>
                      <w:u w:val="none" w:color="auto"/>
                      <w:lang w:val="en-US" w:eastAsia="zh-CN" w:bidi="ar-SA"/>
                    </w:rPr>
                    <w:t>污染治理设施工艺</w:t>
                  </w:r>
                </w:p>
              </w:tc>
              <w:tc>
                <w:tcPr>
                  <w:tcW w:w="530" w:type="pct"/>
                  <w:vMerge w:val="continue"/>
                  <w:vAlign w:val="center"/>
                </w:tcPr>
                <w:p w14:paraId="2EAC12C4">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411" w:type="pct"/>
                  <w:vMerge w:val="continue"/>
                  <w:vAlign w:val="center"/>
                </w:tcPr>
                <w:p w14:paraId="1081B518">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615" w:type="pct"/>
                  <w:vMerge w:val="continue"/>
                  <w:vAlign w:val="center"/>
                </w:tcPr>
                <w:p w14:paraId="7C48143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r>
            <w:tr w14:paraId="5E6F1B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7" w:type="pct"/>
                  <w:vAlign w:val="center"/>
                </w:tcPr>
                <w:p w14:paraId="5F086B9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1</w:t>
                  </w:r>
                </w:p>
              </w:tc>
              <w:tc>
                <w:tcPr>
                  <w:tcW w:w="315" w:type="pct"/>
                  <w:vAlign w:val="center"/>
                </w:tcPr>
                <w:p w14:paraId="3E13FA88">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生产废水</w:t>
                  </w:r>
                </w:p>
              </w:tc>
              <w:tc>
                <w:tcPr>
                  <w:tcW w:w="622" w:type="pct"/>
                  <w:vAlign w:val="center"/>
                </w:tcPr>
                <w:p w14:paraId="0BF1210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CODcr、BOD</w:t>
                  </w:r>
                  <w:r>
                    <w:rPr>
                      <w:rFonts w:hint="default" w:ascii="Times New Roman" w:hAnsi="Times New Roman" w:eastAsia="宋体" w:cs="Times New Roman"/>
                      <w:caps w:val="0"/>
                      <w:color w:val="000000"/>
                      <w:kern w:val="0"/>
                      <w:sz w:val="21"/>
                      <w:szCs w:val="21"/>
                      <w:u w:val="none" w:color="auto"/>
                      <w:vertAlign w:val="subscript"/>
                      <w:lang w:val="en-US" w:eastAsia="zh-CN" w:bidi="ar-SA"/>
                    </w:rPr>
                    <w:t>5</w:t>
                  </w:r>
                  <w:r>
                    <w:rPr>
                      <w:rFonts w:hint="default" w:ascii="Times New Roman" w:hAnsi="Times New Roman" w:eastAsia="宋体" w:cs="Times New Roman"/>
                      <w:caps w:val="0"/>
                      <w:color w:val="000000"/>
                      <w:kern w:val="0"/>
                      <w:sz w:val="21"/>
                      <w:szCs w:val="21"/>
                      <w:u w:val="none" w:color="auto"/>
                      <w:lang w:val="en-US" w:eastAsia="zh-CN" w:bidi="ar-SA"/>
                    </w:rPr>
                    <w:t>、SS、NH</w:t>
                  </w:r>
                  <w:r>
                    <w:rPr>
                      <w:rFonts w:hint="default" w:ascii="Times New Roman" w:hAnsi="Times New Roman" w:eastAsia="宋体" w:cs="Times New Roman"/>
                      <w:caps w:val="0"/>
                      <w:color w:val="000000"/>
                      <w:kern w:val="0"/>
                      <w:sz w:val="21"/>
                      <w:szCs w:val="21"/>
                      <w:u w:val="none" w:color="auto"/>
                      <w:vertAlign w:val="subscript"/>
                      <w:lang w:val="en-US" w:eastAsia="zh-CN" w:bidi="ar-SA"/>
                    </w:rPr>
                    <w:t>3</w:t>
                  </w:r>
                  <w:r>
                    <w:rPr>
                      <w:rFonts w:hint="default" w:ascii="Times New Roman" w:hAnsi="Times New Roman" w:eastAsia="宋体" w:cs="Times New Roman"/>
                      <w:caps w:val="0"/>
                      <w:color w:val="000000"/>
                      <w:kern w:val="0"/>
                      <w:sz w:val="21"/>
                      <w:szCs w:val="21"/>
                      <w:u w:val="none" w:color="auto"/>
                      <w:lang w:val="en-US" w:eastAsia="zh-CN" w:bidi="ar-SA"/>
                    </w:rPr>
                    <w:t>-N、TN</w:t>
                  </w:r>
                  <w:r>
                    <w:rPr>
                      <w:rFonts w:hint="eastAsia" w:cs="Times New Roman"/>
                      <w:caps w:val="0"/>
                      <w:color w:val="000000"/>
                      <w:kern w:val="0"/>
                      <w:sz w:val="21"/>
                      <w:szCs w:val="21"/>
                      <w:u w:val="none" w:color="auto"/>
                      <w:lang w:val="en-US" w:eastAsia="zh-CN" w:bidi="ar-SA"/>
                    </w:rPr>
                    <w:t>、动植物油</w:t>
                  </w:r>
                </w:p>
              </w:tc>
              <w:tc>
                <w:tcPr>
                  <w:tcW w:w="414" w:type="pct"/>
                  <w:vMerge w:val="restart"/>
                  <w:vAlign w:val="center"/>
                </w:tcPr>
                <w:p w14:paraId="151C6AF5">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君山区第二污水处理厂前端废水预处理中心、岳阳市君山区第二污水处理厂</w:t>
                  </w:r>
                </w:p>
              </w:tc>
              <w:tc>
                <w:tcPr>
                  <w:tcW w:w="460" w:type="pct"/>
                  <w:vAlign w:val="center"/>
                </w:tcPr>
                <w:p w14:paraId="6F3BC20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间断排放，排放期间流量稳定</w:t>
                  </w:r>
                </w:p>
              </w:tc>
              <w:tc>
                <w:tcPr>
                  <w:tcW w:w="516" w:type="pct"/>
                  <w:vAlign w:val="center"/>
                </w:tcPr>
                <w:p w14:paraId="1A6FE56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TW001</w:t>
                  </w:r>
                </w:p>
              </w:tc>
              <w:tc>
                <w:tcPr>
                  <w:tcW w:w="389" w:type="pct"/>
                  <w:vAlign w:val="center"/>
                </w:tcPr>
                <w:p w14:paraId="34254A3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cs="Times New Roman"/>
                      <w:caps w:val="0"/>
                      <w:color w:val="000000"/>
                      <w:kern w:val="0"/>
                      <w:sz w:val="21"/>
                      <w:szCs w:val="21"/>
                      <w:u w:val="none" w:color="auto"/>
                      <w:lang w:val="en-US" w:eastAsia="zh-CN" w:bidi="ar-SA"/>
                    </w:rPr>
                    <w:t>隔油沉淀池</w:t>
                  </w:r>
                </w:p>
              </w:tc>
              <w:tc>
                <w:tcPr>
                  <w:tcW w:w="467" w:type="pct"/>
                  <w:vAlign w:val="center"/>
                </w:tcPr>
                <w:p w14:paraId="2D5E9610">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cs="Times New Roman"/>
                      <w:caps w:val="0"/>
                      <w:color w:val="000000"/>
                      <w:kern w:val="0"/>
                      <w:sz w:val="21"/>
                      <w:szCs w:val="21"/>
                      <w:u w:val="none" w:color="auto"/>
                      <w:lang w:val="en-US" w:eastAsia="zh-CN" w:bidi="ar-SA"/>
                    </w:rPr>
                    <w:t>沉降分离</w:t>
                  </w:r>
                </w:p>
              </w:tc>
              <w:tc>
                <w:tcPr>
                  <w:tcW w:w="530" w:type="pct"/>
                  <w:vMerge w:val="restart"/>
                  <w:vAlign w:val="center"/>
                </w:tcPr>
                <w:p w14:paraId="36BDEF1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DW001</w:t>
                  </w:r>
                </w:p>
              </w:tc>
              <w:tc>
                <w:tcPr>
                  <w:tcW w:w="411" w:type="pct"/>
                  <w:vMerge w:val="restart"/>
                  <w:vAlign w:val="center"/>
                </w:tcPr>
                <w:p w14:paraId="6862199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sym w:font="Wingdings 2" w:char="0052"/>
                  </w:r>
                  <w:r>
                    <w:rPr>
                      <w:rFonts w:hint="default" w:ascii="Times New Roman" w:hAnsi="Times New Roman" w:eastAsia="宋体" w:cs="Times New Roman"/>
                      <w:caps w:val="0"/>
                      <w:color w:val="000000"/>
                      <w:kern w:val="0"/>
                      <w:sz w:val="21"/>
                      <w:szCs w:val="21"/>
                      <w:u w:val="none" w:color="auto"/>
                      <w:lang w:val="en-US" w:eastAsia="zh-CN" w:bidi="ar-SA"/>
                    </w:rPr>
                    <w:t>是</w:t>
                  </w:r>
                </w:p>
                <w:p w14:paraId="03A2BFB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sym w:font="Wingdings 2" w:char="00A3"/>
                  </w:r>
                  <w:r>
                    <w:rPr>
                      <w:rFonts w:hint="default" w:ascii="Times New Roman" w:hAnsi="Times New Roman" w:eastAsia="宋体" w:cs="Times New Roman"/>
                      <w:caps w:val="0"/>
                      <w:color w:val="000000"/>
                      <w:kern w:val="0"/>
                      <w:sz w:val="21"/>
                      <w:szCs w:val="21"/>
                      <w:u w:val="none" w:color="auto"/>
                      <w:lang w:val="en-US" w:eastAsia="zh-CN" w:bidi="ar-SA"/>
                    </w:rPr>
                    <w:t>否</w:t>
                  </w:r>
                </w:p>
              </w:tc>
              <w:tc>
                <w:tcPr>
                  <w:tcW w:w="615" w:type="pct"/>
                  <w:vMerge w:val="restart"/>
                  <w:vAlign w:val="center"/>
                </w:tcPr>
                <w:p w14:paraId="6C25C81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sym w:font="Wingdings 2" w:char="0052"/>
                  </w:r>
                  <w:r>
                    <w:rPr>
                      <w:rFonts w:hint="default" w:ascii="Times New Roman" w:hAnsi="Times New Roman" w:eastAsia="宋体" w:cs="Times New Roman"/>
                      <w:caps w:val="0"/>
                      <w:color w:val="000000"/>
                      <w:kern w:val="0"/>
                      <w:sz w:val="21"/>
                      <w:szCs w:val="21"/>
                      <w:u w:val="none" w:color="auto"/>
                      <w:lang w:val="en-US" w:eastAsia="zh-CN" w:bidi="ar-SA"/>
                    </w:rPr>
                    <w:t>企业总排</w:t>
                  </w:r>
                </w:p>
                <w:p w14:paraId="3411330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sym w:font="Wingdings 2" w:char="F0A3"/>
                  </w:r>
                  <w:r>
                    <w:rPr>
                      <w:rFonts w:hint="default" w:ascii="Times New Roman" w:hAnsi="Times New Roman" w:eastAsia="宋体" w:cs="Times New Roman"/>
                      <w:caps w:val="0"/>
                      <w:color w:val="000000"/>
                      <w:kern w:val="0"/>
                      <w:sz w:val="21"/>
                      <w:szCs w:val="21"/>
                      <w:u w:val="none" w:color="auto"/>
                      <w:lang w:val="en-US" w:eastAsia="zh-CN" w:bidi="ar-SA"/>
                    </w:rPr>
                    <w:t>雨水排放</w:t>
                  </w:r>
                </w:p>
                <w:p w14:paraId="4A4B175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sym w:font="Wingdings 2" w:char="F0A3"/>
                  </w:r>
                  <w:r>
                    <w:rPr>
                      <w:rFonts w:hint="default" w:ascii="Times New Roman" w:hAnsi="Times New Roman" w:eastAsia="宋体" w:cs="Times New Roman"/>
                      <w:caps w:val="0"/>
                      <w:color w:val="000000"/>
                      <w:kern w:val="0"/>
                      <w:sz w:val="21"/>
                      <w:szCs w:val="21"/>
                      <w:u w:val="none" w:color="auto"/>
                      <w:lang w:val="en-US" w:eastAsia="zh-CN" w:bidi="ar-SA"/>
                    </w:rPr>
                    <w:t>清净下水排放</w:t>
                  </w:r>
                </w:p>
                <w:p w14:paraId="6B30EEB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sym w:font="Wingdings 2" w:char="F0A3"/>
                  </w:r>
                  <w:r>
                    <w:rPr>
                      <w:rFonts w:hint="default" w:ascii="Times New Roman" w:hAnsi="Times New Roman" w:eastAsia="宋体" w:cs="Times New Roman"/>
                      <w:caps w:val="0"/>
                      <w:color w:val="000000"/>
                      <w:kern w:val="0"/>
                      <w:sz w:val="21"/>
                      <w:szCs w:val="21"/>
                      <w:u w:val="none" w:color="auto"/>
                      <w:lang w:val="en-US" w:eastAsia="zh-CN" w:bidi="ar-SA"/>
                    </w:rPr>
                    <w:t>温排水排放</w:t>
                  </w:r>
                </w:p>
                <w:p w14:paraId="500368C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sym w:font="Wingdings 2" w:char="F0A3"/>
                  </w:r>
                  <w:r>
                    <w:rPr>
                      <w:rFonts w:hint="default" w:ascii="Times New Roman" w:hAnsi="Times New Roman" w:eastAsia="宋体" w:cs="Times New Roman"/>
                      <w:caps w:val="0"/>
                      <w:color w:val="000000"/>
                      <w:kern w:val="0"/>
                      <w:sz w:val="21"/>
                      <w:szCs w:val="21"/>
                      <w:u w:val="none" w:color="auto"/>
                      <w:lang w:val="en-US" w:eastAsia="zh-CN" w:bidi="ar-SA"/>
                    </w:rPr>
                    <w:t>车间或车间处理口设施排放</w:t>
                  </w:r>
                </w:p>
              </w:tc>
            </w:tr>
            <w:tr w14:paraId="22FEE41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7" w:type="pct"/>
                  <w:vAlign w:val="center"/>
                </w:tcPr>
                <w:p w14:paraId="1A0D484A">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2</w:t>
                  </w:r>
                </w:p>
              </w:tc>
              <w:tc>
                <w:tcPr>
                  <w:tcW w:w="315" w:type="pct"/>
                  <w:vAlign w:val="center"/>
                </w:tcPr>
                <w:p w14:paraId="0DDD6E02">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生活污水</w:t>
                  </w:r>
                </w:p>
              </w:tc>
              <w:tc>
                <w:tcPr>
                  <w:tcW w:w="622" w:type="pct"/>
                  <w:vAlign w:val="center"/>
                </w:tcPr>
                <w:p w14:paraId="0A64D6A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CODcr、BOD</w:t>
                  </w:r>
                  <w:r>
                    <w:rPr>
                      <w:rFonts w:hint="default" w:ascii="Times New Roman" w:hAnsi="Times New Roman" w:eastAsia="宋体" w:cs="Times New Roman"/>
                      <w:caps w:val="0"/>
                      <w:color w:val="000000"/>
                      <w:kern w:val="0"/>
                      <w:sz w:val="21"/>
                      <w:szCs w:val="21"/>
                      <w:u w:val="none" w:color="auto"/>
                      <w:vertAlign w:val="subscript"/>
                      <w:lang w:val="en-US" w:eastAsia="zh-CN" w:bidi="ar-SA"/>
                    </w:rPr>
                    <w:t>5</w:t>
                  </w:r>
                  <w:r>
                    <w:rPr>
                      <w:rFonts w:hint="default" w:ascii="Times New Roman" w:hAnsi="Times New Roman" w:eastAsia="宋体" w:cs="Times New Roman"/>
                      <w:caps w:val="0"/>
                      <w:color w:val="000000"/>
                      <w:kern w:val="0"/>
                      <w:sz w:val="21"/>
                      <w:szCs w:val="21"/>
                      <w:u w:val="none" w:color="auto"/>
                      <w:lang w:val="en-US" w:eastAsia="zh-CN" w:bidi="ar-SA"/>
                    </w:rPr>
                    <w:t>、SS、NH</w:t>
                  </w:r>
                  <w:r>
                    <w:rPr>
                      <w:rFonts w:hint="default" w:ascii="Times New Roman" w:hAnsi="Times New Roman" w:eastAsia="宋体" w:cs="Times New Roman"/>
                      <w:caps w:val="0"/>
                      <w:color w:val="000000"/>
                      <w:kern w:val="0"/>
                      <w:sz w:val="21"/>
                      <w:szCs w:val="21"/>
                      <w:u w:val="none" w:color="auto"/>
                      <w:vertAlign w:val="subscript"/>
                      <w:lang w:val="en-US" w:eastAsia="zh-CN" w:bidi="ar-SA"/>
                    </w:rPr>
                    <w:t>3</w:t>
                  </w:r>
                  <w:r>
                    <w:rPr>
                      <w:rFonts w:hint="default" w:ascii="Times New Roman" w:hAnsi="Times New Roman" w:eastAsia="宋体" w:cs="Times New Roman"/>
                      <w:caps w:val="0"/>
                      <w:color w:val="000000"/>
                      <w:kern w:val="0"/>
                      <w:sz w:val="21"/>
                      <w:szCs w:val="21"/>
                      <w:u w:val="none" w:color="auto"/>
                      <w:lang w:val="en-US" w:eastAsia="zh-CN" w:bidi="ar-SA"/>
                    </w:rPr>
                    <w:t>-N、动植物油</w:t>
                  </w:r>
                </w:p>
              </w:tc>
              <w:tc>
                <w:tcPr>
                  <w:tcW w:w="414" w:type="pct"/>
                  <w:vMerge w:val="continue"/>
                  <w:vAlign w:val="center"/>
                </w:tcPr>
                <w:p w14:paraId="6F20E73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460" w:type="pct"/>
                  <w:vAlign w:val="center"/>
                </w:tcPr>
                <w:p w14:paraId="43CAF089">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间断排放，排放期间流量稳定</w:t>
                  </w:r>
                </w:p>
              </w:tc>
              <w:tc>
                <w:tcPr>
                  <w:tcW w:w="516" w:type="pct"/>
                  <w:vAlign w:val="center"/>
                </w:tcPr>
                <w:p w14:paraId="2C49FC8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TW002</w:t>
                  </w:r>
                </w:p>
              </w:tc>
              <w:tc>
                <w:tcPr>
                  <w:tcW w:w="389" w:type="pct"/>
                  <w:vAlign w:val="center"/>
                </w:tcPr>
                <w:p w14:paraId="04BE7AD6">
                  <w:pPr>
                    <w:keepNext w:val="0"/>
                    <w:keepLines w:val="0"/>
                    <w:widowControl/>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default" w:ascii="Times New Roman" w:hAnsi="Times New Roman" w:eastAsia="宋体" w:cs="Times New Roman"/>
                      <w:caps w:val="0"/>
                      <w:color w:val="000000"/>
                      <w:kern w:val="0"/>
                      <w:sz w:val="21"/>
                      <w:szCs w:val="21"/>
                      <w:u w:val="none" w:color="auto"/>
                      <w:lang w:val="en-US" w:eastAsia="zh-CN" w:bidi="ar-SA"/>
                    </w:rPr>
                    <w:t>化粪池</w:t>
                  </w:r>
                </w:p>
              </w:tc>
              <w:tc>
                <w:tcPr>
                  <w:tcW w:w="467" w:type="pct"/>
                  <w:vAlign w:val="center"/>
                </w:tcPr>
                <w:p w14:paraId="0591C737">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r>
                    <w:rPr>
                      <w:rFonts w:hint="eastAsia" w:ascii="Times New Roman" w:hAnsi="Times New Roman" w:eastAsia="宋体" w:cs="Times New Roman"/>
                      <w:caps w:val="0"/>
                      <w:color w:val="000000"/>
                      <w:kern w:val="0"/>
                      <w:sz w:val="21"/>
                      <w:szCs w:val="21"/>
                      <w:u w:val="none" w:color="auto"/>
                      <w:lang w:val="en-US" w:eastAsia="zh-CN" w:bidi="ar-SA"/>
                    </w:rPr>
                    <w:t>厌氧处理工艺</w:t>
                  </w:r>
                </w:p>
              </w:tc>
              <w:tc>
                <w:tcPr>
                  <w:tcW w:w="530" w:type="pct"/>
                  <w:vMerge w:val="continue"/>
                  <w:vAlign w:val="center"/>
                </w:tcPr>
                <w:p w14:paraId="20B56F71">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411" w:type="pct"/>
                  <w:vMerge w:val="continue"/>
                  <w:vAlign w:val="center"/>
                </w:tcPr>
                <w:p w14:paraId="70160734">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c>
                <w:tcPr>
                  <w:tcW w:w="615" w:type="pct"/>
                  <w:vMerge w:val="continue"/>
                  <w:vAlign w:val="center"/>
                </w:tcPr>
                <w:p w14:paraId="3BE0BEDD">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caps w:val="0"/>
                      <w:color w:val="000000"/>
                      <w:kern w:val="0"/>
                      <w:sz w:val="21"/>
                      <w:szCs w:val="21"/>
                      <w:u w:val="none" w:color="auto"/>
                      <w:lang w:val="en-US" w:eastAsia="zh-CN" w:bidi="ar-SA"/>
                    </w:rPr>
                  </w:pPr>
                </w:p>
              </w:tc>
            </w:tr>
          </w:tbl>
          <w:p w14:paraId="75EADBE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caps w:val="0"/>
                <w:color w:val="000000"/>
                <w:szCs w:val="21"/>
                <w:u w:val="none" w:color="auto"/>
              </w:rPr>
            </w:pPr>
            <w:r>
              <w:rPr>
                <w:rFonts w:hint="default" w:ascii="Times New Roman" w:hAnsi="Times New Roman" w:cs="Times New Roman"/>
                <w:caps w:val="0"/>
                <w:color w:val="000000"/>
                <w:sz w:val="24"/>
                <w:u w:val="none" w:color="auto"/>
              </w:rPr>
              <w:t>本项目废水间接排放口基本情况如下表所示：</w:t>
            </w:r>
          </w:p>
          <w:p w14:paraId="2FDF0144">
            <w:pPr>
              <w:pStyle w:val="33"/>
              <w:keepNext w:val="0"/>
              <w:keepLines w:val="0"/>
              <w:numPr>
                <w:ilvl w:val="0"/>
                <w:numId w:val="19"/>
              </w:numPr>
              <w:suppressLineNumbers w:val="0"/>
              <w:spacing w:before="0" w:beforeAutospacing="0" w:after="0" w:afterAutospacing="0"/>
              <w:ind w:right="0" w:firstLineChars="0"/>
              <w:jc w:val="center"/>
              <w:rPr>
                <w:rFonts w:hint="default" w:ascii="Times New Roman" w:hAnsi="Times New Roman" w:eastAsia="宋体" w:cs="Times New Roman"/>
                <w:b/>
                <w:caps w:val="0"/>
                <w:color w:val="000000"/>
                <w:kern w:val="2"/>
                <w:sz w:val="24"/>
                <w:szCs w:val="24"/>
                <w:u w:val="none" w:color="auto"/>
                <w:lang w:val="en-US" w:eastAsia="zh-CN" w:bidi="ar-SA"/>
              </w:rPr>
            </w:pPr>
            <w:r>
              <w:rPr>
                <w:rFonts w:hint="default" w:ascii="Times New Roman" w:hAnsi="Times New Roman" w:eastAsia="宋体" w:cs="Times New Roman"/>
                <w:b/>
                <w:caps w:val="0"/>
                <w:color w:val="000000"/>
                <w:kern w:val="2"/>
                <w:sz w:val="24"/>
                <w:szCs w:val="24"/>
                <w:u w:val="none" w:color="auto"/>
                <w:lang w:val="en-US" w:eastAsia="zh-CN" w:bidi="ar-SA"/>
              </w:rPr>
              <w:t>废水间接排放口基本情况表</w:t>
            </w:r>
          </w:p>
          <w:tbl>
            <w:tblPr>
              <w:tblStyle w:val="24"/>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fixed"/>
              <w:tblCellMar>
                <w:top w:w="0" w:type="dxa"/>
                <w:left w:w="108" w:type="dxa"/>
                <w:bottom w:w="0" w:type="dxa"/>
                <w:right w:w="108" w:type="dxa"/>
              </w:tblCellMar>
            </w:tblPr>
            <w:tblGrid>
              <w:gridCol w:w="430"/>
              <w:gridCol w:w="766"/>
              <w:gridCol w:w="1344"/>
              <w:gridCol w:w="1218"/>
              <w:gridCol w:w="687"/>
              <w:gridCol w:w="699"/>
              <w:gridCol w:w="375"/>
              <w:gridCol w:w="470"/>
              <w:gridCol w:w="672"/>
              <w:gridCol w:w="800"/>
              <w:gridCol w:w="933"/>
            </w:tblGrid>
            <w:tr w14:paraId="2A113C6B">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45" w:hRule="atLeast"/>
                <w:jc w:val="center"/>
              </w:trPr>
              <w:tc>
                <w:tcPr>
                  <w:tcW w:w="256" w:type="pct"/>
                  <w:vMerge w:val="restart"/>
                  <w:tcBorders>
                    <w:tl2br w:val="nil"/>
                    <w:tr2bl w:val="nil"/>
                  </w:tcBorders>
                  <w:vAlign w:val="center"/>
                </w:tcPr>
                <w:p w14:paraId="16545E4F">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序</w:t>
                  </w:r>
                </w:p>
                <w:p w14:paraId="248008D7">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号</w:t>
                  </w:r>
                </w:p>
              </w:tc>
              <w:tc>
                <w:tcPr>
                  <w:tcW w:w="456" w:type="pct"/>
                  <w:vMerge w:val="restart"/>
                  <w:tcBorders>
                    <w:tl2br w:val="nil"/>
                    <w:tr2bl w:val="nil"/>
                  </w:tcBorders>
                  <w:vAlign w:val="center"/>
                </w:tcPr>
                <w:p w14:paraId="6FE545B5">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排放口编号</w:t>
                  </w:r>
                </w:p>
              </w:tc>
              <w:tc>
                <w:tcPr>
                  <w:tcW w:w="1525" w:type="pct"/>
                  <w:gridSpan w:val="2"/>
                  <w:tcBorders>
                    <w:tl2br w:val="nil"/>
                    <w:tr2bl w:val="nil"/>
                  </w:tcBorders>
                  <w:vAlign w:val="center"/>
                </w:tcPr>
                <w:p w14:paraId="63E71220">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排放口地理坐标</w:t>
                  </w:r>
                </w:p>
              </w:tc>
              <w:tc>
                <w:tcPr>
                  <w:tcW w:w="409" w:type="pct"/>
                  <w:vMerge w:val="restart"/>
                  <w:tcBorders>
                    <w:tl2br w:val="nil"/>
                    <w:tr2bl w:val="nil"/>
                  </w:tcBorders>
                  <w:vAlign w:val="center"/>
                </w:tcPr>
                <w:p w14:paraId="09F9493F">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废水排放量</w:t>
                  </w:r>
                </w:p>
                <w:p w14:paraId="0B89EB2D">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/（万t/a）</w:t>
                  </w:r>
                </w:p>
              </w:tc>
              <w:tc>
                <w:tcPr>
                  <w:tcW w:w="416" w:type="pct"/>
                  <w:vMerge w:val="restart"/>
                  <w:tcBorders>
                    <w:tl2br w:val="nil"/>
                    <w:tr2bl w:val="nil"/>
                  </w:tcBorders>
                  <w:vAlign w:val="center"/>
                </w:tcPr>
                <w:p w14:paraId="41D36829">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排放去向</w:t>
                  </w:r>
                </w:p>
              </w:tc>
              <w:tc>
                <w:tcPr>
                  <w:tcW w:w="223" w:type="pct"/>
                  <w:vMerge w:val="restart"/>
                  <w:tcBorders>
                    <w:tl2br w:val="nil"/>
                    <w:tr2bl w:val="nil"/>
                  </w:tcBorders>
                  <w:vAlign w:val="center"/>
                </w:tcPr>
                <w:p w14:paraId="28402C2F">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排放</w:t>
                  </w:r>
                </w:p>
                <w:p w14:paraId="52C1120B">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规律</w:t>
                  </w:r>
                </w:p>
              </w:tc>
              <w:tc>
                <w:tcPr>
                  <w:tcW w:w="280" w:type="pct"/>
                  <w:vMerge w:val="restart"/>
                  <w:tcBorders>
                    <w:tl2br w:val="nil"/>
                    <w:tr2bl w:val="nil"/>
                  </w:tcBorders>
                  <w:vAlign w:val="center"/>
                </w:tcPr>
                <w:p w14:paraId="1353B825">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间歇排放时段</w:t>
                  </w:r>
                </w:p>
              </w:tc>
              <w:tc>
                <w:tcPr>
                  <w:tcW w:w="1431" w:type="pct"/>
                  <w:gridSpan w:val="3"/>
                  <w:tcBorders>
                    <w:tl2br w:val="nil"/>
                    <w:tr2bl w:val="nil"/>
                  </w:tcBorders>
                  <w:vAlign w:val="center"/>
                </w:tcPr>
                <w:p w14:paraId="2812AC9D">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受纳污水处理厂信息</w:t>
                  </w:r>
                </w:p>
              </w:tc>
            </w:tr>
            <w:tr w14:paraId="3797D6A1">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PrEx>
              <w:trPr>
                <w:trHeight w:val="1429" w:hRule="atLeast"/>
                <w:jc w:val="center"/>
              </w:trPr>
              <w:tc>
                <w:tcPr>
                  <w:tcW w:w="256" w:type="pct"/>
                  <w:vMerge w:val="continue"/>
                  <w:tcBorders>
                    <w:tl2br w:val="nil"/>
                    <w:tr2bl w:val="nil"/>
                  </w:tcBorders>
                  <w:vAlign w:val="center"/>
                </w:tcPr>
                <w:p w14:paraId="1CA5EC38">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p>
              </w:tc>
              <w:tc>
                <w:tcPr>
                  <w:tcW w:w="456" w:type="pct"/>
                  <w:vMerge w:val="continue"/>
                  <w:tcBorders>
                    <w:tl2br w:val="nil"/>
                    <w:tr2bl w:val="nil"/>
                  </w:tcBorders>
                  <w:vAlign w:val="center"/>
                </w:tcPr>
                <w:p w14:paraId="7274EE13">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p>
              </w:tc>
              <w:tc>
                <w:tcPr>
                  <w:tcW w:w="800" w:type="pct"/>
                  <w:tcBorders>
                    <w:tl2br w:val="nil"/>
                    <w:tr2bl w:val="nil"/>
                  </w:tcBorders>
                  <w:vAlign w:val="center"/>
                </w:tcPr>
                <w:p w14:paraId="13A6930B">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经度</w:t>
                  </w:r>
                </w:p>
              </w:tc>
              <w:tc>
                <w:tcPr>
                  <w:tcW w:w="725" w:type="pct"/>
                  <w:tcBorders>
                    <w:tl2br w:val="nil"/>
                    <w:tr2bl w:val="nil"/>
                  </w:tcBorders>
                  <w:vAlign w:val="center"/>
                </w:tcPr>
                <w:p w14:paraId="19F0A4CB">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纬度</w:t>
                  </w:r>
                </w:p>
              </w:tc>
              <w:tc>
                <w:tcPr>
                  <w:tcW w:w="409" w:type="pct"/>
                  <w:vMerge w:val="continue"/>
                  <w:tcBorders>
                    <w:tl2br w:val="nil"/>
                    <w:tr2bl w:val="nil"/>
                  </w:tcBorders>
                  <w:vAlign w:val="center"/>
                </w:tcPr>
                <w:p w14:paraId="1AFCAB7F">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p>
              </w:tc>
              <w:tc>
                <w:tcPr>
                  <w:tcW w:w="416" w:type="pct"/>
                  <w:vMerge w:val="continue"/>
                  <w:tcBorders>
                    <w:tl2br w:val="nil"/>
                    <w:tr2bl w:val="nil"/>
                  </w:tcBorders>
                  <w:vAlign w:val="center"/>
                </w:tcPr>
                <w:p w14:paraId="79D4CAF1">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p>
              </w:tc>
              <w:tc>
                <w:tcPr>
                  <w:tcW w:w="223" w:type="pct"/>
                  <w:vMerge w:val="continue"/>
                  <w:tcBorders>
                    <w:tl2br w:val="nil"/>
                    <w:tr2bl w:val="nil"/>
                  </w:tcBorders>
                  <w:vAlign w:val="center"/>
                </w:tcPr>
                <w:p w14:paraId="289F0029">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p>
              </w:tc>
              <w:tc>
                <w:tcPr>
                  <w:tcW w:w="280" w:type="pct"/>
                  <w:vMerge w:val="continue"/>
                  <w:tcBorders>
                    <w:tl2br w:val="nil"/>
                    <w:tr2bl w:val="nil"/>
                  </w:tcBorders>
                  <w:vAlign w:val="center"/>
                </w:tcPr>
                <w:p w14:paraId="753F719D">
                  <w:pPr>
                    <w:keepNext w:val="0"/>
                    <w:keepLines w:val="0"/>
                    <w:widowControl/>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p>
              </w:tc>
              <w:tc>
                <w:tcPr>
                  <w:tcW w:w="400" w:type="pct"/>
                  <w:tcBorders>
                    <w:tl2br w:val="nil"/>
                    <w:tr2bl w:val="nil"/>
                  </w:tcBorders>
                  <w:vAlign w:val="center"/>
                </w:tcPr>
                <w:p w14:paraId="3247A8E0">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名称</w:t>
                  </w:r>
                </w:p>
              </w:tc>
              <w:tc>
                <w:tcPr>
                  <w:tcW w:w="476" w:type="pct"/>
                  <w:tcBorders>
                    <w:tl2br w:val="nil"/>
                    <w:tr2bl w:val="nil"/>
                  </w:tcBorders>
                  <w:vAlign w:val="center"/>
                </w:tcPr>
                <w:p w14:paraId="66343433">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污染物种类</w:t>
                  </w:r>
                </w:p>
              </w:tc>
              <w:tc>
                <w:tcPr>
                  <w:tcW w:w="554" w:type="pct"/>
                  <w:tcBorders>
                    <w:tl2br w:val="nil"/>
                    <w:tr2bl w:val="nil"/>
                  </w:tcBorders>
                  <w:vAlign w:val="center"/>
                </w:tcPr>
                <w:p w14:paraId="70C4459C">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国家或地方污染物排放标准浓度限值</w:t>
                  </w:r>
                </w:p>
              </w:tc>
            </w:tr>
            <w:tr w14:paraId="41FEE6D3">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561" w:hRule="atLeast"/>
                <w:jc w:val="center"/>
              </w:trPr>
              <w:tc>
                <w:tcPr>
                  <w:tcW w:w="256" w:type="pct"/>
                  <w:vMerge w:val="restart"/>
                  <w:tcBorders>
                    <w:tl2br w:val="nil"/>
                    <w:tr2bl w:val="nil"/>
                  </w:tcBorders>
                  <w:vAlign w:val="center"/>
                </w:tcPr>
                <w:p w14:paraId="0FC001BC">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1</w:t>
                  </w:r>
                </w:p>
              </w:tc>
              <w:tc>
                <w:tcPr>
                  <w:tcW w:w="456" w:type="pct"/>
                  <w:vMerge w:val="restart"/>
                  <w:tcBorders>
                    <w:tl2br w:val="nil"/>
                    <w:tr2bl w:val="nil"/>
                  </w:tcBorders>
                  <w:vAlign w:val="center"/>
                </w:tcPr>
                <w:p w14:paraId="4528137E">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DW001</w:t>
                  </w:r>
                </w:p>
              </w:tc>
              <w:tc>
                <w:tcPr>
                  <w:tcW w:w="800" w:type="pct"/>
                  <w:vMerge w:val="restart"/>
                  <w:tcBorders>
                    <w:tl2br w:val="nil"/>
                    <w:tr2bl w:val="nil"/>
                  </w:tcBorders>
                  <w:vAlign w:val="center"/>
                </w:tcPr>
                <w:p w14:paraId="00992E97">
                  <w:pPr>
                    <w:keepNext w:val="0"/>
                    <w:keepLines w:val="0"/>
                    <w:suppressLineNumbers w:val="0"/>
                    <w:spacing w:before="0" w:beforeAutospacing="0" w:after="0" w:afterAutospacing="0"/>
                    <w:ind w:left="0" w:right="0"/>
                    <w:jc w:val="center"/>
                    <w:rPr>
                      <w:rFonts w:hint="default" w:ascii="Times New Roman" w:hAnsi="Times New Roman" w:eastAsia="宋体" w:cs="Times New Roman"/>
                      <w:caps w:val="0"/>
                      <w:color w:val="000000"/>
                      <w:szCs w:val="21"/>
                      <w:highlight w:val="none"/>
                      <w:u w:val="none" w:color="auto"/>
                      <w:lang w:val="en-US" w:eastAsia="zh-CN"/>
                    </w:rPr>
                  </w:pPr>
                  <w:r>
                    <w:rPr>
                      <w:rFonts w:hint="default" w:ascii="Times New Roman" w:hAnsi="Times New Roman" w:cs="Times New Roman"/>
                      <w:caps w:val="0"/>
                      <w:color w:val="000000"/>
                      <w:szCs w:val="21"/>
                      <w:highlight w:val="none"/>
                      <w:u w:val="none" w:color="auto"/>
                      <w:lang w:val="en-US" w:eastAsia="zh-CN"/>
                    </w:rPr>
                    <w:t>112.953144°</w:t>
                  </w:r>
                </w:p>
              </w:tc>
              <w:tc>
                <w:tcPr>
                  <w:tcW w:w="725" w:type="pct"/>
                  <w:vMerge w:val="restart"/>
                  <w:tcBorders>
                    <w:tl2br w:val="nil"/>
                    <w:tr2bl w:val="nil"/>
                  </w:tcBorders>
                  <w:vAlign w:val="center"/>
                </w:tcPr>
                <w:p w14:paraId="6B52BA3C">
                  <w:pPr>
                    <w:keepNext w:val="0"/>
                    <w:keepLines w:val="0"/>
                    <w:suppressLineNumbers w:val="0"/>
                    <w:spacing w:before="0" w:beforeAutospacing="0" w:after="0" w:afterAutospacing="0"/>
                    <w:ind w:left="0" w:right="0"/>
                    <w:jc w:val="center"/>
                    <w:rPr>
                      <w:rFonts w:hint="default" w:ascii="Times New Roman" w:hAnsi="Times New Roman" w:eastAsia="宋体" w:cs="Times New Roman"/>
                      <w:caps w:val="0"/>
                      <w:color w:val="000000"/>
                      <w:szCs w:val="21"/>
                      <w:highlight w:val="none"/>
                      <w:u w:val="none" w:color="auto"/>
                      <w:lang w:val="en-US" w:eastAsia="zh-CN"/>
                    </w:rPr>
                  </w:pPr>
                  <w:r>
                    <w:rPr>
                      <w:rFonts w:hint="default" w:ascii="Times New Roman" w:hAnsi="Times New Roman" w:cs="Times New Roman"/>
                      <w:caps w:val="0"/>
                      <w:color w:val="000000"/>
                      <w:szCs w:val="21"/>
                      <w:highlight w:val="none"/>
                      <w:u w:val="none" w:color="auto"/>
                    </w:rPr>
                    <w:t>29.4</w:t>
                  </w:r>
                  <w:r>
                    <w:rPr>
                      <w:rFonts w:hint="default" w:ascii="Times New Roman" w:hAnsi="Times New Roman" w:cs="Times New Roman"/>
                      <w:caps w:val="0"/>
                      <w:color w:val="000000"/>
                      <w:szCs w:val="21"/>
                      <w:highlight w:val="none"/>
                      <w:u w:val="none" w:color="auto"/>
                      <w:lang w:val="en-US" w:eastAsia="zh-CN"/>
                    </w:rPr>
                    <w:t>44053°</w:t>
                  </w:r>
                </w:p>
              </w:tc>
              <w:tc>
                <w:tcPr>
                  <w:tcW w:w="409" w:type="pct"/>
                  <w:vMerge w:val="restart"/>
                  <w:tcBorders>
                    <w:tl2br w:val="nil"/>
                    <w:tr2bl w:val="nil"/>
                  </w:tcBorders>
                  <w:vAlign w:val="center"/>
                </w:tcPr>
                <w:p w14:paraId="0700CEC4">
                  <w:pPr>
                    <w:keepNext w:val="0"/>
                    <w:keepLines w:val="0"/>
                    <w:suppressLineNumbers w:val="0"/>
                    <w:spacing w:before="0" w:beforeAutospacing="0" w:after="0" w:afterAutospacing="0"/>
                    <w:ind w:left="0" w:right="0"/>
                    <w:jc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6.911</w:t>
                  </w:r>
                </w:p>
              </w:tc>
              <w:tc>
                <w:tcPr>
                  <w:tcW w:w="416" w:type="pct"/>
                  <w:vMerge w:val="restart"/>
                  <w:tcBorders>
                    <w:tl2br w:val="nil"/>
                    <w:tr2bl w:val="nil"/>
                  </w:tcBorders>
                  <w:vAlign w:val="center"/>
                </w:tcPr>
                <w:p w14:paraId="4C45E953">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君山区第二污水处理厂前端废水预处理中心</w:t>
                  </w:r>
                </w:p>
              </w:tc>
              <w:tc>
                <w:tcPr>
                  <w:tcW w:w="223" w:type="pct"/>
                  <w:vMerge w:val="restart"/>
                  <w:tcBorders>
                    <w:tl2br w:val="nil"/>
                    <w:tr2bl w:val="nil"/>
                  </w:tcBorders>
                  <w:vAlign w:val="center"/>
                </w:tcPr>
                <w:p w14:paraId="76BFF95D">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连续</w:t>
                  </w:r>
                </w:p>
              </w:tc>
              <w:tc>
                <w:tcPr>
                  <w:tcW w:w="280" w:type="pct"/>
                  <w:vMerge w:val="restart"/>
                  <w:tcBorders>
                    <w:tl2br w:val="nil"/>
                    <w:tr2bl w:val="nil"/>
                  </w:tcBorders>
                  <w:vAlign w:val="center"/>
                </w:tcPr>
                <w:p w14:paraId="7434A162">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w:t>
                  </w:r>
                </w:p>
              </w:tc>
              <w:tc>
                <w:tcPr>
                  <w:tcW w:w="400" w:type="pct"/>
                  <w:vMerge w:val="restart"/>
                  <w:tcBorders>
                    <w:tl2br w:val="nil"/>
                    <w:tr2bl w:val="nil"/>
                  </w:tcBorders>
                  <w:vAlign w:val="center"/>
                </w:tcPr>
                <w:p w14:paraId="355636FD">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君山区（第二）污水处理厂</w:t>
                  </w:r>
                </w:p>
              </w:tc>
              <w:tc>
                <w:tcPr>
                  <w:tcW w:w="476" w:type="pct"/>
                  <w:tcBorders>
                    <w:tl2br w:val="nil"/>
                    <w:tr2bl w:val="nil"/>
                  </w:tcBorders>
                  <w:vAlign w:val="center"/>
                </w:tcPr>
                <w:p w14:paraId="743F9111">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pH</w:t>
                  </w:r>
                </w:p>
              </w:tc>
              <w:tc>
                <w:tcPr>
                  <w:tcW w:w="554" w:type="pct"/>
                  <w:tcBorders>
                    <w:tl2br w:val="nil"/>
                    <w:tr2bl w:val="nil"/>
                  </w:tcBorders>
                  <w:vAlign w:val="center"/>
                </w:tcPr>
                <w:p w14:paraId="32227D6D">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6~9（无量纲）</w:t>
                  </w:r>
                </w:p>
              </w:tc>
            </w:tr>
            <w:tr w14:paraId="22CB5A78">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PrEx>
              <w:trPr>
                <w:trHeight w:val="258" w:hRule="atLeast"/>
                <w:jc w:val="center"/>
              </w:trPr>
              <w:tc>
                <w:tcPr>
                  <w:tcW w:w="256" w:type="pct"/>
                  <w:vMerge w:val="continue"/>
                  <w:tcBorders>
                    <w:tl2br w:val="nil"/>
                    <w:tr2bl w:val="nil"/>
                  </w:tcBorders>
                  <w:vAlign w:val="center"/>
                </w:tcPr>
                <w:p w14:paraId="2D72673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56" w:type="pct"/>
                  <w:vMerge w:val="continue"/>
                  <w:tcBorders>
                    <w:tl2br w:val="nil"/>
                    <w:tr2bl w:val="nil"/>
                  </w:tcBorders>
                  <w:vAlign w:val="center"/>
                </w:tcPr>
                <w:p w14:paraId="7C9F47C7">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800" w:type="pct"/>
                  <w:vMerge w:val="continue"/>
                  <w:tcBorders>
                    <w:tl2br w:val="nil"/>
                    <w:tr2bl w:val="nil"/>
                  </w:tcBorders>
                  <w:vAlign w:val="center"/>
                </w:tcPr>
                <w:p w14:paraId="10AB622E">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725" w:type="pct"/>
                  <w:vMerge w:val="continue"/>
                  <w:tcBorders>
                    <w:tl2br w:val="nil"/>
                    <w:tr2bl w:val="nil"/>
                  </w:tcBorders>
                  <w:vAlign w:val="center"/>
                </w:tcPr>
                <w:p w14:paraId="79D6A7B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9" w:type="pct"/>
                  <w:vMerge w:val="continue"/>
                  <w:tcBorders>
                    <w:tl2br w:val="nil"/>
                    <w:tr2bl w:val="nil"/>
                  </w:tcBorders>
                  <w:vAlign w:val="center"/>
                </w:tcPr>
                <w:p w14:paraId="4DB1677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16" w:type="pct"/>
                  <w:vMerge w:val="continue"/>
                  <w:tcBorders>
                    <w:tl2br w:val="nil"/>
                    <w:tr2bl w:val="nil"/>
                  </w:tcBorders>
                  <w:vAlign w:val="center"/>
                </w:tcPr>
                <w:p w14:paraId="16A1C35B">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23" w:type="pct"/>
                  <w:vMerge w:val="continue"/>
                  <w:tcBorders>
                    <w:tl2br w:val="nil"/>
                    <w:tr2bl w:val="nil"/>
                  </w:tcBorders>
                  <w:vAlign w:val="center"/>
                </w:tcPr>
                <w:p w14:paraId="2709D959">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80" w:type="pct"/>
                  <w:vMerge w:val="continue"/>
                  <w:tcBorders>
                    <w:tl2br w:val="nil"/>
                    <w:tr2bl w:val="nil"/>
                  </w:tcBorders>
                  <w:vAlign w:val="center"/>
                </w:tcPr>
                <w:p w14:paraId="2454763F">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0" w:type="pct"/>
                  <w:vMerge w:val="continue"/>
                  <w:tcBorders>
                    <w:tl2br w:val="nil"/>
                    <w:tr2bl w:val="nil"/>
                  </w:tcBorders>
                  <w:vAlign w:val="center"/>
                </w:tcPr>
                <w:p w14:paraId="0CF1A665">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76" w:type="pct"/>
                  <w:tcBorders>
                    <w:tl2br w:val="nil"/>
                    <w:tr2bl w:val="nil"/>
                  </w:tcBorders>
                  <w:vAlign w:val="center"/>
                </w:tcPr>
                <w:p w14:paraId="748FF47A">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COD</w:t>
                  </w:r>
                </w:p>
              </w:tc>
              <w:tc>
                <w:tcPr>
                  <w:tcW w:w="554" w:type="pct"/>
                  <w:tcBorders>
                    <w:tl2br w:val="nil"/>
                    <w:tr2bl w:val="nil"/>
                  </w:tcBorders>
                  <w:vAlign w:val="center"/>
                </w:tcPr>
                <w:p w14:paraId="1DA445AB">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eastAsia" w:ascii="Times New Roman" w:hAnsi="Times New Roman" w:cs="Times New Roman"/>
                      <w:caps w:val="0"/>
                      <w:color w:val="000000"/>
                      <w:szCs w:val="21"/>
                      <w:u w:val="none" w:color="auto"/>
                      <w:lang w:val="en-US" w:eastAsia="zh-CN"/>
                    </w:rPr>
                    <w:t>50</w:t>
                  </w:r>
                  <w:r>
                    <w:rPr>
                      <w:rFonts w:hint="default" w:ascii="Times New Roman" w:hAnsi="Times New Roman" w:cs="Times New Roman"/>
                      <w:caps w:val="0"/>
                      <w:color w:val="000000"/>
                      <w:szCs w:val="21"/>
                      <w:u w:val="none" w:color="auto"/>
                    </w:rPr>
                    <w:t>mg/L</w:t>
                  </w:r>
                </w:p>
              </w:tc>
            </w:tr>
            <w:tr w14:paraId="475E082F">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PrEx>
              <w:trPr>
                <w:trHeight w:val="498" w:hRule="atLeast"/>
                <w:jc w:val="center"/>
              </w:trPr>
              <w:tc>
                <w:tcPr>
                  <w:tcW w:w="256" w:type="pct"/>
                  <w:vMerge w:val="continue"/>
                  <w:tcBorders>
                    <w:tl2br w:val="nil"/>
                    <w:tr2bl w:val="nil"/>
                  </w:tcBorders>
                  <w:vAlign w:val="center"/>
                </w:tcPr>
                <w:p w14:paraId="4AAEAA2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56" w:type="pct"/>
                  <w:vMerge w:val="continue"/>
                  <w:tcBorders>
                    <w:tl2br w:val="nil"/>
                    <w:tr2bl w:val="nil"/>
                  </w:tcBorders>
                  <w:vAlign w:val="center"/>
                </w:tcPr>
                <w:p w14:paraId="77EB273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800" w:type="pct"/>
                  <w:vMerge w:val="continue"/>
                  <w:tcBorders>
                    <w:tl2br w:val="nil"/>
                    <w:tr2bl w:val="nil"/>
                  </w:tcBorders>
                  <w:vAlign w:val="center"/>
                </w:tcPr>
                <w:p w14:paraId="1F743F2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725" w:type="pct"/>
                  <w:vMerge w:val="continue"/>
                  <w:tcBorders>
                    <w:tl2br w:val="nil"/>
                    <w:tr2bl w:val="nil"/>
                  </w:tcBorders>
                  <w:vAlign w:val="center"/>
                </w:tcPr>
                <w:p w14:paraId="6913E32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9" w:type="pct"/>
                  <w:vMerge w:val="continue"/>
                  <w:tcBorders>
                    <w:tl2br w:val="nil"/>
                    <w:tr2bl w:val="nil"/>
                  </w:tcBorders>
                  <w:vAlign w:val="center"/>
                </w:tcPr>
                <w:p w14:paraId="39E5B01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16" w:type="pct"/>
                  <w:vMerge w:val="continue"/>
                  <w:tcBorders>
                    <w:tl2br w:val="nil"/>
                    <w:tr2bl w:val="nil"/>
                  </w:tcBorders>
                  <w:vAlign w:val="center"/>
                </w:tcPr>
                <w:p w14:paraId="56EBB59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23" w:type="pct"/>
                  <w:vMerge w:val="continue"/>
                  <w:tcBorders>
                    <w:tl2br w:val="nil"/>
                    <w:tr2bl w:val="nil"/>
                  </w:tcBorders>
                  <w:vAlign w:val="center"/>
                </w:tcPr>
                <w:p w14:paraId="207B42A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80" w:type="pct"/>
                  <w:vMerge w:val="continue"/>
                  <w:tcBorders>
                    <w:tl2br w:val="nil"/>
                    <w:tr2bl w:val="nil"/>
                  </w:tcBorders>
                  <w:vAlign w:val="center"/>
                </w:tcPr>
                <w:p w14:paraId="193F8D66">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0" w:type="pct"/>
                  <w:vMerge w:val="continue"/>
                  <w:tcBorders>
                    <w:tl2br w:val="nil"/>
                    <w:tr2bl w:val="nil"/>
                  </w:tcBorders>
                  <w:vAlign w:val="center"/>
                </w:tcPr>
                <w:p w14:paraId="11168BAB">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76" w:type="pct"/>
                  <w:tcBorders>
                    <w:tl2br w:val="nil"/>
                    <w:tr2bl w:val="nil"/>
                  </w:tcBorders>
                  <w:vAlign w:val="center"/>
                </w:tcPr>
                <w:p w14:paraId="64CFB268">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BOD</w:t>
                  </w:r>
                  <w:r>
                    <w:rPr>
                      <w:rFonts w:hint="default" w:ascii="Times New Roman" w:hAnsi="Times New Roman" w:cs="Times New Roman"/>
                      <w:caps w:val="0"/>
                      <w:color w:val="000000"/>
                      <w:szCs w:val="21"/>
                      <w:u w:val="none" w:color="auto"/>
                      <w:vertAlign w:val="subscript"/>
                    </w:rPr>
                    <w:t>5</w:t>
                  </w:r>
                </w:p>
              </w:tc>
              <w:tc>
                <w:tcPr>
                  <w:tcW w:w="554" w:type="pct"/>
                  <w:tcBorders>
                    <w:tl2br w:val="nil"/>
                    <w:tr2bl w:val="nil"/>
                  </w:tcBorders>
                  <w:vAlign w:val="center"/>
                </w:tcPr>
                <w:p w14:paraId="23134BAD">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eastAsia" w:ascii="Times New Roman" w:hAnsi="Times New Roman" w:cs="Times New Roman"/>
                      <w:caps w:val="0"/>
                      <w:color w:val="000000"/>
                      <w:szCs w:val="21"/>
                      <w:u w:val="none" w:color="auto"/>
                      <w:lang w:val="en-US" w:eastAsia="zh-CN"/>
                    </w:rPr>
                    <w:t>10</w:t>
                  </w:r>
                  <w:r>
                    <w:rPr>
                      <w:rFonts w:hint="default" w:ascii="Times New Roman" w:hAnsi="Times New Roman" w:cs="Times New Roman"/>
                      <w:caps w:val="0"/>
                      <w:color w:val="000000"/>
                      <w:szCs w:val="21"/>
                      <w:u w:val="none" w:color="auto"/>
                    </w:rPr>
                    <w:t>mg/L</w:t>
                  </w:r>
                </w:p>
              </w:tc>
            </w:tr>
            <w:tr w14:paraId="63A57876">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286" w:hRule="atLeast"/>
                <w:jc w:val="center"/>
              </w:trPr>
              <w:tc>
                <w:tcPr>
                  <w:tcW w:w="256" w:type="pct"/>
                  <w:vMerge w:val="continue"/>
                  <w:tcBorders>
                    <w:tl2br w:val="nil"/>
                    <w:tr2bl w:val="nil"/>
                  </w:tcBorders>
                  <w:vAlign w:val="center"/>
                </w:tcPr>
                <w:p w14:paraId="4E3D649C">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56" w:type="pct"/>
                  <w:vMerge w:val="continue"/>
                  <w:tcBorders>
                    <w:tl2br w:val="nil"/>
                    <w:tr2bl w:val="nil"/>
                  </w:tcBorders>
                  <w:vAlign w:val="center"/>
                </w:tcPr>
                <w:p w14:paraId="36311FD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800" w:type="pct"/>
                  <w:vMerge w:val="continue"/>
                  <w:tcBorders>
                    <w:tl2br w:val="nil"/>
                    <w:tr2bl w:val="nil"/>
                  </w:tcBorders>
                  <w:vAlign w:val="center"/>
                </w:tcPr>
                <w:p w14:paraId="2391E288">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725" w:type="pct"/>
                  <w:vMerge w:val="continue"/>
                  <w:tcBorders>
                    <w:tl2br w:val="nil"/>
                    <w:tr2bl w:val="nil"/>
                  </w:tcBorders>
                  <w:vAlign w:val="center"/>
                </w:tcPr>
                <w:p w14:paraId="28761238">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9" w:type="pct"/>
                  <w:vMerge w:val="continue"/>
                  <w:tcBorders>
                    <w:tl2br w:val="nil"/>
                    <w:tr2bl w:val="nil"/>
                  </w:tcBorders>
                  <w:vAlign w:val="center"/>
                </w:tcPr>
                <w:p w14:paraId="49CB577A">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16" w:type="pct"/>
                  <w:vMerge w:val="continue"/>
                  <w:tcBorders>
                    <w:tl2br w:val="nil"/>
                    <w:tr2bl w:val="nil"/>
                  </w:tcBorders>
                  <w:vAlign w:val="center"/>
                </w:tcPr>
                <w:p w14:paraId="4881CA7B">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23" w:type="pct"/>
                  <w:vMerge w:val="continue"/>
                  <w:tcBorders>
                    <w:tl2br w:val="nil"/>
                    <w:tr2bl w:val="nil"/>
                  </w:tcBorders>
                  <w:vAlign w:val="center"/>
                </w:tcPr>
                <w:p w14:paraId="351F849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80" w:type="pct"/>
                  <w:vMerge w:val="continue"/>
                  <w:tcBorders>
                    <w:tl2br w:val="nil"/>
                    <w:tr2bl w:val="nil"/>
                  </w:tcBorders>
                  <w:vAlign w:val="center"/>
                </w:tcPr>
                <w:p w14:paraId="793ECA99">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0" w:type="pct"/>
                  <w:vMerge w:val="continue"/>
                  <w:tcBorders>
                    <w:tl2br w:val="nil"/>
                    <w:tr2bl w:val="nil"/>
                  </w:tcBorders>
                  <w:vAlign w:val="center"/>
                </w:tcPr>
                <w:p w14:paraId="7D9DE91D">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76" w:type="pct"/>
                  <w:tcBorders>
                    <w:tl2br w:val="nil"/>
                    <w:tr2bl w:val="nil"/>
                  </w:tcBorders>
                  <w:vAlign w:val="center"/>
                </w:tcPr>
                <w:p w14:paraId="2D605638">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氨氮</w:t>
                  </w:r>
                </w:p>
              </w:tc>
              <w:tc>
                <w:tcPr>
                  <w:tcW w:w="554" w:type="pct"/>
                  <w:tcBorders>
                    <w:tl2br w:val="nil"/>
                    <w:tr2bl w:val="nil"/>
                  </w:tcBorders>
                  <w:vAlign w:val="center"/>
                </w:tcPr>
                <w:p w14:paraId="36C35F59">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eastAsia" w:cs="Times New Roman"/>
                      <w:caps w:val="0"/>
                      <w:color w:val="000000"/>
                      <w:szCs w:val="21"/>
                      <w:u w:val="none" w:color="auto"/>
                      <w:lang w:val="en-US" w:eastAsia="zh-CN"/>
                    </w:rPr>
                    <w:t>5</w:t>
                  </w:r>
                  <w:r>
                    <w:rPr>
                      <w:rFonts w:hint="default" w:ascii="Times New Roman" w:hAnsi="Times New Roman" w:cs="Times New Roman"/>
                      <w:caps w:val="0"/>
                      <w:color w:val="000000"/>
                      <w:szCs w:val="21"/>
                      <w:u w:val="none" w:color="auto"/>
                    </w:rPr>
                    <w:t>mg/L</w:t>
                  </w:r>
                </w:p>
              </w:tc>
            </w:tr>
            <w:tr w14:paraId="54D05C57">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286" w:hRule="atLeast"/>
                <w:jc w:val="center"/>
              </w:trPr>
              <w:tc>
                <w:tcPr>
                  <w:tcW w:w="256" w:type="pct"/>
                  <w:vMerge w:val="continue"/>
                  <w:tcBorders>
                    <w:tl2br w:val="nil"/>
                    <w:tr2bl w:val="nil"/>
                  </w:tcBorders>
                  <w:vAlign w:val="center"/>
                </w:tcPr>
                <w:p w14:paraId="34F9D36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56" w:type="pct"/>
                  <w:vMerge w:val="continue"/>
                  <w:tcBorders>
                    <w:tl2br w:val="nil"/>
                    <w:tr2bl w:val="nil"/>
                  </w:tcBorders>
                  <w:vAlign w:val="center"/>
                </w:tcPr>
                <w:p w14:paraId="35BCEA38">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800" w:type="pct"/>
                  <w:vMerge w:val="continue"/>
                  <w:tcBorders>
                    <w:tl2br w:val="nil"/>
                    <w:tr2bl w:val="nil"/>
                  </w:tcBorders>
                  <w:vAlign w:val="center"/>
                </w:tcPr>
                <w:p w14:paraId="4521C97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725" w:type="pct"/>
                  <w:vMerge w:val="continue"/>
                  <w:tcBorders>
                    <w:tl2br w:val="nil"/>
                    <w:tr2bl w:val="nil"/>
                  </w:tcBorders>
                  <w:vAlign w:val="center"/>
                </w:tcPr>
                <w:p w14:paraId="3C14B2D8">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9" w:type="pct"/>
                  <w:vMerge w:val="continue"/>
                  <w:tcBorders>
                    <w:tl2br w:val="nil"/>
                    <w:tr2bl w:val="nil"/>
                  </w:tcBorders>
                  <w:vAlign w:val="center"/>
                </w:tcPr>
                <w:p w14:paraId="7AF37C2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16" w:type="pct"/>
                  <w:vMerge w:val="continue"/>
                  <w:tcBorders>
                    <w:tl2br w:val="nil"/>
                    <w:tr2bl w:val="nil"/>
                  </w:tcBorders>
                  <w:vAlign w:val="center"/>
                </w:tcPr>
                <w:p w14:paraId="0D7081CB">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23" w:type="pct"/>
                  <w:vMerge w:val="continue"/>
                  <w:tcBorders>
                    <w:tl2br w:val="nil"/>
                    <w:tr2bl w:val="nil"/>
                  </w:tcBorders>
                  <w:vAlign w:val="center"/>
                </w:tcPr>
                <w:p w14:paraId="19CDA9A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80" w:type="pct"/>
                  <w:vMerge w:val="continue"/>
                  <w:tcBorders>
                    <w:tl2br w:val="nil"/>
                    <w:tr2bl w:val="nil"/>
                  </w:tcBorders>
                  <w:vAlign w:val="center"/>
                </w:tcPr>
                <w:p w14:paraId="12DE9A89">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0" w:type="pct"/>
                  <w:vMerge w:val="continue"/>
                  <w:tcBorders>
                    <w:tl2br w:val="nil"/>
                    <w:tr2bl w:val="nil"/>
                  </w:tcBorders>
                  <w:vAlign w:val="center"/>
                </w:tcPr>
                <w:p w14:paraId="4989D332">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76" w:type="pct"/>
                  <w:tcBorders>
                    <w:tl2br w:val="nil"/>
                    <w:tr2bl w:val="nil"/>
                  </w:tcBorders>
                  <w:vAlign w:val="center"/>
                </w:tcPr>
                <w:p w14:paraId="68C0E799">
                  <w:pPr>
                    <w:keepNext w:val="0"/>
                    <w:keepLines w:val="0"/>
                    <w:suppressLineNumbers w:val="0"/>
                    <w:spacing w:before="0" w:beforeAutospacing="0" w:after="0" w:afterAutospacing="0"/>
                    <w:ind w:left="0" w:right="0"/>
                    <w:jc w:val="center"/>
                    <w:rPr>
                      <w:rFonts w:hint="default" w:ascii="Times New Roman" w:hAnsi="Times New Roman" w:eastAsia="宋体" w:cs="Times New Roman"/>
                      <w:caps w:val="0"/>
                      <w:color w:val="000000"/>
                      <w:szCs w:val="21"/>
                      <w:u w:val="none" w:color="auto"/>
                      <w:lang w:val="en-US" w:eastAsia="zh-CN"/>
                    </w:rPr>
                  </w:pPr>
                  <w:r>
                    <w:rPr>
                      <w:rFonts w:hint="eastAsia" w:ascii="Times New Roman" w:hAnsi="Times New Roman" w:cs="Times New Roman"/>
                      <w:caps w:val="0"/>
                      <w:color w:val="000000"/>
                      <w:szCs w:val="21"/>
                      <w:u w:val="none" w:color="auto"/>
                      <w:lang w:val="en-US" w:eastAsia="zh-CN"/>
                    </w:rPr>
                    <w:t>SS</w:t>
                  </w:r>
                </w:p>
              </w:tc>
              <w:tc>
                <w:tcPr>
                  <w:tcW w:w="554" w:type="pct"/>
                  <w:tcBorders>
                    <w:tl2br w:val="nil"/>
                    <w:tr2bl w:val="nil"/>
                  </w:tcBorders>
                  <w:vAlign w:val="center"/>
                </w:tcPr>
                <w:p w14:paraId="2C1908C6">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lang w:val="en-US" w:eastAsia="zh-CN"/>
                    </w:rPr>
                  </w:pPr>
                  <w:r>
                    <w:rPr>
                      <w:rFonts w:hint="eastAsia" w:ascii="Times New Roman" w:hAnsi="Times New Roman" w:cs="Times New Roman"/>
                      <w:caps w:val="0"/>
                      <w:color w:val="000000"/>
                      <w:szCs w:val="21"/>
                      <w:u w:val="none" w:color="auto"/>
                      <w:lang w:val="en-US" w:eastAsia="zh-CN"/>
                    </w:rPr>
                    <w:t>10</w:t>
                  </w:r>
                  <w:r>
                    <w:rPr>
                      <w:rFonts w:hint="default" w:ascii="Times New Roman" w:hAnsi="Times New Roman" w:cs="Times New Roman"/>
                      <w:caps w:val="0"/>
                      <w:color w:val="000000"/>
                      <w:szCs w:val="21"/>
                      <w:u w:val="none" w:color="auto"/>
                    </w:rPr>
                    <w:t>mg/L</w:t>
                  </w:r>
                </w:p>
              </w:tc>
            </w:tr>
            <w:tr w14:paraId="11BFD6C3">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258" w:hRule="atLeast"/>
                <w:jc w:val="center"/>
              </w:trPr>
              <w:tc>
                <w:tcPr>
                  <w:tcW w:w="256" w:type="pct"/>
                  <w:vMerge w:val="continue"/>
                  <w:tcBorders>
                    <w:tl2br w:val="nil"/>
                    <w:tr2bl w:val="nil"/>
                  </w:tcBorders>
                  <w:vAlign w:val="center"/>
                </w:tcPr>
                <w:p w14:paraId="362DF33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56" w:type="pct"/>
                  <w:vMerge w:val="continue"/>
                  <w:tcBorders>
                    <w:tl2br w:val="nil"/>
                    <w:tr2bl w:val="nil"/>
                  </w:tcBorders>
                  <w:vAlign w:val="center"/>
                </w:tcPr>
                <w:p w14:paraId="5D01828C">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800" w:type="pct"/>
                  <w:vMerge w:val="continue"/>
                  <w:tcBorders>
                    <w:tl2br w:val="nil"/>
                    <w:tr2bl w:val="nil"/>
                  </w:tcBorders>
                  <w:vAlign w:val="center"/>
                </w:tcPr>
                <w:p w14:paraId="5E99E53C">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725" w:type="pct"/>
                  <w:vMerge w:val="continue"/>
                  <w:tcBorders>
                    <w:tl2br w:val="nil"/>
                    <w:tr2bl w:val="nil"/>
                  </w:tcBorders>
                  <w:vAlign w:val="center"/>
                </w:tcPr>
                <w:p w14:paraId="51EEA9F6">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9" w:type="pct"/>
                  <w:vMerge w:val="continue"/>
                  <w:tcBorders>
                    <w:tl2br w:val="nil"/>
                    <w:tr2bl w:val="nil"/>
                  </w:tcBorders>
                  <w:vAlign w:val="center"/>
                </w:tcPr>
                <w:p w14:paraId="6C2DDD3C">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16" w:type="pct"/>
                  <w:vMerge w:val="continue"/>
                  <w:tcBorders>
                    <w:tl2br w:val="nil"/>
                    <w:tr2bl w:val="nil"/>
                  </w:tcBorders>
                  <w:vAlign w:val="center"/>
                </w:tcPr>
                <w:p w14:paraId="3061B767">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23" w:type="pct"/>
                  <w:vMerge w:val="continue"/>
                  <w:tcBorders>
                    <w:tl2br w:val="nil"/>
                    <w:tr2bl w:val="nil"/>
                  </w:tcBorders>
                  <w:vAlign w:val="center"/>
                </w:tcPr>
                <w:p w14:paraId="29265372">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80" w:type="pct"/>
                  <w:vMerge w:val="continue"/>
                  <w:tcBorders>
                    <w:tl2br w:val="nil"/>
                    <w:tr2bl w:val="nil"/>
                  </w:tcBorders>
                  <w:vAlign w:val="center"/>
                </w:tcPr>
                <w:p w14:paraId="5F40A2A9">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0" w:type="pct"/>
                  <w:vMerge w:val="continue"/>
                  <w:tcBorders>
                    <w:tl2br w:val="nil"/>
                    <w:tr2bl w:val="nil"/>
                  </w:tcBorders>
                  <w:vAlign w:val="center"/>
                </w:tcPr>
                <w:p w14:paraId="4ACB909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76" w:type="pct"/>
                  <w:tcBorders>
                    <w:tl2br w:val="nil"/>
                    <w:tr2bl w:val="nil"/>
                  </w:tcBorders>
                  <w:vAlign w:val="center"/>
                </w:tcPr>
                <w:p w14:paraId="45E3AB99">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TN</w:t>
                  </w:r>
                </w:p>
              </w:tc>
              <w:tc>
                <w:tcPr>
                  <w:tcW w:w="554" w:type="pct"/>
                  <w:tcBorders>
                    <w:tl2br w:val="nil"/>
                    <w:tr2bl w:val="nil"/>
                  </w:tcBorders>
                  <w:vAlign w:val="center"/>
                </w:tcPr>
                <w:p w14:paraId="62211EB4">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eastAsia" w:ascii="Times New Roman" w:hAnsi="Times New Roman" w:cs="Times New Roman"/>
                      <w:caps w:val="0"/>
                      <w:color w:val="000000"/>
                      <w:szCs w:val="21"/>
                      <w:u w:val="none" w:color="auto"/>
                      <w:lang w:val="en-US" w:eastAsia="zh-CN"/>
                    </w:rPr>
                    <w:t>15</w:t>
                  </w:r>
                  <w:r>
                    <w:rPr>
                      <w:rFonts w:hint="default" w:ascii="Times New Roman" w:hAnsi="Times New Roman" w:cs="Times New Roman"/>
                      <w:caps w:val="0"/>
                      <w:color w:val="000000"/>
                      <w:szCs w:val="21"/>
                      <w:u w:val="none" w:color="auto"/>
                    </w:rPr>
                    <w:t>mg/L</w:t>
                  </w:r>
                </w:p>
              </w:tc>
            </w:tr>
            <w:tr w14:paraId="0C4283F5">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PrEx>
              <w:trPr>
                <w:trHeight w:val="631" w:hRule="atLeast"/>
                <w:jc w:val="center"/>
              </w:trPr>
              <w:tc>
                <w:tcPr>
                  <w:tcW w:w="256" w:type="pct"/>
                  <w:vMerge w:val="continue"/>
                  <w:tcBorders>
                    <w:tl2br w:val="nil"/>
                    <w:tr2bl w:val="nil"/>
                  </w:tcBorders>
                  <w:vAlign w:val="center"/>
                </w:tcPr>
                <w:p w14:paraId="1833DEFB">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56" w:type="pct"/>
                  <w:vMerge w:val="continue"/>
                  <w:tcBorders>
                    <w:tl2br w:val="nil"/>
                    <w:tr2bl w:val="nil"/>
                  </w:tcBorders>
                  <w:vAlign w:val="center"/>
                </w:tcPr>
                <w:p w14:paraId="0500D77A">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800" w:type="pct"/>
                  <w:vMerge w:val="continue"/>
                  <w:tcBorders>
                    <w:tl2br w:val="nil"/>
                    <w:tr2bl w:val="nil"/>
                  </w:tcBorders>
                  <w:vAlign w:val="center"/>
                </w:tcPr>
                <w:p w14:paraId="0369B5CA">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725" w:type="pct"/>
                  <w:vMerge w:val="continue"/>
                  <w:tcBorders>
                    <w:tl2br w:val="nil"/>
                    <w:tr2bl w:val="nil"/>
                  </w:tcBorders>
                  <w:vAlign w:val="center"/>
                </w:tcPr>
                <w:p w14:paraId="2FC16154">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9" w:type="pct"/>
                  <w:vMerge w:val="continue"/>
                  <w:tcBorders>
                    <w:tl2br w:val="nil"/>
                    <w:tr2bl w:val="nil"/>
                  </w:tcBorders>
                  <w:vAlign w:val="center"/>
                </w:tcPr>
                <w:p w14:paraId="7E4C637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16" w:type="pct"/>
                  <w:vMerge w:val="continue"/>
                  <w:tcBorders>
                    <w:tl2br w:val="nil"/>
                    <w:tr2bl w:val="nil"/>
                  </w:tcBorders>
                  <w:vAlign w:val="center"/>
                </w:tcPr>
                <w:p w14:paraId="5D8763B5">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23" w:type="pct"/>
                  <w:vMerge w:val="continue"/>
                  <w:tcBorders>
                    <w:tl2br w:val="nil"/>
                    <w:tr2bl w:val="nil"/>
                  </w:tcBorders>
                  <w:vAlign w:val="center"/>
                </w:tcPr>
                <w:p w14:paraId="35CEE8D9">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280" w:type="pct"/>
                  <w:vMerge w:val="continue"/>
                  <w:tcBorders>
                    <w:tl2br w:val="nil"/>
                    <w:tr2bl w:val="nil"/>
                  </w:tcBorders>
                  <w:vAlign w:val="center"/>
                </w:tcPr>
                <w:p w14:paraId="64CA5B2A">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00" w:type="pct"/>
                  <w:vMerge w:val="continue"/>
                  <w:tcBorders>
                    <w:tl2br w:val="nil"/>
                    <w:tr2bl w:val="nil"/>
                  </w:tcBorders>
                  <w:vAlign w:val="center"/>
                </w:tcPr>
                <w:p w14:paraId="3B99961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76" w:type="pct"/>
                  <w:tcBorders>
                    <w:tl2br w:val="nil"/>
                    <w:tr2bl w:val="nil"/>
                  </w:tcBorders>
                  <w:vAlign w:val="center"/>
                </w:tcPr>
                <w:p w14:paraId="06DC68E7">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动植物油</w:t>
                  </w:r>
                </w:p>
              </w:tc>
              <w:tc>
                <w:tcPr>
                  <w:tcW w:w="554" w:type="pct"/>
                  <w:tcBorders>
                    <w:tl2br w:val="nil"/>
                    <w:tr2bl w:val="nil"/>
                  </w:tcBorders>
                  <w:vAlign w:val="center"/>
                </w:tcPr>
                <w:p w14:paraId="1BB8CEF8">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eastAsia" w:ascii="Times New Roman" w:hAnsi="Times New Roman" w:cs="Times New Roman"/>
                      <w:caps w:val="0"/>
                      <w:color w:val="000000"/>
                      <w:szCs w:val="21"/>
                      <w:u w:val="none" w:color="auto"/>
                      <w:lang w:val="en-US" w:eastAsia="zh-CN"/>
                    </w:rPr>
                    <w:t>1</w:t>
                  </w:r>
                  <w:r>
                    <w:rPr>
                      <w:rFonts w:hint="default" w:ascii="Times New Roman" w:hAnsi="Times New Roman" w:cs="Times New Roman"/>
                      <w:caps w:val="0"/>
                      <w:color w:val="000000"/>
                      <w:szCs w:val="21"/>
                      <w:u w:val="none" w:color="auto"/>
                    </w:rPr>
                    <w:t>mg/L</w:t>
                  </w:r>
                </w:p>
              </w:tc>
            </w:tr>
          </w:tbl>
          <w:p w14:paraId="4E2E04F9">
            <w:pPr>
              <w:pStyle w:val="33"/>
              <w:keepNext w:val="0"/>
              <w:keepLines w:val="0"/>
              <w:pageBreakBefore w:val="0"/>
              <w:widowControl w:val="0"/>
              <w:numPr>
                <w:ilvl w:val="-1"/>
                <w:numId w:val="0"/>
              </w:numPr>
              <w:suppressLineNumbers w:val="0"/>
              <w:tabs>
                <w:tab w:val="left" w:pos="0"/>
              </w:tabs>
              <w:kinsoku/>
              <w:wordWrap/>
              <w:overflowPunct/>
              <w:topLinePunct w:val="0"/>
              <w:autoSpaceDE/>
              <w:autoSpaceDN/>
              <w:bidi w:val="0"/>
              <w:adjustRightInd/>
              <w:snapToGrid/>
              <w:spacing w:before="157" w:beforeLines="50" w:beforeAutospacing="0" w:after="0" w:afterAutospacing="0" w:line="360" w:lineRule="auto"/>
              <w:ind w:left="0" w:right="0" w:firstLine="480" w:firstLineChars="200"/>
              <w:jc w:val="both"/>
              <w:textAlignment w:val="auto"/>
              <w:rPr>
                <w:rFonts w:hint="default" w:ascii="Times New Roman" w:hAnsi="Times New Roman" w:eastAsia="宋体" w:cs="Times New Roman"/>
                <w:b w:val="0"/>
                <w:bCs/>
                <w:caps w:val="0"/>
                <w:color w:val="000000"/>
                <w:kern w:val="2"/>
                <w:sz w:val="24"/>
                <w:szCs w:val="24"/>
                <w:u w:val="none" w:color="auto"/>
                <w:lang w:val="en-US" w:eastAsia="zh-CN" w:bidi="ar-SA"/>
              </w:rPr>
            </w:pPr>
            <w:r>
              <w:rPr>
                <w:rFonts w:hint="eastAsia" w:cs="Times New Roman"/>
                <w:b w:val="0"/>
                <w:bCs/>
                <w:caps w:val="0"/>
                <w:color w:val="000000"/>
                <w:kern w:val="2"/>
                <w:sz w:val="24"/>
                <w:szCs w:val="24"/>
                <w:u w:val="none" w:color="auto"/>
                <w:lang w:val="en-US" w:eastAsia="zh-CN" w:bidi="ar-SA"/>
              </w:rPr>
              <w:t>本项目废水尾水最终执行君山第二污水处理厂出水水质标准，废水污染物最终排放总量按照出水水质标准《城镇污水处理厂污染物排放标准》（GB18918-2002）及其修改单一级A标准进行核算。</w:t>
            </w:r>
          </w:p>
          <w:p w14:paraId="119A991A">
            <w:pPr>
              <w:pStyle w:val="33"/>
              <w:keepNext w:val="0"/>
              <w:keepLines w:val="0"/>
              <w:pageBreakBefore w:val="0"/>
              <w:widowControl w:val="0"/>
              <w:numPr>
                <w:ilvl w:val="0"/>
                <w:numId w:val="19"/>
              </w:numPr>
              <w:suppressLineNumbers w:val="0"/>
              <w:kinsoku/>
              <w:wordWrap/>
              <w:overflowPunct/>
              <w:topLinePunct w:val="0"/>
              <w:autoSpaceDE/>
              <w:autoSpaceDN/>
              <w:bidi w:val="0"/>
              <w:adjustRightInd/>
              <w:snapToGrid/>
              <w:spacing w:before="0" w:beforeLines="0" w:beforeAutospacing="0" w:after="0" w:afterAutospacing="0"/>
              <w:ind w:right="0" w:firstLineChars="0"/>
              <w:jc w:val="center"/>
              <w:textAlignment w:val="auto"/>
              <w:rPr>
                <w:rFonts w:hint="default" w:ascii="Times New Roman" w:hAnsi="Times New Roman" w:eastAsia="宋体" w:cs="Times New Roman"/>
                <w:b/>
                <w:caps w:val="0"/>
                <w:color w:val="000000"/>
                <w:kern w:val="2"/>
                <w:sz w:val="24"/>
                <w:szCs w:val="24"/>
                <w:u w:val="none" w:color="auto"/>
                <w:lang w:val="en-US" w:eastAsia="zh-CN" w:bidi="ar-SA"/>
              </w:rPr>
            </w:pPr>
            <w:r>
              <w:rPr>
                <w:rFonts w:hint="eastAsia" w:cs="Times New Roman"/>
                <w:b/>
                <w:caps w:val="0"/>
                <w:color w:val="000000"/>
                <w:kern w:val="2"/>
                <w:sz w:val="24"/>
                <w:szCs w:val="24"/>
                <w:u w:val="none" w:color="auto"/>
                <w:lang w:val="en-US" w:eastAsia="zh-CN" w:bidi="ar-SA"/>
              </w:rPr>
              <w:t>本项目</w:t>
            </w:r>
            <w:r>
              <w:rPr>
                <w:rFonts w:hint="default" w:ascii="Times New Roman" w:hAnsi="Times New Roman" w:eastAsia="宋体" w:cs="Times New Roman"/>
                <w:b/>
                <w:caps w:val="0"/>
                <w:color w:val="000000"/>
                <w:kern w:val="2"/>
                <w:sz w:val="24"/>
                <w:szCs w:val="24"/>
                <w:u w:val="none" w:color="auto"/>
                <w:lang w:val="en-US" w:eastAsia="zh-CN" w:bidi="ar-SA"/>
              </w:rPr>
              <w:t>废水污染物排放信息表</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0"/>
              <w:gridCol w:w="827"/>
              <w:gridCol w:w="1108"/>
              <w:gridCol w:w="1060"/>
              <w:gridCol w:w="1465"/>
              <w:gridCol w:w="1235"/>
              <w:gridCol w:w="1138"/>
              <w:gridCol w:w="1143"/>
            </w:tblGrid>
            <w:tr w14:paraId="401690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50" w:type="pct"/>
                  <w:vMerge w:val="restart"/>
                  <w:tcBorders>
                    <w:tl2br w:val="nil"/>
                    <w:tr2bl w:val="nil"/>
                  </w:tcBorders>
                  <w:vAlign w:val="center"/>
                </w:tcPr>
                <w:p w14:paraId="07581605">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序号</w:t>
                  </w:r>
                </w:p>
              </w:tc>
              <w:tc>
                <w:tcPr>
                  <w:tcW w:w="492" w:type="pct"/>
                  <w:vMerge w:val="restart"/>
                  <w:tcBorders>
                    <w:tl2br w:val="nil"/>
                    <w:tr2bl w:val="nil"/>
                  </w:tcBorders>
                  <w:vAlign w:val="center"/>
                </w:tcPr>
                <w:p w14:paraId="711DDC87">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排放口编号</w:t>
                  </w:r>
                </w:p>
              </w:tc>
              <w:tc>
                <w:tcPr>
                  <w:tcW w:w="659" w:type="pct"/>
                  <w:vMerge w:val="restart"/>
                  <w:tcBorders>
                    <w:tl2br w:val="nil"/>
                    <w:tr2bl w:val="nil"/>
                  </w:tcBorders>
                  <w:vAlign w:val="center"/>
                </w:tcPr>
                <w:p w14:paraId="43F22DA2">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污染物种类</w:t>
                  </w:r>
                </w:p>
              </w:tc>
              <w:tc>
                <w:tcPr>
                  <w:tcW w:w="631" w:type="pct"/>
                  <w:vMerge w:val="restart"/>
                  <w:tcBorders>
                    <w:tl2br w:val="nil"/>
                    <w:tr2bl w:val="nil"/>
                  </w:tcBorders>
                  <w:vAlign w:val="center"/>
                </w:tcPr>
                <w:p w14:paraId="472ECBE1">
                  <w:pPr>
                    <w:keepNext w:val="0"/>
                    <w:keepLines w:val="0"/>
                    <w:suppressLineNumbers w:val="0"/>
                    <w:spacing w:before="0" w:beforeAutospacing="0" w:after="0" w:afterAutospacing="0"/>
                    <w:ind w:left="0" w:leftChars="0" w:right="0" w:rightChars="0" w:firstLine="0" w:firstLineChars="0"/>
                    <w:jc w:val="center"/>
                    <w:rPr>
                      <w:rFonts w:hint="eastAsia" w:cs="Times New Roman"/>
                      <w:b/>
                      <w:bCs/>
                      <w:caps w:val="0"/>
                      <w:color w:val="000000"/>
                      <w:szCs w:val="21"/>
                      <w:u w:val="none" w:color="auto"/>
                      <w:lang w:val="en-US" w:eastAsia="zh-CN"/>
                    </w:rPr>
                  </w:pPr>
                  <w:r>
                    <w:rPr>
                      <w:rFonts w:hint="eastAsia" w:cs="Times New Roman"/>
                      <w:b/>
                      <w:bCs/>
                      <w:caps w:val="0"/>
                      <w:color w:val="000000"/>
                      <w:szCs w:val="21"/>
                      <w:u w:val="none" w:color="auto"/>
                      <w:lang w:val="en-US" w:eastAsia="zh-CN"/>
                    </w:rPr>
                    <w:t>废水量</w:t>
                  </w:r>
                </w:p>
                <w:p w14:paraId="0F22BC1C">
                  <w:pPr>
                    <w:pStyle w:val="7"/>
                    <w:keepNext w:val="0"/>
                    <w:keepLines w:val="0"/>
                    <w:suppressLineNumbers w:val="0"/>
                    <w:spacing w:before="0" w:beforeAutospacing="0" w:after="0" w:afterAutospacing="0"/>
                    <w:ind w:left="0" w:right="0" w:firstLine="0" w:firstLineChars="0"/>
                    <w:jc w:val="center"/>
                    <w:rPr>
                      <w:rFonts w:hint="default"/>
                      <w:lang w:val="en-US" w:eastAsia="zh-CN"/>
                    </w:rPr>
                  </w:pPr>
                  <w:r>
                    <w:rPr>
                      <w:rFonts w:hint="eastAsia"/>
                      <w:b/>
                      <w:bCs/>
                      <w:lang w:val="en-US" w:eastAsia="zh-CN"/>
                    </w:rPr>
                    <w:t>m</w:t>
                  </w:r>
                  <w:r>
                    <w:rPr>
                      <w:rFonts w:hint="eastAsia"/>
                      <w:b/>
                      <w:bCs/>
                      <w:vertAlign w:val="superscript"/>
                      <w:lang w:val="en-US" w:eastAsia="zh-CN"/>
                    </w:rPr>
                    <w:t>3</w:t>
                  </w:r>
                  <w:r>
                    <w:rPr>
                      <w:rFonts w:hint="eastAsia"/>
                      <w:b/>
                      <w:bCs/>
                      <w:lang w:val="en-US" w:eastAsia="zh-CN"/>
                    </w:rPr>
                    <w:t>/a</w:t>
                  </w:r>
                </w:p>
              </w:tc>
              <w:tc>
                <w:tcPr>
                  <w:tcW w:w="872" w:type="pct"/>
                  <w:vMerge w:val="restart"/>
                  <w:tcBorders>
                    <w:tl2br w:val="nil"/>
                    <w:tr2bl w:val="nil"/>
                  </w:tcBorders>
                  <w:vAlign w:val="center"/>
                </w:tcPr>
                <w:p w14:paraId="5C0D41EB">
                  <w:pPr>
                    <w:keepNext w:val="0"/>
                    <w:keepLines w:val="0"/>
                    <w:suppressLineNumbers w:val="0"/>
                    <w:spacing w:before="0" w:beforeAutospacing="0" w:after="0" w:afterAutospacing="0"/>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排放浓度/（mg/L）</w:t>
                  </w:r>
                </w:p>
              </w:tc>
              <w:tc>
                <w:tcPr>
                  <w:tcW w:w="735" w:type="pct"/>
                  <w:vMerge w:val="restart"/>
                  <w:tcBorders>
                    <w:tl2br w:val="nil"/>
                    <w:tr2bl w:val="nil"/>
                  </w:tcBorders>
                  <w:vAlign w:val="center"/>
                </w:tcPr>
                <w:p w14:paraId="7A6C0B95">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年排放量/（t/a）</w:t>
                  </w:r>
                </w:p>
              </w:tc>
              <w:tc>
                <w:tcPr>
                  <w:tcW w:w="1357" w:type="pct"/>
                  <w:gridSpan w:val="2"/>
                  <w:tcBorders>
                    <w:tl2br w:val="nil"/>
                    <w:tr2bl w:val="nil"/>
                  </w:tcBorders>
                  <w:vAlign w:val="center"/>
                </w:tcPr>
                <w:p w14:paraId="4571966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aps w:val="0"/>
                      <w:color w:val="000000"/>
                      <w:szCs w:val="21"/>
                      <w:u w:val="none" w:color="auto"/>
                      <w:lang w:val="en-US" w:eastAsia="zh-CN"/>
                    </w:rPr>
                  </w:pPr>
                  <w:r>
                    <w:rPr>
                      <w:rFonts w:hint="eastAsia" w:cs="Times New Roman"/>
                      <w:b/>
                      <w:bCs/>
                      <w:caps w:val="0"/>
                      <w:color w:val="000000"/>
                      <w:szCs w:val="21"/>
                      <w:u w:val="none" w:color="auto"/>
                      <w:lang w:val="en-US" w:eastAsia="zh-CN"/>
                    </w:rPr>
                    <w:t>排入环境</w:t>
                  </w:r>
                </w:p>
              </w:tc>
            </w:tr>
            <w:tr w14:paraId="45D2DA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250" w:type="pct"/>
                  <w:vMerge w:val="continue"/>
                  <w:tcBorders>
                    <w:tl2br w:val="nil"/>
                    <w:tr2bl w:val="nil"/>
                  </w:tcBorders>
                  <w:vAlign w:val="center"/>
                </w:tcPr>
                <w:p w14:paraId="1194D821">
                  <w:pPr>
                    <w:keepNext w:val="0"/>
                    <w:keepLines w:val="0"/>
                    <w:suppressLineNumbers w:val="0"/>
                    <w:spacing w:before="0" w:beforeAutospacing="0" w:after="0" w:afterAutospacing="0"/>
                    <w:ind w:left="0" w:right="0"/>
                    <w:jc w:val="center"/>
                    <w:rPr>
                      <w:rFonts w:hint="default"/>
                    </w:rPr>
                  </w:pPr>
                </w:p>
              </w:tc>
              <w:tc>
                <w:tcPr>
                  <w:tcW w:w="492" w:type="pct"/>
                  <w:vMerge w:val="continue"/>
                  <w:tcBorders>
                    <w:tl2br w:val="nil"/>
                    <w:tr2bl w:val="nil"/>
                  </w:tcBorders>
                  <w:vAlign w:val="center"/>
                </w:tcPr>
                <w:p w14:paraId="01BCA885">
                  <w:pPr>
                    <w:keepNext w:val="0"/>
                    <w:keepLines w:val="0"/>
                    <w:suppressLineNumbers w:val="0"/>
                    <w:spacing w:before="0" w:beforeAutospacing="0" w:after="0" w:afterAutospacing="0"/>
                    <w:ind w:left="0" w:right="0"/>
                    <w:jc w:val="center"/>
                    <w:rPr>
                      <w:rFonts w:hint="default"/>
                    </w:rPr>
                  </w:pPr>
                </w:p>
              </w:tc>
              <w:tc>
                <w:tcPr>
                  <w:tcW w:w="659" w:type="pct"/>
                  <w:vMerge w:val="continue"/>
                  <w:tcBorders>
                    <w:tl2br w:val="nil"/>
                    <w:tr2bl w:val="nil"/>
                  </w:tcBorders>
                  <w:vAlign w:val="center"/>
                </w:tcPr>
                <w:p w14:paraId="14C6E6E9">
                  <w:pPr>
                    <w:keepNext w:val="0"/>
                    <w:keepLines w:val="0"/>
                    <w:suppressLineNumbers w:val="0"/>
                    <w:spacing w:before="0" w:beforeAutospacing="0" w:after="0" w:afterAutospacing="0"/>
                    <w:ind w:left="0" w:right="0"/>
                    <w:jc w:val="center"/>
                    <w:rPr>
                      <w:rFonts w:hint="default"/>
                    </w:rPr>
                  </w:pPr>
                </w:p>
              </w:tc>
              <w:tc>
                <w:tcPr>
                  <w:tcW w:w="631" w:type="pct"/>
                  <w:vMerge w:val="continue"/>
                  <w:tcBorders>
                    <w:tl2br w:val="nil"/>
                    <w:tr2bl w:val="nil"/>
                  </w:tcBorders>
                  <w:vAlign w:val="center"/>
                </w:tcPr>
                <w:p w14:paraId="5D3EAEB7">
                  <w:pPr>
                    <w:keepNext w:val="0"/>
                    <w:keepLines w:val="0"/>
                    <w:suppressLineNumbers w:val="0"/>
                    <w:spacing w:before="0" w:beforeAutospacing="0" w:after="0" w:afterAutospacing="0"/>
                    <w:ind w:left="0" w:right="0"/>
                    <w:jc w:val="center"/>
                    <w:rPr>
                      <w:rFonts w:hint="default"/>
                    </w:rPr>
                  </w:pPr>
                </w:p>
              </w:tc>
              <w:tc>
                <w:tcPr>
                  <w:tcW w:w="872" w:type="pct"/>
                  <w:vMerge w:val="continue"/>
                  <w:tcBorders>
                    <w:tl2br w:val="nil"/>
                    <w:tr2bl w:val="nil"/>
                  </w:tcBorders>
                  <w:vAlign w:val="center"/>
                </w:tcPr>
                <w:p w14:paraId="76A10B4E">
                  <w:pPr>
                    <w:keepNext w:val="0"/>
                    <w:keepLines w:val="0"/>
                    <w:suppressLineNumbers w:val="0"/>
                    <w:spacing w:before="0" w:beforeAutospacing="0" w:after="0" w:afterAutospacing="0"/>
                    <w:ind w:left="0" w:right="0"/>
                    <w:jc w:val="center"/>
                    <w:rPr>
                      <w:rFonts w:hint="default"/>
                    </w:rPr>
                  </w:pPr>
                </w:p>
              </w:tc>
              <w:tc>
                <w:tcPr>
                  <w:tcW w:w="735" w:type="pct"/>
                  <w:vMerge w:val="continue"/>
                  <w:tcBorders>
                    <w:tl2br w:val="nil"/>
                    <w:tr2bl w:val="nil"/>
                  </w:tcBorders>
                  <w:vAlign w:val="center"/>
                </w:tcPr>
                <w:p w14:paraId="4A99355A">
                  <w:pPr>
                    <w:keepNext w:val="0"/>
                    <w:keepLines w:val="0"/>
                    <w:suppressLineNumbers w:val="0"/>
                    <w:spacing w:before="0" w:beforeAutospacing="0" w:after="0" w:afterAutospacing="0"/>
                    <w:ind w:left="0" w:right="0"/>
                    <w:jc w:val="center"/>
                    <w:rPr>
                      <w:rFonts w:hint="default"/>
                    </w:rPr>
                  </w:pPr>
                </w:p>
              </w:tc>
              <w:tc>
                <w:tcPr>
                  <w:tcW w:w="677" w:type="pct"/>
                  <w:tcBorders>
                    <w:tl2br w:val="nil"/>
                    <w:tr2bl w:val="nil"/>
                  </w:tcBorders>
                  <w:vAlign w:val="center"/>
                </w:tcPr>
                <w:p w14:paraId="60ABB8FC">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aps w:val="0"/>
                      <w:color w:val="000000"/>
                      <w:szCs w:val="21"/>
                      <w:u w:val="none" w:color="auto"/>
                      <w:lang w:val="en-US" w:eastAsia="zh-CN"/>
                    </w:rPr>
                  </w:pPr>
                  <w:r>
                    <w:rPr>
                      <w:rFonts w:hint="eastAsia" w:cs="Times New Roman"/>
                      <w:b/>
                      <w:bCs/>
                      <w:caps w:val="0"/>
                      <w:color w:val="000000"/>
                      <w:szCs w:val="21"/>
                      <w:u w:val="none" w:color="auto"/>
                      <w:lang w:val="en-US" w:eastAsia="zh-CN"/>
                    </w:rPr>
                    <w:t>排放浓度（mg/L）</w:t>
                  </w:r>
                </w:p>
              </w:tc>
              <w:tc>
                <w:tcPr>
                  <w:tcW w:w="680" w:type="pct"/>
                  <w:tcBorders>
                    <w:tl2br w:val="nil"/>
                    <w:tr2bl w:val="nil"/>
                  </w:tcBorders>
                  <w:vAlign w:val="center"/>
                </w:tcPr>
                <w:p w14:paraId="6DBCBD35">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caps w:val="0"/>
                      <w:color w:val="000000"/>
                      <w:szCs w:val="21"/>
                      <w:u w:val="none" w:color="auto"/>
                      <w:lang w:val="en-US" w:eastAsia="zh-CN"/>
                    </w:rPr>
                  </w:pPr>
                  <w:r>
                    <w:rPr>
                      <w:rFonts w:hint="eastAsia" w:cs="Times New Roman"/>
                      <w:b/>
                      <w:bCs/>
                      <w:caps w:val="0"/>
                      <w:color w:val="000000"/>
                      <w:szCs w:val="21"/>
                      <w:u w:val="none" w:color="auto"/>
                      <w:lang w:val="en-US" w:eastAsia="zh-CN"/>
                    </w:rPr>
                    <w:t>年排放量（t/a）</w:t>
                  </w:r>
                </w:p>
              </w:tc>
            </w:tr>
            <w:tr w14:paraId="17B3FD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50" w:type="pct"/>
                  <w:vMerge w:val="restart"/>
                  <w:tcBorders>
                    <w:tl2br w:val="nil"/>
                    <w:tr2bl w:val="nil"/>
                  </w:tcBorders>
                  <w:vAlign w:val="center"/>
                </w:tcPr>
                <w:p w14:paraId="60027F26">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1</w:t>
                  </w:r>
                </w:p>
              </w:tc>
              <w:tc>
                <w:tcPr>
                  <w:tcW w:w="492" w:type="pct"/>
                  <w:vMerge w:val="restart"/>
                  <w:tcBorders>
                    <w:tl2br w:val="nil"/>
                    <w:tr2bl w:val="nil"/>
                  </w:tcBorders>
                  <w:vAlign w:val="center"/>
                </w:tcPr>
                <w:p w14:paraId="1BCF71B8">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DW001</w:t>
                  </w:r>
                </w:p>
              </w:tc>
              <w:tc>
                <w:tcPr>
                  <w:tcW w:w="659" w:type="pct"/>
                  <w:tcBorders>
                    <w:tl2br w:val="nil"/>
                    <w:tr2bl w:val="nil"/>
                  </w:tcBorders>
                  <w:vAlign w:val="center"/>
                </w:tcPr>
                <w:p w14:paraId="7DC502AE">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COD</w:t>
                  </w:r>
                </w:p>
              </w:tc>
              <w:tc>
                <w:tcPr>
                  <w:tcW w:w="631" w:type="pct"/>
                  <w:vMerge w:val="restart"/>
                  <w:tcBorders>
                    <w:tl2br w:val="nil"/>
                    <w:tr2bl w:val="nil"/>
                  </w:tcBorders>
                  <w:vAlign w:val="center"/>
                </w:tcPr>
                <w:p w14:paraId="47DE6BED">
                  <w:pPr>
                    <w:keepNext w:val="0"/>
                    <w:keepLines w:val="0"/>
                    <w:widowControl/>
                    <w:suppressLineNumbers w:val="0"/>
                    <w:spacing w:before="0" w:beforeAutospacing="0" w:after="0" w:afterAutospacing="0"/>
                    <w:ind w:left="0" w:right="0"/>
                    <w:jc w:val="center"/>
                    <w:textAlignment w:val="center"/>
                    <w:rPr>
                      <w:rFonts w:hint="default" w:cs="Times New Roman"/>
                      <w:caps w:val="0"/>
                      <w:color w:val="000000"/>
                      <w:szCs w:val="21"/>
                      <w:u w:val="none" w:color="auto"/>
                      <w:lang w:val="en-US" w:eastAsia="zh-CN"/>
                    </w:rPr>
                  </w:pPr>
                  <w:r>
                    <w:rPr>
                      <w:rFonts w:hint="eastAsia" w:cs="Times New Roman"/>
                      <w:caps w:val="0"/>
                      <w:color w:val="000000"/>
                      <w:szCs w:val="21"/>
                      <w:u w:val="none" w:color="auto"/>
                      <w:lang w:val="en-US" w:eastAsia="zh-CN"/>
                    </w:rPr>
                    <w:t>69110.39</w:t>
                  </w:r>
                </w:p>
              </w:tc>
              <w:tc>
                <w:tcPr>
                  <w:tcW w:w="872" w:type="pct"/>
                  <w:tcBorders>
                    <w:tl2br w:val="nil"/>
                    <w:tr2bl w:val="nil"/>
                  </w:tcBorders>
                  <w:vAlign w:val="center"/>
                </w:tcPr>
                <w:p w14:paraId="1AFA981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889.00</w:t>
                  </w:r>
                </w:p>
              </w:tc>
              <w:tc>
                <w:tcPr>
                  <w:tcW w:w="735" w:type="pct"/>
                  <w:tcBorders>
                    <w:tl2br w:val="nil"/>
                    <w:tr2bl w:val="nil"/>
                  </w:tcBorders>
                  <w:vAlign w:val="center"/>
                </w:tcPr>
                <w:p w14:paraId="37C3F3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sz w:val="21"/>
                      <w:szCs w:val="21"/>
                      <w:u w:val="none" w:color="auto"/>
                      <w:lang w:val="en-US" w:eastAsia="zh-CN"/>
                    </w:rPr>
                  </w:pPr>
                  <w:r>
                    <w:rPr>
                      <w:rFonts w:hint="eastAsia" w:cs="Times New Roman"/>
                      <w:caps w:val="0"/>
                      <w:color w:val="000000"/>
                      <w:sz w:val="21"/>
                      <w:szCs w:val="21"/>
                      <w:u w:val="none" w:color="auto"/>
                      <w:lang w:val="en-US" w:eastAsia="zh-CN"/>
                    </w:rPr>
                    <w:t>61.439</w:t>
                  </w:r>
                </w:p>
              </w:tc>
              <w:tc>
                <w:tcPr>
                  <w:tcW w:w="677" w:type="pct"/>
                  <w:tcBorders>
                    <w:tl2br w:val="nil"/>
                    <w:tr2bl w:val="nil"/>
                  </w:tcBorders>
                  <w:vAlign w:val="center"/>
                </w:tcPr>
                <w:p w14:paraId="57EB96E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50</w:t>
                  </w:r>
                </w:p>
              </w:tc>
              <w:tc>
                <w:tcPr>
                  <w:tcW w:w="680" w:type="pct"/>
                  <w:tcBorders>
                    <w:tl2br w:val="nil"/>
                    <w:tr2bl w:val="nil"/>
                  </w:tcBorders>
                  <w:vAlign w:val="center"/>
                </w:tcPr>
                <w:p w14:paraId="726A5365">
                  <w:pPr>
                    <w:keepNext w:val="0"/>
                    <w:keepLines w:val="0"/>
                    <w:widowControl/>
                    <w:suppressLineNumbers w:val="0"/>
                    <w:spacing w:before="0" w:beforeAutospacing="0" w:after="0" w:afterAutospacing="0"/>
                    <w:ind w:left="0" w:right="0"/>
                    <w:jc w:val="center"/>
                    <w:textAlignment w:val="center"/>
                    <w:rPr>
                      <w:rFonts w:hint="default" w:cs="Times New Roman"/>
                      <w:caps w:val="0"/>
                      <w:color w:val="000000"/>
                      <w:szCs w:val="21"/>
                      <w:u w:val="none" w:color="auto"/>
                      <w:lang w:val="en-US" w:eastAsia="zh-CN"/>
                    </w:rPr>
                  </w:pPr>
                  <w:r>
                    <w:rPr>
                      <w:rFonts w:hint="eastAsia" w:cs="Times New Roman"/>
                      <w:caps w:val="0"/>
                      <w:color w:val="000000"/>
                      <w:szCs w:val="21"/>
                      <w:u w:val="none" w:color="auto"/>
                      <w:lang w:val="en-US" w:eastAsia="zh-CN"/>
                    </w:rPr>
                    <w:t>3.456</w:t>
                  </w:r>
                </w:p>
              </w:tc>
            </w:tr>
            <w:tr w14:paraId="566FFF5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45" w:hRule="atLeast"/>
                <w:jc w:val="center"/>
              </w:trPr>
              <w:tc>
                <w:tcPr>
                  <w:tcW w:w="250" w:type="pct"/>
                  <w:vMerge w:val="continue"/>
                  <w:tcBorders>
                    <w:tl2br w:val="nil"/>
                    <w:tr2bl w:val="nil"/>
                  </w:tcBorders>
                  <w:vAlign w:val="center"/>
                </w:tcPr>
                <w:p w14:paraId="2E1AFE5E">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92" w:type="pct"/>
                  <w:vMerge w:val="continue"/>
                  <w:tcBorders>
                    <w:tl2br w:val="nil"/>
                    <w:tr2bl w:val="nil"/>
                  </w:tcBorders>
                  <w:vAlign w:val="center"/>
                </w:tcPr>
                <w:p w14:paraId="6B05095F">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659" w:type="pct"/>
                  <w:tcBorders>
                    <w:tl2br w:val="nil"/>
                    <w:tr2bl w:val="nil"/>
                  </w:tcBorders>
                  <w:vAlign w:val="center"/>
                </w:tcPr>
                <w:p w14:paraId="1170FC1E">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BOD</w:t>
                  </w:r>
                  <w:r>
                    <w:rPr>
                      <w:rFonts w:hint="default" w:ascii="Times New Roman" w:hAnsi="Times New Roman" w:cs="Times New Roman"/>
                      <w:caps w:val="0"/>
                      <w:color w:val="000000"/>
                      <w:szCs w:val="21"/>
                      <w:u w:val="none" w:color="auto"/>
                      <w:vertAlign w:val="subscript"/>
                    </w:rPr>
                    <w:t>5</w:t>
                  </w:r>
                </w:p>
              </w:tc>
              <w:tc>
                <w:tcPr>
                  <w:tcW w:w="631" w:type="pct"/>
                  <w:vMerge w:val="continue"/>
                  <w:tcBorders>
                    <w:tl2br w:val="nil"/>
                    <w:tr2bl w:val="nil"/>
                  </w:tcBorders>
                  <w:vAlign w:val="center"/>
                </w:tcPr>
                <w:p w14:paraId="333DA08B">
                  <w:pPr>
                    <w:keepNext w:val="0"/>
                    <w:keepLines w:val="0"/>
                    <w:widowControl/>
                    <w:suppressLineNumbers w:val="0"/>
                    <w:spacing w:before="0" w:beforeAutospacing="0" w:after="0" w:afterAutospacing="0"/>
                    <w:ind w:left="0" w:right="0"/>
                    <w:jc w:val="center"/>
                    <w:textAlignment w:val="center"/>
                    <w:rPr>
                      <w:rFonts w:hint="eastAsia" w:cs="Times New Roman"/>
                      <w:caps w:val="0"/>
                      <w:color w:val="000000"/>
                      <w:szCs w:val="21"/>
                      <w:u w:val="none" w:color="auto"/>
                      <w:lang w:val="en-US" w:eastAsia="zh-CN"/>
                    </w:rPr>
                  </w:pPr>
                </w:p>
              </w:tc>
              <w:tc>
                <w:tcPr>
                  <w:tcW w:w="872" w:type="pct"/>
                  <w:tcBorders>
                    <w:tl2br w:val="nil"/>
                    <w:tr2bl w:val="nil"/>
                  </w:tcBorders>
                  <w:vAlign w:val="center"/>
                </w:tcPr>
                <w:p w14:paraId="5480B50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479.48</w:t>
                  </w:r>
                </w:p>
              </w:tc>
              <w:tc>
                <w:tcPr>
                  <w:tcW w:w="735" w:type="pct"/>
                  <w:tcBorders>
                    <w:tl2br w:val="nil"/>
                    <w:tr2bl w:val="nil"/>
                  </w:tcBorders>
                  <w:vAlign w:val="center"/>
                </w:tcPr>
                <w:p w14:paraId="6C116CE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sz w:val="21"/>
                      <w:szCs w:val="21"/>
                      <w:u w:val="none" w:color="auto"/>
                      <w:lang w:val="en-US" w:eastAsia="zh-CN"/>
                    </w:rPr>
                  </w:pPr>
                  <w:r>
                    <w:rPr>
                      <w:rFonts w:hint="eastAsia" w:cs="Times New Roman"/>
                      <w:caps w:val="0"/>
                      <w:color w:val="000000"/>
                      <w:sz w:val="21"/>
                      <w:szCs w:val="21"/>
                      <w:u w:val="none" w:color="auto"/>
                      <w:lang w:val="en-US" w:eastAsia="zh-CN"/>
                    </w:rPr>
                    <w:t>33.137</w:t>
                  </w:r>
                </w:p>
              </w:tc>
              <w:tc>
                <w:tcPr>
                  <w:tcW w:w="677" w:type="pct"/>
                  <w:tcBorders>
                    <w:tl2br w:val="nil"/>
                    <w:tr2bl w:val="nil"/>
                  </w:tcBorders>
                  <w:vAlign w:val="center"/>
                </w:tcPr>
                <w:p w14:paraId="693B235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10</w:t>
                  </w:r>
                </w:p>
              </w:tc>
              <w:tc>
                <w:tcPr>
                  <w:tcW w:w="680" w:type="pct"/>
                  <w:tcBorders>
                    <w:tl2br w:val="nil"/>
                    <w:tr2bl w:val="nil"/>
                  </w:tcBorders>
                  <w:vAlign w:val="center"/>
                </w:tcPr>
                <w:p w14:paraId="40FA7D3D">
                  <w:pPr>
                    <w:keepNext w:val="0"/>
                    <w:keepLines w:val="0"/>
                    <w:widowControl/>
                    <w:suppressLineNumbers w:val="0"/>
                    <w:spacing w:before="0" w:beforeAutospacing="0" w:after="0" w:afterAutospacing="0"/>
                    <w:ind w:left="0" w:right="0"/>
                    <w:jc w:val="center"/>
                    <w:textAlignment w:val="center"/>
                    <w:rPr>
                      <w:rFonts w:hint="default" w:cs="Times New Roman"/>
                      <w:caps w:val="0"/>
                      <w:color w:val="000000"/>
                      <w:szCs w:val="21"/>
                      <w:u w:val="none" w:color="auto"/>
                      <w:lang w:val="en-US" w:eastAsia="zh-CN"/>
                    </w:rPr>
                  </w:pPr>
                  <w:r>
                    <w:rPr>
                      <w:rFonts w:hint="eastAsia" w:cs="Times New Roman"/>
                      <w:caps w:val="0"/>
                      <w:color w:val="000000"/>
                      <w:szCs w:val="21"/>
                      <w:u w:val="none" w:color="auto"/>
                      <w:lang w:val="en-US" w:eastAsia="zh-CN"/>
                    </w:rPr>
                    <w:t>0.691</w:t>
                  </w:r>
                </w:p>
              </w:tc>
            </w:tr>
            <w:tr w14:paraId="6352E1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50" w:type="pct"/>
                  <w:vMerge w:val="continue"/>
                  <w:tcBorders>
                    <w:tl2br w:val="nil"/>
                    <w:tr2bl w:val="nil"/>
                  </w:tcBorders>
                  <w:vAlign w:val="center"/>
                </w:tcPr>
                <w:p w14:paraId="6FEFEDB9">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92" w:type="pct"/>
                  <w:vMerge w:val="continue"/>
                  <w:tcBorders>
                    <w:tl2br w:val="nil"/>
                    <w:tr2bl w:val="nil"/>
                  </w:tcBorders>
                  <w:vAlign w:val="center"/>
                </w:tcPr>
                <w:p w14:paraId="6BAC66E7">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659" w:type="pct"/>
                  <w:tcBorders>
                    <w:tl2br w:val="nil"/>
                    <w:tr2bl w:val="nil"/>
                  </w:tcBorders>
                  <w:vAlign w:val="center"/>
                </w:tcPr>
                <w:p w14:paraId="2C800768">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SS</w:t>
                  </w:r>
                </w:p>
              </w:tc>
              <w:tc>
                <w:tcPr>
                  <w:tcW w:w="631" w:type="pct"/>
                  <w:vMerge w:val="continue"/>
                  <w:tcBorders>
                    <w:tl2br w:val="nil"/>
                    <w:tr2bl w:val="nil"/>
                  </w:tcBorders>
                  <w:vAlign w:val="center"/>
                </w:tcPr>
                <w:p w14:paraId="1BF3CC2D">
                  <w:pPr>
                    <w:keepNext w:val="0"/>
                    <w:keepLines w:val="0"/>
                    <w:widowControl/>
                    <w:suppressLineNumbers w:val="0"/>
                    <w:spacing w:before="0" w:beforeAutospacing="0" w:after="0" w:afterAutospacing="0"/>
                    <w:ind w:left="0" w:right="0"/>
                    <w:jc w:val="center"/>
                    <w:textAlignment w:val="center"/>
                    <w:rPr>
                      <w:rFonts w:hint="eastAsia" w:cs="Times New Roman"/>
                      <w:caps w:val="0"/>
                      <w:color w:val="000000"/>
                      <w:szCs w:val="21"/>
                      <w:u w:val="none" w:color="auto"/>
                      <w:lang w:val="en-US" w:eastAsia="zh-CN"/>
                    </w:rPr>
                  </w:pPr>
                </w:p>
              </w:tc>
              <w:tc>
                <w:tcPr>
                  <w:tcW w:w="872" w:type="pct"/>
                  <w:tcBorders>
                    <w:tl2br w:val="nil"/>
                    <w:tr2bl w:val="nil"/>
                  </w:tcBorders>
                  <w:vAlign w:val="center"/>
                </w:tcPr>
                <w:p w14:paraId="57035C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347.30</w:t>
                  </w:r>
                </w:p>
              </w:tc>
              <w:tc>
                <w:tcPr>
                  <w:tcW w:w="735" w:type="pct"/>
                  <w:tcBorders>
                    <w:tl2br w:val="nil"/>
                    <w:tr2bl w:val="nil"/>
                  </w:tcBorders>
                  <w:vAlign w:val="center"/>
                </w:tcPr>
                <w:p w14:paraId="705C0EE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sz w:val="21"/>
                      <w:szCs w:val="21"/>
                      <w:u w:val="none" w:color="auto"/>
                      <w:lang w:val="en-US" w:eastAsia="zh-CN"/>
                    </w:rPr>
                  </w:pPr>
                  <w:r>
                    <w:rPr>
                      <w:rFonts w:hint="eastAsia" w:cs="Times New Roman"/>
                      <w:caps w:val="0"/>
                      <w:color w:val="000000"/>
                      <w:sz w:val="21"/>
                      <w:szCs w:val="21"/>
                      <w:u w:val="none" w:color="auto"/>
                      <w:lang w:val="en-US" w:eastAsia="zh-CN"/>
                    </w:rPr>
                    <w:t>24.002</w:t>
                  </w:r>
                </w:p>
              </w:tc>
              <w:tc>
                <w:tcPr>
                  <w:tcW w:w="677" w:type="pct"/>
                  <w:tcBorders>
                    <w:tl2br w:val="nil"/>
                    <w:tr2bl w:val="nil"/>
                  </w:tcBorders>
                  <w:vAlign w:val="center"/>
                </w:tcPr>
                <w:p w14:paraId="5D87E93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10</w:t>
                  </w:r>
                </w:p>
              </w:tc>
              <w:tc>
                <w:tcPr>
                  <w:tcW w:w="680" w:type="pct"/>
                  <w:tcBorders>
                    <w:tl2br w:val="nil"/>
                    <w:tr2bl w:val="nil"/>
                  </w:tcBorders>
                  <w:vAlign w:val="center"/>
                </w:tcPr>
                <w:p w14:paraId="6BB2E0EC">
                  <w:pPr>
                    <w:keepNext w:val="0"/>
                    <w:keepLines w:val="0"/>
                    <w:widowControl/>
                    <w:suppressLineNumbers w:val="0"/>
                    <w:spacing w:before="0" w:beforeAutospacing="0" w:after="0" w:afterAutospacing="0"/>
                    <w:ind w:left="0" w:right="0"/>
                    <w:jc w:val="center"/>
                    <w:textAlignment w:val="center"/>
                    <w:rPr>
                      <w:rFonts w:hint="default" w:cs="Times New Roman"/>
                      <w:caps w:val="0"/>
                      <w:color w:val="000000"/>
                      <w:szCs w:val="21"/>
                      <w:u w:val="none" w:color="auto"/>
                      <w:lang w:val="en-US" w:eastAsia="zh-CN"/>
                    </w:rPr>
                  </w:pPr>
                  <w:r>
                    <w:rPr>
                      <w:rFonts w:hint="eastAsia" w:cs="Times New Roman"/>
                      <w:caps w:val="0"/>
                      <w:color w:val="000000"/>
                      <w:szCs w:val="21"/>
                      <w:u w:val="none" w:color="auto"/>
                      <w:lang w:val="en-US" w:eastAsia="zh-CN"/>
                    </w:rPr>
                    <w:t>0.691</w:t>
                  </w:r>
                </w:p>
              </w:tc>
            </w:tr>
            <w:tr w14:paraId="2A2503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50" w:type="pct"/>
                  <w:vMerge w:val="continue"/>
                  <w:tcBorders>
                    <w:tl2br w:val="nil"/>
                    <w:tr2bl w:val="nil"/>
                  </w:tcBorders>
                  <w:vAlign w:val="center"/>
                </w:tcPr>
                <w:p w14:paraId="69339280">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92" w:type="pct"/>
                  <w:vMerge w:val="continue"/>
                  <w:tcBorders>
                    <w:tl2br w:val="nil"/>
                    <w:tr2bl w:val="nil"/>
                  </w:tcBorders>
                  <w:vAlign w:val="center"/>
                </w:tcPr>
                <w:p w14:paraId="672BF431">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659" w:type="pct"/>
                  <w:tcBorders>
                    <w:tl2br w:val="nil"/>
                    <w:tr2bl w:val="nil"/>
                  </w:tcBorders>
                  <w:vAlign w:val="center"/>
                </w:tcPr>
                <w:p w14:paraId="43C6C656">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氨氮</w:t>
                  </w:r>
                </w:p>
              </w:tc>
              <w:tc>
                <w:tcPr>
                  <w:tcW w:w="631" w:type="pct"/>
                  <w:vMerge w:val="continue"/>
                  <w:tcBorders>
                    <w:tl2br w:val="nil"/>
                    <w:tr2bl w:val="nil"/>
                  </w:tcBorders>
                  <w:vAlign w:val="center"/>
                </w:tcPr>
                <w:p w14:paraId="76E92F4C">
                  <w:pPr>
                    <w:keepNext w:val="0"/>
                    <w:keepLines w:val="0"/>
                    <w:widowControl/>
                    <w:suppressLineNumbers w:val="0"/>
                    <w:spacing w:before="0" w:beforeAutospacing="0" w:after="0" w:afterAutospacing="0"/>
                    <w:ind w:left="0" w:right="0"/>
                    <w:jc w:val="center"/>
                    <w:textAlignment w:val="center"/>
                    <w:rPr>
                      <w:rFonts w:hint="eastAsia" w:cs="Times New Roman"/>
                      <w:caps w:val="0"/>
                      <w:color w:val="000000"/>
                      <w:szCs w:val="21"/>
                      <w:u w:val="none" w:color="auto"/>
                      <w:lang w:val="en-US" w:eastAsia="zh-CN"/>
                    </w:rPr>
                  </w:pPr>
                </w:p>
              </w:tc>
              <w:tc>
                <w:tcPr>
                  <w:tcW w:w="872" w:type="pct"/>
                  <w:tcBorders>
                    <w:tl2br w:val="nil"/>
                    <w:tr2bl w:val="nil"/>
                  </w:tcBorders>
                  <w:vAlign w:val="center"/>
                </w:tcPr>
                <w:p w14:paraId="2DF990F8">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20.55</w:t>
                  </w:r>
                </w:p>
              </w:tc>
              <w:tc>
                <w:tcPr>
                  <w:tcW w:w="735" w:type="pct"/>
                  <w:tcBorders>
                    <w:tl2br w:val="nil"/>
                    <w:tr2bl w:val="nil"/>
                  </w:tcBorders>
                  <w:vAlign w:val="center"/>
                </w:tcPr>
                <w:p w14:paraId="52D42BBD">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sz w:val="21"/>
                      <w:szCs w:val="21"/>
                      <w:u w:val="none" w:color="auto"/>
                      <w:lang w:val="en-US" w:eastAsia="zh-CN"/>
                    </w:rPr>
                  </w:pPr>
                  <w:r>
                    <w:rPr>
                      <w:rFonts w:hint="eastAsia" w:cs="Times New Roman"/>
                      <w:caps w:val="0"/>
                      <w:color w:val="000000"/>
                      <w:sz w:val="21"/>
                      <w:szCs w:val="21"/>
                      <w:u w:val="none" w:color="auto"/>
                      <w:lang w:val="en-US" w:eastAsia="zh-CN"/>
                    </w:rPr>
                    <w:t>1.42</w:t>
                  </w:r>
                </w:p>
              </w:tc>
              <w:tc>
                <w:tcPr>
                  <w:tcW w:w="677" w:type="pct"/>
                  <w:tcBorders>
                    <w:tl2br w:val="nil"/>
                    <w:tr2bl w:val="nil"/>
                  </w:tcBorders>
                  <w:vAlign w:val="center"/>
                </w:tcPr>
                <w:p w14:paraId="3C1AF0E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5</w:t>
                  </w:r>
                </w:p>
              </w:tc>
              <w:tc>
                <w:tcPr>
                  <w:tcW w:w="680" w:type="pct"/>
                  <w:tcBorders>
                    <w:tl2br w:val="nil"/>
                    <w:tr2bl w:val="nil"/>
                  </w:tcBorders>
                  <w:vAlign w:val="center"/>
                </w:tcPr>
                <w:p w14:paraId="7B6AA0F6">
                  <w:pPr>
                    <w:keepNext w:val="0"/>
                    <w:keepLines w:val="0"/>
                    <w:widowControl/>
                    <w:suppressLineNumbers w:val="0"/>
                    <w:spacing w:before="0" w:beforeAutospacing="0" w:after="0" w:afterAutospacing="0"/>
                    <w:ind w:left="0" w:right="0"/>
                    <w:jc w:val="center"/>
                    <w:textAlignment w:val="center"/>
                    <w:rPr>
                      <w:rFonts w:hint="default" w:cs="Times New Roman"/>
                      <w:caps w:val="0"/>
                      <w:color w:val="000000"/>
                      <w:szCs w:val="21"/>
                      <w:u w:val="none" w:color="auto"/>
                      <w:lang w:val="en-US" w:eastAsia="zh-CN"/>
                    </w:rPr>
                  </w:pPr>
                  <w:r>
                    <w:rPr>
                      <w:rFonts w:hint="eastAsia" w:cs="Times New Roman"/>
                      <w:caps w:val="0"/>
                      <w:color w:val="000000"/>
                      <w:szCs w:val="21"/>
                      <w:u w:val="none" w:color="auto"/>
                      <w:lang w:val="en-US" w:eastAsia="zh-CN"/>
                    </w:rPr>
                    <w:t>0.346</w:t>
                  </w:r>
                </w:p>
              </w:tc>
            </w:tr>
            <w:tr w14:paraId="5AFF78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50" w:type="pct"/>
                  <w:vMerge w:val="continue"/>
                  <w:tcBorders>
                    <w:tl2br w:val="nil"/>
                    <w:tr2bl w:val="nil"/>
                  </w:tcBorders>
                  <w:vAlign w:val="center"/>
                </w:tcPr>
                <w:p w14:paraId="358A180F">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92" w:type="pct"/>
                  <w:vMerge w:val="continue"/>
                  <w:tcBorders>
                    <w:tl2br w:val="nil"/>
                    <w:tr2bl w:val="nil"/>
                  </w:tcBorders>
                  <w:vAlign w:val="center"/>
                </w:tcPr>
                <w:p w14:paraId="0C5580F2">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659" w:type="pct"/>
                  <w:tcBorders>
                    <w:tl2br w:val="nil"/>
                    <w:tr2bl w:val="nil"/>
                  </w:tcBorders>
                  <w:vAlign w:val="center"/>
                </w:tcPr>
                <w:p w14:paraId="40CBCC3D">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TN</w:t>
                  </w:r>
                </w:p>
              </w:tc>
              <w:tc>
                <w:tcPr>
                  <w:tcW w:w="631" w:type="pct"/>
                  <w:vMerge w:val="continue"/>
                  <w:tcBorders>
                    <w:tl2br w:val="nil"/>
                    <w:tr2bl w:val="nil"/>
                  </w:tcBorders>
                  <w:vAlign w:val="center"/>
                </w:tcPr>
                <w:p w14:paraId="7426A8E5">
                  <w:pPr>
                    <w:keepNext w:val="0"/>
                    <w:keepLines w:val="0"/>
                    <w:widowControl/>
                    <w:suppressLineNumbers w:val="0"/>
                    <w:spacing w:before="0" w:beforeAutospacing="0" w:after="0" w:afterAutospacing="0"/>
                    <w:ind w:left="0" w:right="0"/>
                    <w:jc w:val="center"/>
                    <w:textAlignment w:val="center"/>
                    <w:rPr>
                      <w:rFonts w:hint="eastAsia" w:cs="Times New Roman"/>
                      <w:caps w:val="0"/>
                      <w:color w:val="000000"/>
                      <w:szCs w:val="21"/>
                      <w:u w:val="none" w:color="auto"/>
                      <w:lang w:val="en-US" w:eastAsia="zh-CN"/>
                    </w:rPr>
                  </w:pPr>
                </w:p>
              </w:tc>
              <w:tc>
                <w:tcPr>
                  <w:tcW w:w="872" w:type="pct"/>
                  <w:tcBorders>
                    <w:tl2br w:val="nil"/>
                    <w:tr2bl w:val="nil"/>
                  </w:tcBorders>
                  <w:vAlign w:val="center"/>
                </w:tcPr>
                <w:p w14:paraId="781F16D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32.93</w:t>
                  </w:r>
                </w:p>
              </w:tc>
              <w:tc>
                <w:tcPr>
                  <w:tcW w:w="735" w:type="pct"/>
                  <w:tcBorders>
                    <w:tl2br w:val="nil"/>
                    <w:tr2bl w:val="nil"/>
                  </w:tcBorders>
                  <w:vAlign w:val="center"/>
                </w:tcPr>
                <w:p w14:paraId="465D22C2">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sz w:val="21"/>
                      <w:szCs w:val="21"/>
                      <w:u w:val="none" w:color="auto"/>
                      <w:lang w:val="en-US" w:eastAsia="zh-CN"/>
                    </w:rPr>
                  </w:pPr>
                  <w:r>
                    <w:rPr>
                      <w:rFonts w:hint="eastAsia" w:cs="Times New Roman"/>
                      <w:caps w:val="0"/>
                      <w:color w:val="000000"/>
                      <w:sz w:val="21"/>
                      <w:szCs w:val="21"/>
                      <w:u w:val="none" w:color="auto"/>
                      <w:lang w:val="en-US" w:eastAsia="zh-CN"/>
                    </w:rPr>
                    <w:t>2.276</w:t>
                  </w:r>
                </w:p>
              </w:tc>
              <w:tc>
                <w:tcPr>
                  <w:tcW w:w="677" w:type="pct"/>
                  <w:tcBorders>
                    <w:tl2br w:val="nil"/>
                    <w:tr2bl w:val="nil"/>
                  </w:tcBorders>
                  <w:vAlign w:val="center"/>
                </w:tcPr>
                <w:p w14:paraId="26215E55">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15</w:t>
                  </w:r>
                </w:p>
              </w:tc>
              <w:tc>
                <w:tcPr>
                  <w:tcW w:w="680" w:type="pct"/>
                  <w:tcBorders>
                    <w:tl2br w:val="nil"/>
                    <w:tr2bl w:val="nil"/>
                  </w:tcBorders>
                  <w:vAlign w:val="center"/>
                </w:tcPr>
                <w:p w14:paraId="1AD7BF94">
                  <w:pPr>
                    <w:keepNext w:val="0"/>
                    <w:keepLines w:val="0"/>
                    <w:widowControl/>
                    <w:suppressLineNumbers w:val="0"/>
                    <w:spacing w:before="0" w:beforeAutospacing="0" w:after="0" w:afterAutospacing="0"/>
                    <w:ind w:left="0" w:right="0"/>
                    <w:jc w:val="center"/>
                    <w:textAlignment w:val="center"/>
                    <w:rPr>
                      <w:rFonts w:hint="default" w:cs="Times New Roman"/>
                      <w:caps w:val="0"/>
                      <w:color w:val="000000"/>
                      <w:szCs w:val="21"/>
                      <w:u w:val="none" w:color="auto"/>
                      <w:lang w:val="en-US" w:eastAsia="zh-CN"/>
                    </w:rPr>
                  </w:pPr>
                  <w:r>
                    <w:rPr>
                      <w:rFonts w:hint="eastAsia" w:cs="Times New Roman"/>
                      <w:caps w:val="0"/>
                      <w:color w:val="000000"/>
                      <w:szCs w:val="21"/>
                      <w:u w:val="none" w:color="auto"/>
                      <w:lang w:val="en-US" w:eastAsia="zh-CN"/>
                    </w:rPr>
                    <w:t>1.037</w:t>
                  </w:r>
                </w:p>
              </w:tc>
            </w:tr>
            <w:tr w14:paraId="5BE151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250" w:type="pct"/>
                  <w:vMerge w:val="continue"/>
                  <w:tcBorders>
                    <w:tl2br w:val="nil"/>
                    <w:tr2bl w:val="nil"/>
                  </w:tcBorders>
                  <w:vAlign w:val="center"/>
                </w:tcPr>
                <w:p w14:paraId="783571E2">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492" w:type="pct"/>
                  <w:vMerge w:val="continue"/>
                  <w:tcBorders>
                    <w:tl2br w:val="nil"/>
                    <w:tr2bl w:val="nil"/>
                  </w:tcBorders>
                  <w:vAlign w:val="center"/>
                </w:tcPr>
                <w:p w14:paraId="3239BA93">
                  <w:pPr>
                    <w:keepNext w:val="0"/>
                    <w:keepLines w:val="0"/>
                    <w:widowControl/>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p>
              </w:tc>
              <w:tc>
                <w:tcPr>
                  <w:tcW w:w="659" w:type="pct"/>
                  <w:tcBorders>
                    <w:tl2br w:val="nil"/>
                    <w:tr2bl w:val="nil"/>
                  </w:tcBorders>
                  <w:vAlign w:val="center"/>
                </w:tcPr>
                <w:p w14:paraId="1FAEA02A">
                  <w:pPr>
                    <w:keepNext w:val="0"/>
                    <w:keepLines w:val="0"/>
                    <w:suppressLineNumbers w:val="0"/>
                    <w:spacing w:before="0" w:beforeAutospacing="0" w:after="0" w:afterAutospacing="0"/>
                    <w:ind w:left="0" w:right="0"/>
                    <w:jc w:val="center"/>
                    <w:rPr>
                      <w:rFonts w:hint="default" w:ascii="Times New Roman" w:hAnsi="Times New Roman" w:cs="Times New Roman"/>
                      <w:caps w:val="0"/>
                      <w:color w:val="000000"/>
                      <w:szCs w:val="21"/>
                      <w:u w:val="none" w:color="auto"/>
                    </w:rPr>
                  </w:pPr>
                  <w:r>
                    <w:rPr>
                      <w:rFonts w:hint="default" w:ascii="Times New Roman" w:hAnsi="Times New Roman" w:cs="Times New Roman"/>
                      <w:caps w:val="0"/>
                      <w:color w:val="000000"/>
                      <w:szCs w:val="21"/>
                      <w:u w:val="none" w:color="auto"/>
                    </w:rPr>
                    <w:t>动植物油</w:t>
                  </w:r>
                </w:p>
              </w:tc>
              <w:tc>
                <w:tcPr>
                  <w:tcW w:w="631" w:type="pct"/>
                  <w:vMerge w:val="continue"/>
                  <w:tcBorders>
                    <w:tl2br w:val="nil"/>
                    <w:tr2bl w:val="nil"/>
                  </w:tcBorders>
                  <w:vAlign w:val="center"/>
                </w:tcPr>
                <w:p w14:paraId="4F137C9B">
                  <w:pPr>
                    <w:keepNext w:val="0"/>
                    <w:keepLines w:val="0"/>
                    <w:widowControl/>
                    <w:suppressLineNumbers w:val="0"/>
                    <w:spacing w:before="0" w:beforeAutospacing="0" w:after="0" w:afterAutospacing="0"/>
                    <w:ind w:left="0" w:right="0"/>
                    <w:jc w:val="center"/>
                    <w:textAlignment w:val="center"/>
                    <w:rPr>
                      <w:rFonts w:hint="eastAsia" w:cs="Times New Roman"/>
                      <w:caps w:val="0"/>
                      <w:color w:val="000000"/>
                      <w:szCs w:val="21"/>
                      <w:u w:val="none" w:color="auto"/>
                      <w:lang w:val="en-US" w:eastAsia="zh-CN"/>
                    </w:rPr>
                  </w:pPr>
                </w:p>
              </w:tc>
              <w:tc>
                <w:tcPr>
                  <w:tcW w:w="872" w:type="pct"/>
                  <w:tcBorders>
                    <w:tl2br w:val="nil"/>
                    <w:tr2bl w:val="nil"/>
                  </w:tcBorders>
                  <w:vAlign w:val="center"/>
                </w:tcPr>
                <w:p w14:paraId="2B5627F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49.50</w:t>
                  </w:r>
                </w:p>
              </w:tc>
              <w:tc>
                <w:tcPr>
                  <w:tcW w:w="735" w:type="pct"/>
                  <w:tcBorders>
                    <w:tl2br w:val="nil"/>
                    <w:tr2bl w:val="nil"/>
                  </w:tcBorders>
                  <w:vAlign w:val="center"/>
                </w:tcPr>
                <w:p w14:paraId="2463540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caps w:val="0"/>
                      <w:color w:val="000000"/>
                      <w:sz w:val="21"/>
                      <w:szCs w:val="21"/>
                      <w:u w:val="none" w:color="auto"/>
                      <w:lang w:val="en-US" w:eastAsia="zh-CN"/>
                    </w:rPr>
                  </w:pPr>
                  <w:r>
                    <w:rPr>
                      <w:rFonts w:hint="eastAsia" w:cs="Times New Roman"/>
                      <w:caps w:val="0"/>
                      <w:color w:val="000000"/>
                      <w:sz w:val="21"/>
                      <w:szCs w:val="21"/>
                      <w:u w:val="none" w:color="auto"/>
                      <w:lang w:val="en-US" w:eastAsia="zh-CN"/>
                    </w:rPr>
                    <w:t>3.421</w:t>
                  </w:r>
                </w:p>
              </w:tc>
              <w:tc>
                <w:tcPr>
                  <w:tcW w:w="677" w:type="pct"/>
                  <w:tcBorders>
                    <w:tl2br w:val="nil"/>
                    <w:tr2bl w:val="nil"/>
                  </w:tcBorders>
                  <w:vAlign w:val="center"/>
                </w:tcPr>
                <w:p w14:paraId="1A287EC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aps w:val="0"/>
                      <w:color w:val="000000"/>
                      <w:szCs w:val="21"/>
                      <w:u w:val="none" w:color="auto"/>
                      <w:lang w:val="en-US" w:eastAsia="zh-CN"/>
                    </w:rPr>
                  </w:pPr>
                  <w:r>
                    <w:rPr>
                      <w:rFonts w:hint="eastAsia" w:cs="Times New Roman"/>
                      <w:caps w:val="0"/>
                      <w:color w:val="000000"/>
                      <w:szCs w:val="21"/>
                      <w:u w:val="none" w:color="auto"/>
                      <w:lang w:val="en-US" w:eastAsia="zh-CN"/>
                    </w:rPr>
                    <w:t>1</w:t>
                  </w:r>
                </w:p>
              </w:tc>
              <w:tc>
                <w:tcPr>
                  <w:tcW w:w="680" w:type="pct"/>
                  <w:tcBorders>
                    <w:tl2br w:val="nil"/>
                    <w:tr2bl w:val="nil"/>
                  </w:tcBorders>
                  <w:vAlign w:val="center"/>
                </w:tcPr>
                <w:p w14:paraId="1E759842">
                  <w:pPr>
                    <w:keepNext w:val="0"/>
                    <w:keepLines w:val="0"/>
                    <w:widowControl/>
                    <w:suppressLineNumbers w:val="0"/>
                    <w:spacing w:before="0" w:beforeAutospacing="0" w:after="0" w:afterAutospacing="0"/>
                    <w:ind w:left="0" w:right="0"/>
                    <w:jc w:val="center"/>
                    <w:textAlignment w:val="center"/>
                    <w:rPr>
                      <w:rFonts w:hint="default" w:cs="Times New Roman"/>
                      <w:caps w:val="0"/>
                      <w:color w:val="000000"/>
                      <w:szCs w:val="21"/>
                      <w:u w:val="none" w:color="auto"/>
                      <w:lang w:val="en-US" w:eastAsia="zh-CN"/>
                    </w:rPr>
                  </w:pPr>
                  <w:r>
                    <w:rPr>
                      <w:rFonts w:hint="eastAsia" w:cs="Times New Roman"/>
                      <w:caps w:val="0"/>
                      <w:color w:val="000000"/>
                      <w:szCs w:val="21"/>
                      <w:u w:val="none" w:color="auto"/>
                      <w:lang w:val="en-US" w:eastAsia="zh-CN"/>
                    </w:rPr>
                    <w:t>0.069</w:t>
                  </w:r>
                </w:p>
              </w:tc>
            </w:tr>
          </w:tbl>
          <w:p w14:paraId="2B008A89">
            <w:pPr>
              <w:pStyle w:val="11"/>
              <w:keepNext w:val="0"/>
              <w:keepLines w:val="0"/>
              <w:pageBreakBefore w:val="0"/>
              <w:widowControl/>
              <w:numPr>
                <w:ilvl w:val="0"/>
                <w:numId w:val="21"/>
              </w:numPr>
              <w:suppressLineNumbers w:val="0"/>
              <w:kinsoku/>
              <w:wordWrap/>
              <w:overflowPunct/>
              <w:topLinePunct w:val="0"/>
              <w:autoSpaceDE/>
              <w:autoSpaceDN/>
              <w:bidi w:val="0"/>
              <w:adjustRightInd/>
              <w:snapToGrid/>
              <w:spacing w:before="157" w:beforeLines="50" w:beforeAutospacing="0" w:after="0" w:afterAutospacing="0"/>
              <w:ind w:left="0" w:leftChars="0" w:firstLine="480" w:firstLineChars="200"/>
              <w:textAlignment w:val="auto"/>
              <w:rPr>
                <w:rFonts w:hint="default" w:ascii="Times New Roman" w:hAnsi="Times New Roman" w:eastAsia="宋体" w:cs="Times New Roman"/>
                <w:caps w:val="0"/>
                <w:color w:val="000000"/>
                <w:kern w:val="2"/>
                <w:sz w:val="24"/>
                <w:szCs w:val="24"/>
                <w:u w:val="none" w:color="auto"/>
                <w:lang w:val="en-US" w:eastAsia="zh-CN" w:bidi="ar-SA"/>
              </w:rPr>
            </w:pPr>
            <w:r>
              <w:rPr>
                <w:rFonts w:hint="eastAsia" w:ascii="Times New Roman" w:hAnsi="Times New Roman" w:cs="Times New Roman"/>
                <w:caps w:val="0"/>
                <w:color w:val="000000"/>
                <w:kern w:val="2"/>
                <w:sz w:val="24"/>
                <w:szCs w:val="24"/>
                <w:u w:val="none" w:color="auto"/>
                <w:lang w:val="en-US" w:eastAsia="zh-CN" w:bidi="ar-SA"/>
              </w:rPr>
              <w:t>监测计划</w:t>
            </w:r>
          </w:p>
          <w:p w14:paraId="40352729">
            <w:pPr>
              <w:keepNext w:val="0"/>
              <w:keepLines w:val="0"/>
              <w:suppressLineNumbers w:val="0"/>
              <w:spacing w:before="0" w:beforeAutospacing="0" w:after="0" w:afterAutospacing="0" w:line="360" w:lineRule="auto"/>
              <w:ind w:left="0" w:right="0" w:firstLine="482"/>
              <w:rPr>
                <w:rFonts w:hint="default" w:ascii="Times New Roman" w:hAnsi="Times New Roman" w:cs="Times New Roman"/>
                <w:caps w:val="0"/>
                <w:color w:val="000000"/>
                <w:sz w:val="24"/>
                <w:szCs w:val="21"/>
                <w:u w:val="none" w:color="auto"/>
              </w:rPr>
            </w:pPr>
            <w:r>
              <w:rPr>
                <w:rFonts w:hint="eastAsia" w:ascii="Times New Roman" w:hAnsi="Times New Roman" w:cs="Times New Roman"/>
                <w:caps w:val="0"/>
                <w:color w:val="000000"/>
                <w:sz w:val="24"/>
                <w:szCs w:val="21"/>
                <w:u w:val="none" w:color="auto"/>
              </w:rPr>
              <w:t>本项目外排的废水有生产废水和生活废水，因此需要定期对外排废水进行监测，根据《排污单位自行监测技术指南 总则》(HJ819-2017)、</w:t>
            </w:r>
            <w:r>
              <w:rPr>
                <w:rFonts w:hint="eastAsia" w:ascii="Times New Roman" w:hAnsi="Times New Roman" w:cs="Times New Roman"/>
                <w:caps w:val="0"/>
                <w:color w:val="000000"/>
                <w:sz w:val="24"/>
                <w:szCs w:val="21"/>
                <w:u w:val="none" w:color="auto"/>
                <w:lang w:eastAsia="zh-CN"/>
              </w:rPr>
              <w:t xml:space="preserve">《排污单位自行监测技术指南 </w:t>
            </w:r>
            <w:r>
              <w:rPr>
                <w:rFonts w:hint="eastAsia" w:ascii="Times New Roman" w:hAnsi="Times New Roman" w:cs="Times New Roman"/>
                <w:caps w:val="0"/>
                <w:color w:val="000000"/>
                <w:sz w:val="24"/>
                <w:szCs w:val="21"/>
                <w:u w:val="none" w:color="auto"/>
                <w:lang w:val="en-US" w:eastAsia="zh-CN"/>
              </w:rPr>
              <w:t>农副食品加工业</w:t>
            </w:r>
            <w:r>
              <w:rPr>
                <w:rFonts w:hint="eastAsia" w:ascii="Times New Roman" w:hAnsi="Times New Roman" w:cs="Times New Roman"/>
                <w:caps w:val="0"/>
                <w:color w:val="000000"/>
                <w:sz w:val="24"/>
                <w:szCs w:val="21"/>
                <w:u w:val="none" w:color="auto"/>
                <w:lang w:eastAsia="zh-CN"/>
              </w:rPr>
              <w:t xml:space="preserve">》（HJ </w:t>
            </w:r>
            <w:r>
              <w:rPr>
                <w:rFonts w:hint="eastAsia" w:ascii="Times New Roman" w:hAnsi="Times New Roman" w:cs="Times New Roman"/>
                <w:caps w:val="0"/>
                <w:color w:val="000000"/>
                <w:sz w:val="24"/>
                <w:szCs w:val="21"/>
                <w:u w:val="none" w:color="auto"/>
                <w:lang w:val="en-US" w:eastAsia="zh-CN"/>
              </w:rPr>
              <w:t>986-2018</w:t>
            </w:r>
            <w:r>
              <w:rPr>
                <w:rFonts w:hint="eastAsia" w:ascii="Times New Roman" w:hAnsi="Times New Roman" w:cs="Times New Roman"/>
                <w:caps w:val="0"/>
                <w:color w:val="000000"/>
                <w:sz w:val="24"/>
                <w:szCs w:val="21"/>
                <w:u w:val="none" w:color="auto"/>
                <w:lang w:eastAsia="zh-CN"/>
              </w:rPr>
              <w:t>）</w:t>
            </w:r>
            <w:r>
              <w:rPr>
                <w:rFonts w:hint="eastAsia" w:cs="Times New Roman"/>
                <w:caps w:val="0"/>
                <w:color w:val="000000"/>
                <w:sz w:val="24"/>
                <w:szCs w:val="21"/>
                <w:u w:val="none" w:color="auto"/>
                <w:lang w:eastAsia="zh-CN"/>
              </w:rPr>
              <w:t>、《排污单位自行监测技术指南</w:t>
            </w:r>
            <w:r>
              <w:rPr>
                <w:rFonts w:hint="eastAsia" w:cs="Times New Roman"/>
                <w:caps w:val="0"/>
                <w:color w:val="000000"/>
                <w:sz w:val="24"/>
                <w:szCs w:val="21"/>
                <w:u w:val="none" w:color="auto"/>
                <w:lang w:val="en-US" w:eastAsia="zh-CN"/>
              </w:rPr>
              <w:t xml:space="preserve"> 火力发电及锅炉</w:t>
            </w:r>
            <w:r>
              <w:rPr>
                <w:rFonts w:hint="eastAsia" w:cs="Times New Roman"/>
                <w:caps w:val="0"/>
                <w:color w:val="000000"/>
                <w:sz w:val="24"/>
                <w:szCs w:val="21"/>
                <w:u w:val="none" w:color="auto"/>
                <w:lang w:eastAsia="zh-CN"/>
              </w:rPr>
              <w:t>》（</w:t>
            </w:r>
            <w:r>
              <w:rPr>
                <w:rFonts w:hint="eastAsia" w:cs="Times New Roman"/>
                <w:caps w:val="0"/>
                <w:color w:val="000000"/>
                <w:sz w:val="24"/>
                <w:szCs w:val="21"/>
                <w:u w:val="none" w:color="auto"/>
                <w:lang w:val="en-US" w:eastAsia="zh-CN"/>
              </w:rPr>
              <w:t>HJ820-2017</w:t>
            </w:r>
            <w:r>
              <w:rPr>
                <w:rFonts w:hint="eastAsia" w:cs="Times New Roman"/>
                <w:caps w:val="0"/>
                <w:color w:val="000000"/>
                <w:sz w:val="24"/>
                <w:szCs w:val="21"/>
                <w:u w:val="none" w:color="auto"/>
                <w:lang w:eastAsia="zh-CN"/>
              </w:rPr>
              <w:t>）</w:t>
            </w:r>
            <w:r>
              <w:rPr>
                <w:rFonts w:hint="eastAsia" w:ascii="Times New Roman" w:hAnsi="Times New Roman" w:cs="Times New Roman"/>
                <w:caps w:val="0"/>
                <w:color w:val="000000"/>
                <w:sz w:val="24"/>
                <w:szCs w:val="21"/>
                <w:u w:val="none" w:color="auto"/>
              </w:rPr>
              <w:t>等规范的要求，本项目废</w:t>
            </w:r>
            <w:r>
              <w:rPr>
                <w:rFonts w:hint="eastAsia" w:cs="Times New Roman"/>
                <w:caps w:val="0"/>
                <w:color w:val="000000"/>
                <w:sz w:val="24"/>
                <w:szCs w:val="21"/>
                <w:u w:val="none" w:color="auto"/>
                <w:lang w:val="en-US" w:eastAsia="zh-CN"/>
              </w:rPr>
              <w:t>水</w:t>
            </w:r>
            <w:r>
              <w:rPr>
                <w:rFonts w:hint="eastAsia" w:ascii="Times New Roman" w:hAnsi="Times New Roman" w:cs="Times New Roman"/>
                <w:caps w:val="0"/>
                <w:color w:val="000000"/>
                <w:sz w:val="24"/>
                <w:szCs w:val="21"/>
                <w:u w:val="none" w:color="auto"/>
              </w:rPr>
              <w:t>自行监测计划可参照下表执行：</w:t>
            </w:r>
          </w:p>
          <w:p w14:paraId="10AA9AE2">
            <w:pPr>
              <w:pStyle w:val="33"/>
              <w:keepNext w:val="0"/>
              <w:keepLines w:val="0"/>
              <w:numPr>
                <w:ilvl w:val="0"/>
                <w:numId w:val="19"/>
              </w:numPr>
              <w:suppressLineNumbers w:val="0"/>
              <w:spacing w:before="0" w:beforeAutospacing="0" w:after="0" w:afterAutospacing="0"/>
              <w:ind w:right="0" w:firstLineChars="0"/>
              <w:jc w:val="center"/>
              <w:rPr>
                <w:rFonts w:hint="default" w:ascii="Times New Roman" w:hAnsi="Times New Roman" w:eastAsia="宋体" w:cs="Times New Roman"/>
                <w:b/>
                <w:caps w:val="0"/>
                <w:color w:val="000000"/>
                <w:kern w:val="2"/>
                <w:sz w:val="24"/>
                <w:szCs w:val="24"/>
                <w:u w:val="none" w:color="auto"/>
                <w:lang w:val="en-US" w:eastAsia="zh-CN" w:bidi="ar-SA"/>
              </w:rPr>
            </w:pPr>
            <w:r>
              <w:rPr>
                <w:rFonts w:hint="eastAsia" w:cs="Times New Roman"/>
                <w:b/>
                <w:caps w:val="0"/>
                <w:color w:val="000000"/>
                <w:kern w:val="2"/>
                <w:sz w:val="24"/>
                <w:szCs w:val="24"/>
                <w:u w:val="none" w:color="auto"/>
                <w:lang w:val="en-US" w:eastAsia="zh-CN" w:bidi="ar-SA"/>
              </w:rPr>
              <w:t>本项目废水自行</w:t>
            </w:r>
            <w:r>
              <w:rPr>
                <w:rFonts w:hint="default" w:ascii="Times New Roman" w:hAnsi="Times New Roman" w:eastAsia="宋体" w:cs="Times New Roman"/>
                <w:b/>
                <w:caps w:val="0"/>
                <w:color w:val="000000"/>
                <w:kern w:val="2"/>
                <w:sz w:val="24"/>
                <w:szCs w:val="24"/>
                <w:u w:val="none" w:color="auto"/>
                <w:lang w:val="en-US" w:eastAsia="zh-CN" w:bidi="ar-SA"/>
              </w:rPr>
              <w:t>监测计划</w:t>
            </w:r>
            <w:r>
              <w:rPr>
                <w:rFonts w:hint="eastAsia" w:cs="Times New Roman"/>
                <w:b/>
                <w:caps w:val="0"/>
                <w:color w:val="000000"/>
                <w:kern w:val="2"/>
                <w:sz w:val="24"/>
                <w:szCs w:val="24"/>
                <w:u w:val="none" w:color="auto"/>
                <w:lang w:val="en-US" w:eastAsia="zh-CN" w:bidi="ar-SA"/>
              </w:rPr>
              <w:t>一览表</w:t>
            </w:r>
          </w:p>
          <w:tbl>
            <w:tblPr>
              <w:tblStyle w:val="24"/>
              <w:tblW w:w="4998" w:type="pct"/>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2"/>
              <w:gridCol w:w="1635"/>
              <w:gridCol w:w="2992"/>
              <w:gridCol w:w="1092"/>
              <w:gridCol w:w="1567"/>
            </w:tblGrid>
            <w:tr w14:paraId="530723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662" w:type="pct"/>
                  <w:vAlign w:val="center"/>
                </w:tcPr>
                <w:p w14:paraId="3B4AF811">
                  <w:pPr>
                    <w:keepNext w:val="0"/>
                    <w:keepLines w:val="0"/>
                    <w:pageBreakBefore w:val="0"/>
                    <w:widowControl w:val="0"/>
                    <w:suppressLineNumbers w:val="0"/>
                    <w:tabs>
                      <w:tab w:val="left" w:pos="8820"/>
                      <w:tab w:val="left" w:pos="9000"/>
                    </w:tabs>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监测类别</w:t>
                  </w:r>
                </w:p>
              </w:tc>
              <w:tc>
                <w:tcPr>
                  <w:tcW w:w="973" w:type="pct"/>
                  <w:vAlign w:val="center"/>
                </w:tcPr>
                <w:p w14:paraId="644898F4">
                  <w:pPr>
                    <w:keepNext w:val="0"/>
                    <w:keepLines w:val="0"/>
                    <w:pageBreakBefore w:val="0"/>
                    <w:widowControl w:val="0"/>
                    <w:suppressLineNumbers w:val="0"/>
                    <w:tabs>
                      <w:tab w:val="left" w:pos="8820"/>
                      <w:tab w:val="left" w:pos="9000"/>
                    </w:tabs>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监测位置</w:t>
                  </w:r>
                </w:p>
              </w:tc>
              <w:tc>
                <w:tcPr>
                  <w:tcW w:w="1781" w:type="pct"/>
                  <w:vAlign w:val="center"/>
                </w:tcPr>
                <w:p w14:paraId="2491631F">
                  <w:pPr>
                    <w:keepNext w:val="0"/>
                    <w:keepLines w:val="0"/>
                    <w:pageBreakBefore w:val="0"/>
                    <w:widowControl w:val="0"/>
                    <w:suppressLineNumbers w:val="0"/>
                    <w:tabs>
                      <w:tab w:val="left" w:pos="8820"/>
                      <w:tab w:val="left" w:pos="9000"/>
                    </w:tabs>
                    <w:kinsoku/>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baseline"/>
                    <w:rPr>
                      <w:rFonts w:hint="default" w:ascii="Calibri" w:hAnsi="Calibri" w:eastAsia="宋体" w:cs="Times New Roman"/>
                      <w:b/>
                      <w:bCs/>
                      <w:caps w:val="0"/>
                      <w:color w:val="000000"/>
                      <w:kern w:val="2"/>
                      <w:sz w:val="21"/>
                      <w:szCs w:val="21"/>
                      <w:u w:val="none" w:color="auto"/>
                      <w:lang w:val="en-US" w:eastAsia="zh-CN" w:bidi="ar-SA"/>
                    </w:rPr>
                  </w:pPr>
                  <w:r>
                    <w:rPr>
                      <w:rFonts w:hint="default" w:ascii="Calibri" w:hAnsi="Calibri" w:eastAsia="宋体" w:cs="Times New Roman"/>
                      <w:b/>
                      <w:bCs/>
                      <w:caps w:val="0"/>
                      <w:color w:val="000000"/>
                      <w:kern w:val="2"/>
                      <w:sz w:val="21"/>
                      <w:szCs w:val="21"/>
                      <w:u w:val="none" w:color="auto"/>
                      <w:lang w:val="en-US" w:eastAsia="zh-CN" w:bidi="ar-SA"/>
                    </w:rPr>
                    <w:t>监测项目</w:t>
                  </w:r>
                </w:p>
              </w:tc>
              <w:tc>
                <w:tcPr>
                  <w:tcW w:w="650" w:type="pct"/>
                  <w:vAlign w:val="center"/>
                </w:tcPr>
                <w:p w14:paraId="19905136">
                  <w:pPr>
                    <w:keepNext w:val="0"/>
                    <w:keepLines w:val="0"/>
                    <w:pageBreakBefore w:val="0"/>
                    <w:widowControl w:val="0"/>
                    <w:suppressLineNumbers w:val="0"/>
                    <w:tabs>
                      <w:tab w:val="left" w:pos="8820"/>
                      <w:tab w:val="left" w:pos="9000"/>
                    </w:tabs>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监测频率</w:t>
                  </w:r>
                </w:p>
              </w:tc>
              <w:tc>
                <w:tcPr>
                  <w:tcW w:w="932" w:type="pct"/>
                  <w:vAlign w:val="center"/>
                </w:tcPr>
                <w:p w14:paraId="714C6DD1">
                  <w:pPr>
                    <w:keepNext w:val="0"/>
                    <w:keepLines w:val="0"/>
                    <w:pageBreakBefore w:val="0"/>
                    <w:widowControl w:val="0"/>
                    <w:suppressLineNumbers w:val="0"/>
                    <w:tabs>
                      <w:tab w:val="left" w:pos="8820"/>
                      <w:tab w:val="left" w:pos="9000"/>
                    </w:tabs>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b/>
                      <w:bCs/>
                      <w:caps w:val="0"/>
                      <w:color w:val="000000"/>
                      <w:szCs w:val="21"/>
                      <w:u w:val="none" w:color="auto"/>
                    </w:rPr>
                  </w:pPr>
                  <w:r>
                    <w:rPr>
                      <w:rFonts w:hint="default" w:ascii="Times New Roman" w:hAnsi="Times New Roman" w:cs="Times New Roman"/>
                      <w:b/>
                      <w:bCs/>
                      <w:caps w:val="0"/>
                      <w:color w:val="000000"/>
                      <w:szCs w:val="21"/>
                      <w:u w:val="none" w:color="auto"/>
                    </w:rPr>
                    <w:t>备注</w:t>
                  </w:r>
                </w:p>
              </w:tc>
            </w:tr>
            <w:tr w14:paraId="390A71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trPr>
              <w:tc>
                <w:tcPr>
                  <w:tcW w:w="662" w:type="pct"/>
                  <w:vAlign w:val="center"/>
                </w:tcPr>
                <w:p w14:paraId="0A733B35">
                  <w:pPr>
                    <w:keepNext w:val="0"/>
                    <w:keepLines w:val="0"/>
                    <w:pageBreakBefore w:val="0"/>
                    <w:widowControl w:val="0"/>
                    <w:suppressLineNumbers w:val="0"/>
                    <w:kinsoku/>
                    <w:wordWrap/>
                    <w:topLinePunct w:val="0"/>
                    <w:bidi w:val="0"/>
                    <w:spacing w:before="0" w:beforeAutospacing="0" w:after="0" w:afterAutospacing="0" w:line="240" w:lineRule="auto"/>
                    <w:ind w:left="0" w:right="0"/>
                    <w:jc w:val="center"/>
                    <w:rPr>
                      <w:rFonts w:hint="default" w:ascii="Times New Roman" w:hAnsi="Times New Roman" w:cs="Times New Roman"/>
                      <w:bCs/>
                      <w:caps w:val="0"/>
                      <w:color w:val="000000"/>
                      <w:szCs w:val="21"/>
                      <w:u w:val="none" w:color="auto"/>
                    </w:rPr>
                  </w:pPr>
                  <w:r>
                    <w:rPr>
                      <w:rFonts w:hint="default" w:ascii="Times New Roman" w:hAnsi="Times New Roman" w:cs="Times New Roman"/>
                      <w:bCs/>
                      <w:caps w:val="0"/>
                      <w:color w:val="000000"/>
                      <w:szCs w:val="21"/>
                      <w:u w:val="none" w:color="auto"/>
                    </w:rPr>
                    <w:t>废水</w:t>
                  </w:r>
                </w:p>
              </w:tc>
              <w:tc>
                <w:tcPr>
                  <w:tcW w:w="973" w:type="pct"/>
                  <w:vAlign w:val="center"/>
                </w:tcPr>
                <w:p w14:paraId="11AD18C9">
                  <w:pPr>
                    <w:keepNext w:val="0"/>
                    <w:keepLines w:val="0"/>
                    <w:pageBreakBefore w:val="0"/>
                    <w:widowControl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eastAsia="宋体" w:cs="Times New Roman"/>
                      <w:caps w:val="0"/>
                      <w:color w:val="000000"/>
                      <w:szCs w:val="21"/>
                      <w:u w:val="none" w:color="auto"/>
                      <w:lang w:val="en-US" w:eastAsia="zh-CN"/>
                    </w:rPr>
                  </w:pPr>
                  <w:r>
                    <w:rPr>
                      <w:rFonts w:hint="eastAsia" w:ascii="Times New Roman" w:hAnsi="Times New Roman" w:cs="Times New Roman"/>
                      <w:caps w:val="0"/>
                      <w:color w:val="000000"/>
                      <w:szCs w:val="21"/>
                      <w:u w:val="none" w:color="auto"/>
                      <w:lang w:val="en-US" w:eastAsia="zh-CN"/>
                    </w:rPr>
                    <w:t>DW001</w:t>
                  </w:r>
                </w:p>
              </w:tc>
              <w:tc>
                <w:tcPr>
                  <w:tcW w:w="1781" w:type="pct"/>
                  <w:vAlign w:val="center"/>
                </w:tcPr>
                <w:p w14:paraId="23E0251A">
                  <w:pPr>
                    <w:keepNext w:val="0"/>
                    <w:keepLines w:val="0"/>
                    <w:pageBreakBefore w:val="0"/>
                    <w:widowControl w:val="0"/>
                    <w:suppressLineNumbers w:val="0"/>
                    <w:kinsoku/>
                    <w:wordWrap/>
                    <w:topLinePunct w:val="0"/>
                    <w:bidi w:val="0"/>
                    <w:adjustRightInd w:val="0"/>
                    <w:snapToGrid w:val="0"/>
                    <w:spacing w:before="0" w:beforeAutospacing="0" w:after="0" w:afterAutospacing="0" w:line="240" w:lineRule="auto"/>
                    <w:ind w:left="0" w:right="0"/>
                    <w:jc w:val="center"/>
                    <w:rPr>
                      <w:rFonts w:hint="default" w:ascii="Times New Roman" w:hAnsi="Times New Roman" w:cs="Times New Roman"/>
                      <w:caps w:val="0"/>
                      <w:color w:val="000000"/>
                      <w:szCs w:val="21"/>
                      <w:u w:val="none" w:color="auto"/>
                    </w:rPr>
                  </w:pPr>
                  <w:r>
                    <w:rPr>
                      <w:rFonts w:hint="eastAsia" w:cs="Times New Roman"/>
                      <w:caps w:val="0"/>
                      <w:color w:val="000000"/>
                      <w:szCs w:val="21"/>
                      <w:u w:val="none" w:color="auto"/>
                      <w:lang w:val="en-US" w:eastAsia="zh-CN"/>
                    </w:rPr>
                    <w:t>流量、</w:t>
                  </w:r>
                  <w:r>
                    <w:rPr>
                      <w:rFonts w:hint="default" w:ascii="Times New Roman" w:hAnsi="Times New Roman" w:cs="Times New Roman"/>
                      <w:caps w:val="0"/>
                      <w:color w:val="000000"/>
                      <w:szCs w:val="21"/>
                      <w:u w:val="none" w:color="auto"/>
                    </w:rPr>
                    <w:t>pH、COD</w:t>
                  </w:r>
                  <w:r>
                    <w:rPr>
                      <w:rFonts w:hint="default" w:ascii="Times New Roman" w:hAnsi="Times New Roman" w:cs="Times New Roman"/>
                      <w:caps w:val="0"/>
                      <w:color w:val="000000"/>
                      <w:szCs w:val="21"/>
                      <w:u w:val="none" w:color="auto"/>
                      <w:vertAlign w:val="subscript"/>
                    </w:rPr>
                    <w:t>Cr</w:t>
                  </w:r>
                  <w:r>
                    <w:rPr>
                      <w:rFonts w:hint="default" w:ascii="Times New Roman" w:hAnsi="Times New Roman" w:cs="Times New Roman"/>
                      <w:caps w:val="0"/>
                      <w:color w:val="000000"/>
                      <w:szCs w:val="21"/>
                      <w:u w:val="none" w:color="auto"/>
                    </w:rPr>
                    <w:t>、BOD</w:t>
                  </w:r>
                  <w:r>
                    <w:rPr>
                      <w:rFonts w:hint="default" w:ascii="Times New Roman" w:hAnsi="Times New Roman" w:cs="Times New Roman"/>
                      <w:caps w:val="0"/>
                      <w:color w:val="000000"/>
                      <w:szCs w:val="21"/>
                      <w:u w:val="none" w:color="auto"/>
                      <w:vertAlign w:val="subscript"/>
                    </w:rPr>
                    <w:t>5</w:t>
                  </w:r>
                  <w:r>
                    <w:rPr>
                      <w:rFonts w:hint="default" w:ascii="Times New Roman" w:hAnsi="Times New Roman" w:cs="Times New Roman"/>
                      <w:caps w:val="0"/>
                      <w:color w:val="000000"/>
                      <w:szCs w:val="21"/>
                      <w:u w:val="none" w:color="auto"/>
                    </w:rPr>
                    <w:t>、氨氮</w:t>
                  </w:r>
                  <w:r>
                    <w:rPr>
                      <w:rFonts w:hint="eastAsia" w:ascii="Times New Roman" w:hAnsi="Times New Roman" w:cs="Times New Roman"/>
                      <w:caps w:val="0"/>
                      <w:color w:val="000000"/>
                      <w:szCs w:val="21"/>
                      <w:u w:val="none" w:color="auto"/>
                    </w:rPr>
                    <w:t>、TN</w:t>
                  </w:r>
                  <w:r>
                    <w:rPr>
                      <w:rFonts w:hint="eastAsia" w:ascii="Times New Roman" w:hAnsi="Times New Roman" w:cs="Times New Roman"/>
                      <w:caps w:val="0"/>
                      <w:color w:val="000000"/>
                      <w:szCs w:val="21"/>
                      <w:u w:val="none" w:color="auto"/>
                      <w:lang w:eastAsia="zh-CN"/>
                    </w:rPr>
                    <w:t>、</w:t>
                  </w:r>
                  <w:r>
                    <w:rPr>
                      <w:rFonts w:hint="eastAsia" w:cs="Times New Roman"/>
                      <w:caps w:val="0"/>
                      <w:color w:val="000000"/>
                      <w:szCs w:val="21"/>
                      <w:u w:val="none" w:color="auto"/>
                      <w:lang w:val="en-US" w:eastAsia="zh-CN"/>
                    </w:rPr>
                    <w:t>TP、</w:t>
                  </w:r>
                  <w:r>
                    <w:rPr>
                      <w:rFonts w:hint="eastAsia" w:ascii="Times New Roman" w:hAnsi="Times New Roman" w:cs="Times New Roman"/>
                      <w:caps w:val="0"/>
                      <w:color w:val="000000"/>
                      <w:szCs w:val="21"/>
                      <w:u w:val="none" w:color="auto"/>
                    </w:rPr>
                    <w:t>SS</w:t>
                  </w:r>
                  <w:r>
                    <w:rPr>
                      <w:rFonts w:hint="default" w:ascii="Times New Roman" w:hAnsi="Times New Roman" w:cs="Times New Roman"/>
                      <w:caps w:val="0"/>
                      <w:color w:val="000000"/>
                      <w:szCs w:val="21"/>
                      <w:u w:val="none" w:color="auto"/>
                    </w:rPr>
                    <w:t>、动植物油</w:t>
                  </w:r>
                </w:p>
              </w:tc>
              <w:tc>
                <w:tcPr>
                  <w:tcW w:w="650" w:type="pct"/>
                  <w:vAlign w:val="center"/>
                </w:tcPr>
                <w:p w14:paraId="3F09FCF7">
                  <w:pPr>
                    <w:keepNext w:val="0"/>
                    <w:keepLines w:val="0"/>
                    <w:pageBreakBefore w:val="0"/>
                    <w:widowControl w:val="0"/>
                    <w:suppressLineNumbers w:val="0"/>
                    <w:kinsoku/>
                    <w:wordWrap/>
                    <w:topLinePunct w:val="0"/>
                    <w:bidi w:val="0"/>
                    <w:spacing w:before="0" w:beforeAutospacing="0" w:after="0" w:afterAutospacing="0" w:line="240" w:lineRule="auto"/>
                    <w:ind w:left="0" w:right="0"/>
                    <w:jc w:val="center"/>
                    <w:rPr>
                      <w:rFonts w:hint="default" w:ascii="Times New Roman" w:hAnsi="Times New Roman" w:eastAsia="宋体" w:cs="Times New Roman"/>
                      <w:bCs/>
                      <w:caps w:val="0"/>
                      <w:color w:val="000000"/>
                      <w:szCs w:val="21"/>
                      <w:u w:val="none" w:color="auto"/>
                      <w:lang w:val="en-US" w:eastAsia="zh-CN"/>
                    </w:rPr>
                  </w:pPr>
                  <w:r>
                    <w:rPr>
                      <w:rFonts w:hint="eastAsia" w:ascii="Times New Roman" w:hAnsi="Times New Roman" w:cs="Times New Roman"/>
                      <w:bCs/>
                      <w:caps w:val="0"/>
                      <w:color w:val="000000"/>
                      <w:szCs w:val="21"/>
                      <w:u w:val="none" w:color="auto"/>
                      <w:lang w:val="en-US" w:eastAsia="zh-CN"/>
                    </w:rPr>
                    <w:t>1次/半年</w:t>
                  </w:r>
                </w:p>
              </w:tc>
              <w:tc>
                <w:tcPr>
                  <w:tcW w:w="932" w:type="pct"/>
                  <w:vAlign w:val="center"/>
                </w:tcPr>
                <w:p w14:paraId="028A02DC">
                  <w:pPr>
                    <w:keepNext w:val="0"/>
                    <w:keepLines w:val="0"/>
                    <w:pageBreakBefore w:val="0"/>
                    <w:widowControl w:val="0"/>
                    <w:suppressLineNumbers w:val="0"/>
                    <w:kinsoku/>
                    <w:wordWrap/>
                    <w:topLinePunct w:val="0"/>
                    <w:bidi w:val="0"/>
                    <w:spacing w:before="0" w:beforeAutospacing="0" w:after="0" w:afterAutospacing="0" w:line="240" w:lineRule="auto"/>
                    <w:ind w:left="0" w:right="0"/>
                    <w:jc w:val="center"/>
                    <w:rPr>
                      <w:rFonts w:hint="default" w:ascii="Times New Roman" w:hAnsi="Times New Roman" w:cs="Times New Roman"/>
                      <w:bCs/>
                      <w:caps w:val="0"/>
                      <w:color w:val="000000"/>
                      <w:szCs w:val="21"/>
                      <w:u w:val="none" w:color="auto"/>
                    </w:rPr>
                  </w:pPr>
                  <w:r>
                    <w:rPr>
                      <w:rFonts w:hint="default" w:ascii="Calibri" w:hAnsi="Calibri" w:cs="Times New Roman"/>
                      <w:caps w:val="0"/>
                      <w:color w:val="000000"/>
                      <w:highlight w:val="none"/>
                      <w:u w:val="none" w:color="auto"/>
                    </w:rPr>
                    <w:t>委托有资质单位监测</w:t>
                  </w:r>
                </w:p>
              </w:tc>
            </w:tr>
          </w:tbl>
          <w:p w14:paraId="676ADF9F">
            <w:pPr>
              <w:keepNext w:val="0"/>
              <w:keepLines w:val="0"/>
              <w:widowControl/>
              <w:suppressLineNumbers w:val="0"/>
              <w:adjustRightInd w:val="0"/>
              <w:snapToGrid w:val="0"/>
              <w:spacing w:before="157" w:beforeLines="50" w:beforeAutospacing="0" w:after="0" w:afterAutospacing="0" w:line="360" w:lineRule="auto"/>
              <w:ind w:left="0" w:right="0"/>
              <w:rPr>
                <w:rFonts w:hint="default"/>
                <w:b/>
                <w:bCs/>
                <w:spacing w:val="-10"/>
                <w:sz w:val="28"/>
                <w:szCs w:val="28"/>
              </w:rPr>
            </w:pPr>
            <w:r>
              <w:rPr>
                <w:rFonts w:hint="default"/>
                <w:b/>
                <w:bCs/>
                <w:spacing w:val="-10"/>
                <w:sz w:val="28"/>
                <w:szCs w:val="28"/>
              </w:rPr>
              <w:t>3、噪声</w:t>
            </w:r>
          </w:p>
          <w:p w14:paraId="082C0EDF">
            <w:pPr>
              <w:keepNext w:val="0"/>
              <w:keepLines w:val="0"/>
              <w:widowControl/>
              <w:suppressLineNumbers w:val="0"/>
              <w:spacing w:before="0" w:beforeAutospacing="0" w:after="0" w:afterAutospacing="0" w:line="360" w:lineRule="auto"/>
              <w:ind w:left="0" w:right="0" w:firstLine="482" w:firstLineChars="200"/>
              <w:rPr>
                <w:rFonts w:hint="default"/>
                <w:b/>
                <w:bCs/>
                <w:sz w:val="24"/>
                <w:u w:val="none"/>
              </w:rPr>
            </w:pPr>
            <w:r>
              <w:rPr>
                <w:rFonts w:hint="default"/>
                <w:b/>
                <w:bCs/>
                <w:sz w:val="24"/>
                <w:u w:val="none"/>
              </w:rPr>
              <w:t>3.1噪声源强</w:t>
            </w:r>
          </w:p>
          <w:p w14:paraId="3360C4C4">
            <w:pPr>
              <w:keepNext w:val="0"/>
              <w:keepLines w:val="0"/>
              <w:widowControl/>
              <w:suppressLineNumbers w:val="0"/>
              <w:spacing w:before="0" w:beforeAutospacing="0" w:after="0" w:afterAutospacing="0" w:line="360" w:lineRule="auto"/>
              <w:ind w:left="0" w:right="0" w:firstLine="480" w:firstLineChars="200"/>
              <w:rPr>
                <w:rFonts w:hint="default"/>
                <w:sz w:val="24"/>
                <w:u w:val="none"/>
              </w:rPr>
            </w:pPr>
            <w:r>
              <w:rPr>
                <w:rFonts w:hint="default"/>
                <w:sz w:val="24"/>
                <w:u w:val="none"/>
              </w:rPr>
              <w:t>本项目主要噪声来源于振动筛、风机和泵等，单台设备噪声源强在80-85B(A</w:t>
            </w:r>
            <w:r>
              <w:rPr>
                <w:rFonts w:hint="eastAsia"/>
                <w:sz w:val="24"/>
                <w:u w:val="none"/>
              </w:rPr>
              <w:t>）</w:t>
            </w:r>
            <w:r>
              <w:rPr>
                <w:rFonts w:hint="default"/>
                <w:sz w:val="24"/>
                <w:u w:val="none"/>
              </w:rPr>
              <w:t>之间，单台设备噪声源强见下表。</w:t>
            </w:r>
          </w:p>
          <w:p w14:paraId="3C5F7DEE">
            <w:pPr>
              <w:pStyle w:val="33"/>
              <w:keepNext w:val="0"/>
              <w:keepLines w:val="0"/>
              <w:numPr>
                <w:ilvl w:val="0"/>
                <w:numId w:val="19"/>
              </w:numPr>
              <w:suppressLineNumbers w:val="0"/>
              <w:spacing w:before="0" w:beforeAutospacing="0" w:after="0" w:afterAutospacing="0"/>
              <w:ind w:right="0" w:firstLineChars="0"/>
              <w:jc w:val="right"/>
              <w:rPr>
                <w:rFonts w:hint="default"/>
                <w:b/>
                <w:sz w:val="24"/>
                <w:u w:val="none"/>
              </w:rPr>
            </w:pPr>
            <w:r>
              <w:rPr>
                <w:rFonts w:hint="default"/>
                <w:b/>
                <w:sz w:val="24"/>
                <w:szCs w:val="24"/>
                <w:u w:val="none"/>
              </w:rPr>
              <w:t>项目噪声源强一览表</w:t>
            </w:r>
            <w:r>
              <w:rPr>
                <w:rFonts w:hint="eastAsia"/>
                <w:b/>
                <w:sz w:val="24"/>
                <w:szCs w:val="24"/>
                <w:u w:val="none"/>
                <w:lang w:val="en-US" w:eastAsia="zh-CN"/>
              </w:rPr>
              <w:t xml:space="preserve">       </w:t>
            </w:r>
            <w:r>
              <w:rPr>
                <w:rFonts w:hint="default"/>
                <w:b/>
                <w:sz w:val="24"/>
                <w:szCs w:val="24"/>
                <w:u w:val="none"/>
              </w:rPr>
              <w:t xml:space="preserve">       单位：dB（A）</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0"/>
              <w:gridCol w:w="619"/>
              <w:gridCol w:w="766"/>
              <w:gridCol w:w="491"/>
              <w:gridCol w:w="469"/>
              <w:gridCol w:w="703"/>
              <w:gridCol w:w="644"/>
              <w:gridCol w:w="637"/>
              <w:gridCol w:w="568"/>
              <w:gridCol w:w="570"/>
              <w:gridCol w:w="568"/>
              <w:gridCol w:w="703"/>
              <w:gridCol w:w="571"/>
              <w:gridCol w:w="657"/>
            </w:tblGrid>
            <w:tr w14:paraId="1EE5A2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vMerge w:val="restart"/>
                  <w:tcBorders>
                    <w:tl2br w:val="nil"/>
                    <w:tr2bl w:val="nil"/>
                  </w:tcBorders>
                  <w:vAlign w:val="center"/>
                </w:tcPr>
                <w:p w14:paraId="16545F62">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序号</w:t>
                  </w:r>
                </w:p>
              </w:tc>
              <w:tc>
                <w:tcPr>
                  <w:tcW w:w="368" w:type="pct"/>
                  <w:vMerge w:val="restart"/>
                  <w:tcBorders>
                    <w:tl2br w:val="nil"/>
                    <w:tr2bl w:val="nil"/>
                  </w:tcBorders>
                  <w:vAlign w:val="center"/>
                </w:tcPr>
                <w:p w14:paraId="583EACD6">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建筑物名称</w:t>
                  </w:r>
                </w:p>
              </w:tc>
              <w:tc>
                <w:tcPr>
                  <w:tcW w:w="456" w:type="pct"/>
                  <w:vMerge w:val="restart"/>
                  <w:tcBorders>
                    <w:tl2br w:val="nil"/>
                    <w:tr2bl w:val="nil"/>
                  </w:tcBorders>
                  <w:vAlign w:val="center"/>
                </w:tcPr>
                <w:p w14:paraId="3587BA09">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声源名称</w:t>
                  </w:r>
                </w:p>
              </w:tc>
              <w:tc>
                <w:tcPr>
                  <w:tcW w:w="292" w:type="pct"/>
                  <w:vMerge w:val="restart"/>
                  <w:tcBorders>
                    <w:tl2br w:val="nil"/>
                    <w:tr2bl w:val="nil"/>
                  </w:tcBorders>
                  <w:vAlign w:val="center"/>
                </w:tcPr>
                <w:p w14:paraId="1FE3A82F">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数量</w:t>
                  </w:r>
                </w:p>
              </w:tc>
              <w:tc>
                <w:tcPr>
                  <w:tcW w:w="279" w:type="pct"/>
                  <w:vMerge w:val="restart"/>
                  <w:tcBorders>
                    <w:tl2br w:val="nil"/>
                    <w:tr2bl w:val="nil"/>
                  </w:tcBorders>
                  <w:vAlign w:val="center"/>
                </w:tcPr>
                <w:p w14:paraId="5F0911A1">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型号</w:t>
                  </w:r>
                </w:p>
              </w:tc>
              <w:tc>
                <w:tcPr>
                  <w:tcW w:w="418" w:type="pct"/>
                  <w:vMerge w:val="restart"/>
                  <w:tcBorders>
                    <w:tl2br w:val="nil"/>
                    <w:tr2bl w:val="nil"/>
                  </w:tcBorders>
                  <w:vAlign w:val="center"/>
                </w:tcPr>
                <w:p w14:paraId="1611E32E">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声源源强/dB(A)</w:t>
                  </w:r>
                </w:p>
              </w:tc>
              <w:tc>
                <w:tcPr>
                  <w:tcW w:w="383" w:type="pct"/>
                  <w:vMerge w:val="restart"/>
                  <w:tcBorders>
                    <w:tl2br w:val="nil"/>
                    <w:tr2bl w:val="nil"/>
                  </w:tcBorders>
                  <w:vAlign w:val="center"/>
                </w:tcPr>
                <w:p w14:paraId="5A37216E">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声源控制措施</w:t>
                  </w:r>
                </w:p>
              </w:tc>
              <w:tc>
                <w:tcPr>
                  <w:tcW w:w="1056" w:type="pct"/>
                  <w:gridSpan w:val="3"/>
                  <w:tcBorders>
                    <w:tl2br w:val="nil"/>
                    <w:tr2bl w:val="nil"/>
                  </w:tcBorders>
                  <w:vAlign w:val="center"/>
                </w:tcPr>
                <w:p w14:paraId="27F0C74F">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空间相对位置</w:t>
                  </w:r>
                </w:p>
              </w:tc>
              <w:tc>
                <w:tcPr>
                  <w:tcW w:w="338" w:type="pct"/>
                  <w:vMerge w:val="restart"/>
                  <w:tcBorders>
                    <w:tl2br w:val="nil"/>
                    <w:tr2bl w:val="nil"/>
                  </w:tcBorders>
                  <w:vAlign w:val="center"/>
                </w:tcPr>
                <w:p w14:paraId="5A6296DC">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距室内边界距离/m</w:t>
                  </w:r>
                </w:p>
              </w:tc>
              <w:tc>
                <w:tcPr>
                  <w:tcW w:w="418" w:type="pct"/>
                  <w:vMerge w:val="restart"/>
                  <w:tcBorders>
                    <w:tl2br w:val="nil"/>
                    <w:tr2bl w:val="nil"/>
                  </w:tcBorders>
                  <w:vAlign w:val="center"/>
                </w:tcPr>
                <w:p w14:paraId="5D6550D5">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室内边界声级/dB(A)</w:t>
                  </w:r>
                </w:p>
              </w:tc>
              <w:tc>
                <w:tcPr>
                  <w:tcW w:w="340" w:type="pct"/>
                  <w:vMerge w:val="restart"/>
                  <w:tcBorders>
                    <w:tl2br w:val="nil"/>
                    <w:tr2bl w:val="nil"/>
                  </w:tcBorders>
                  <w:vAlign w:val="center"/>
                </w:tcPr>
                <w:p w14:paraId="77295AB1">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运行</w:t>
                  </w:r>
                </w:p>
                <w:p w14:paraId="6CF71426">
                  <w:pPr>
                    <w:keepNext w:val="0"/>
                    <w:keepLines w:val="0"/>
                    <w:suppressLineNumbers w:val="0"/>
                    <w:adjustRightInd w:val="0"/>
                    <w:spacing w:before="0" w:beforeAutospacing="0" w:after="0" w:afterAutospacing="0"/>
                    <w:ind w:left="-63" w:leftChars="-30" w:right="-63" w:rightChars="-30"/>
                    <w:jc w:val="center"/>
                    <w:rPr>
                      <w:rFonts w:hint="eastAsia" w:eastAsia="宋体"/>
                      <w:b/>
                      <w:szCs w:val="21"/>
                      <w:u w:val="none"/>
                      <w:lang w:val="en-US" w:eastAsia="zh-CN"/>
                    </w:rPr>
                  </w:pPr>
                  <w:r>
                    <w:rPr>
                      <w:rFonts w:hint="default"/>
                      <w:b/>
                      <w:szCs w:val="21"/>
                      <w:u w:val="none"/>
                    </w:rPr>
                    <w:t>时</w:t>
                  </w:r>
                  <w:r>
                    <w:rPr>
                      <w:rFonts w:hint="eastAsia"/>
                      <w:b/>
                      <w:szCs w:val="21"/>
                      <w:u w:val="none"/>
                      <w:lang w:val="en-US" w:eastAsia="zh-CN"/>
                    </w:rPr>
                    <w:t>间</w:t>
                  </w:r>
                </w:p>
              </w:tc>
              <w:tc>
                <w:tcPr>
                  <w:tcW w:w="391" w:type="pct"/>
                  <w:vMerge w:val="restart"/>
                  <w:tcBorders>
                    <w:tl2br w:val="nil"/>
                    <w:tr2bl w:val="nil"/>
                  </w:tcBorders>
                  <w:vAlign w:val="center"/>
                </w:tcPr>
                <w:p w14:paraId="64CA2F15">
                  <w:pPr>
                    <w:keepNext w:val="0"/>
                    <w:keepLines w:val="0"/>
                    <w:suppressLineNumbers w:val="0"/>
                    <w:adjustRightInd w:val="0"/>
                    <w:spacing w:before="0" w:beforeAutospacing="0" w:after="0" w:afterAutospacing="0"/>
                    <w:ind w:left="-105" w:leftChars="-50" w:right="-105" w:rightChars="-50"/>
                    <w:jc w:val="center"/>
                    <w:rPr>
                      <w:rFonts w:hint="default"/>
                      <w:b/>
                      <w:szCs w:val="21"/>
                      <w:u w:val="none"/>
                    </w:rPr>
                  </w:pPr>
                  <w:r>
                    <w:rPr>
                      <w:rFonts w:hint="default"/>
                      <w:b/>
                      <w:szCs w:val="21"/>
                      <w:u w:val="none"/>
                    </w:rPr>
                    <w:t>建筑物插入损失/dB(A)</w:t>
                  </w:r>
                </w:p>
              </w:tc>
            </w:tr>
            <w:tr w14:paraId="160E0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vMerge w:val="continue"/>
                  <w:tcBorders>
                    <w:tl2br w:val="nil"/>
                    <w:tr2bl w:val="nil"/>
                  </w:tcBorders>
                  <w:vAlign w:val="center"/>
                </w:tcPr>
                <w:p w14:paraId="7231B8FF">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68" w:type="pct"/>
                  <w:vMerge w:val="continue"/>
                  <w:tcBorders>
                    <w:tl2br w:val="nil"/>
                    <w:tr2bl w:val="nil"/>
                  </w:tcBorders>
                  <w:vAlign w:val="center"/>
                </w:tcPr>
                <w:p w14:paraId="1870F8AA">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456" w:type="pct"/>
                  <w:vMerge w:val="continue"/>
                  <w:tcBorders>
                    <w:tl2br w:val="nil"/>
                    <w:tr2bl w:val="nil"/>
                  </w:tcBorders>
                  <w:vAlign w:val="center"/>
                </w:tcPr>
                <w:p w14:paraId="2D1347B1">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292" w:type="pct"/>
                  <w:vMerge w:val="continue"/>
                  <w:tcBorders>
                    <w:tl2br w:val="nil"/>
                    <w:tr2bl w:val="nil"/>
                  </w:tcBorders>
                  <w:vAlign w:val="center"/>
                </w:tcPr>
                <w:p w14:paraId="3553205A">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279" w:type="pct"/>
                  <w:vMerge w:val="continue"/>
                  <w:tcBorders>
                    <w:tl2br w:val="nil"/>
                    <w:tr2bl w:val="nil"/>
                  </w:tcBorders>
                  <w:vAlign w:val="center"/>
                </w:tcPr>
                <w:p w14:paraId="4A9DE62D">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418" w:type="pct"/>
                  <w:vMerge w:val="continue"/>
                  <w:tcBorders>
                    <w:tl2br w:val="nil"/>
                    <w:tr2bl w:val="nil"/>
                  </w:tcBorders>
                  <w:vAlign w:val="center"/>
                </w:tcPr>
                <w:p w14:paraId="04540471">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p>
              </w:tc>
              <w:tc>
                <w:tcPr>
                  <w:tcW w:w="383" w:type="pct"/>
                  <w:vMerge w:val="continue"/>
                  <w:tcBorders>
                    <w:tl2br w:val="nil"/>
                    <w:tr2bl w:val="nil"/>
                  </w:tcBorders>
                  <w:vAlign w:val="center"/>
                </w:tcPr>
                <w:p w14:paraId="6AB73947">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p>
              </w:tc>
              <w:tc>
                <w:tcPr>
                  <w:tcW w:w="379" w:type="pct"/>
                  <w:tcBorders>
                    <w:tl2br w:val="nil"/>
                    <w:tr2bl w:val="nil"/>
                  </w:tcBorders>
                  <w:vAlign w:val="center"/>
                </w:tcPr>
                <w:p w14:paraId="264C49D4">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X</w:t>
                  </w:r>
                </w:p>
              </w:tc>
              <w:tc>
                <w:tcPr>
                  <w:tcW w:w="338" w:type="pct"/>
                  <w:tcBorders>
                    <w:tl2br w:val="nil"/>
                    <w:tr2bl w:val="nil"/>
                  </w:tcBorders>
                  <w:vAlign w:val="center"/>
                </w:tcPr>
                <w:p w14:paraId="0527058D">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Y</w:t>
                  </w:r>
                </w:p>
              </w:tc>
              <w:tc>
                <w:tcPr>
                  <w:tcW w:w="339" w:type="pct"/>
                  <w:tcBorders>
                    <w:tl2br w:val="nil"/>
                    <w:tr2bl w:val="nil"/>
                  </w:tcBorders>
                  <w:vAlign w:val="center"/>
                </w:tcPr>
                <w:p w14:paraId="5BFFBCF3">
                  <w:pPr>
                    <w:keepNext w:val="0"/>
                    <w:keepLines w:val="0"/>
                    <w:suppressLineNumbers w:val="0"/>
                    <w:adjustRightInd w:val="0"/>
                    <w:spacing w:before="0" w:beforeAutospacing="0" w:after="0" w:afterAutospacing="0"/>
                    <w:ind w:left="-63" w:leftChars="-30" w:right="-63" w:rightChars="-30"/>
                    <w:jc w:val="center"/>
                    <w:rPr>
                      <w:rFonts w:hint="default"/>
                      <w:b/>
                      <w:szCs w:val="21"/>
                      <w:u w:val="none"/>
                    </w:rPr>
                  </w:pPr>
                  <w:r>
                    <w:rPr>
                      <w:rFonts w:hint="default"/>
                      <w:b/>
                      <w:szCs w:val="21"/>
                      <w:u w:val="none"/>
                    </w:rPr>
                    <w:t>Z</w:t>
                  </w:r>
                </w:p>
              </w:tc>
              <w:tc>
                <w:tcPr>
                  <w:tcW w:w="338" w:type="pct"/>
                  <w:vMerge w:val="continue"/>
                  <w:tcBorders>
                    <w:tl2br w:val="nil"/>
                    <w:tr2bl w:val="nil"/>
                  </w:tcBorders>
                  <w:vAlign w:val="center"/>
                </w:tcPr>
                <w:p w14:paraId="27C588CA">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418" w:type="pct"/>
                  <w:vMerge w:val="continue"/>
                  <w:tcBorders>
                    <w:tl2br w:val="nil"/>
                    <w:tr2bl w:val="nil"/>
                  </w:tcBorders>
                  <w:vAlign w:val="center"/>
                </w:tcPr>
                <w:p w14:paraId="5322992F">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40" w:type="pct"/>
                  <w:vMerge w:val="continue"/>
                  <w:tcBorders>
                    <w:tl2br w:val="nil"/>
                    <w:tr2bl w:val="nil"/>
                  </w:tcBorders>
                  <w:vAlign w:val="center"/>
                </w:tcPr>
                <w:p w14:paraId="1AE19737">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91" w:type="pct"/>
                  <w:vMerge w:val="continue"/>
                  <w:tcBorders>
                    <w:tl2br w:val="nil"/>
                    <w:tr2bl w:val="nil"/>
                  </w:tcBorders>
                  <w:vAlign w:val="center"/>
                </w:tcPr>
                <w:p w14:paraId="282EBD04">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r>
            <w:tr w14:paraId="69F502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14:paraId="266E21C2">
                  <w:pPr>
                    <w:pStyle w:val="49"/>
                    <w:keepNext w:val="0"/>
                    <w:keepLines w:val="0"/>
                    <w:suppressLineNumbers w:val="0"/>
                    <w:spacing w:before="0" w:beforeAutospacing="0" w:after="0" w:afterAutospacing="0" w:line="240" w:lineRule="auto"/>
                    <w:ind w:left="0" w:right="0"/>
                    <w:jc w:val="center"/>
                    <w:rPr>
                      <w:rFonts w:hint="default"/>
                      <w:bCs/>
                      <w:u w:val="none"/>
                    </w:rPr>
                  </w:pPr>
                  <w:r>
                    <w:rPr>
                      <w:rFonts w:hint="default"/>
                      <w:u w:val="none"/>
                    </w:rPr>
                    <w:t>1</w:t>
                  </w:r>
                </w:p>
              </w:tc>
              <w:tc>
                <w:tcPr>
                  <w:tcW w:w="368" w:type="pct"/>
                  <w:vMerge w:val="restart"/>
                  <w:tcBorders>
                    <w:tl2br w:val="nil"/>
                    <w:tr2bl w:val="nil"/>
                  </w:tcBorders>
                  <w:vAlign w:val="center"/>
                </w:tcPr>
                <w:p w14:paraId="23EB54CE">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r>
                    <w:rPr>
                      <w:rFonts w:hint="default"/>
                      <w:bCs/>
                      <w:szCs w:val="21"/>
                      <w:u w:val="none"/>
                    </w:rPr>
                    <w:t>生产</w:t>
                  </w:r>
                </w:p>
                <w:p w14:paraId="17C667AA">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r>
                    <w:rPr>
                      <w:rFonts w:hint="default"/>
                      <w:bCs/>
                      <w:szCs w:val="21"/>
                      <w:u w:val="none"/>
                    </w:rPr>
                    <w:t>车间</w:t>
                  </w:r>
                </w:p>
              </w:tc>
              <w:tc>
                <w:tcPr>
                  <w:tcW w:w="456" w:type="pct"/>
                  <w:tcBorders>
                    <w:tl2br w:val="nil"/>
                    <w:tr2bl w:val="nil"/>
                  </w:tcBorders>
                  <w:vAlign w:val="center"/>
                </w:tcPr>
                <w:p w14:paraId="5A63ACE9">
                  <w:pPr>
                    <w:keepNext w:val="0"/>
                    <w:keepLines w:val="0"/>
                    <w:suppressLineNumbers w:val="0"/>
                    <w:adjustRightInd w:val="0"/>
                    <w:spacing w:before="0" w:beforeAutospacing="0" w:after="0" w:afterAutospacing="0"/>
                    <w:ind w:left="-105" w:leftChars="-50" w:right="-105" w:rightChars="-50"/>
                    <w:jc w:val="center"/>
                    <w:rPr>
                      <w:rFonts w:hint="default"/>
                      <w:bCs/>
                      <w:szCs w:val="21"/>
                      <w:u w:val="none"/>
                    </w:rPr>
                  </w:pPr>
                  <w:r>
                    <w:rPr>
                      <w:rFonts w:hint="default"/>
                      <w:u w:val="none"/>
                    </w:rPr>
                    <w:t>振动筛</w:t>
                  </w:r>
                </w:p>
              </w:tc>
              <w:tc>
                <w:tcPr>
                  <w:tcW w:w="292" w:type="pct"/>
                  <w:tcBorders>
                    <w:tl2br w:val="nil"/>
                    <w:tr2bl w:val="nil"/>
                  </w:tcBorders>
                  <w:vAlign w:val="center"/>
                </w:tcPr>
                <w:p w14:paraId="3D7C4095">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r>
                    <w:rPr>
                      <w:rFonts w:hint="eastAsia"/>
                      <w:bCs/>
                      <w:szCs w:val="21"/>
                      <w:u w:val="none"/>
                      <w:lang w:val="en-US" w:eastAsia="zh-CN"/>
                    </w:rPr>
                    <w:t>1</w:t>
                  </w:r>
                  <w:r>
                    <w:rPr>
                      <w:rFonts w:hint="default"/>
                      <w:bCs/>
                      <w:szCs w:val="21"/>
                      <w:u w:val="none"/>
                    </w:rPr>
                    <w:t>台</w:t>
                  </w:r>
                </w:p>
              </w:tc>
              <w:tc>
                <w:tcPr>
                  <w:tcW w:w="279" w:type="pct"/>
                  <w:tcBorders>
                    <w:tl2br w:val="nil"/>
                    <w:tr2bl w:val="nil"/>
                  </w:tcBorders>
                  <w:vAlign w:val="center"/>
                </w:tcPr>
                <w:p w14:paraId="38188A96">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r>
                    <w:rPr>
                      <w:rFonts w:hint="default"/>
                      <w:bCs/>
                      <w:szCs w:val="21"/>
                      <w:u w:val="none"/>
                    </w:rPr>
                    <w:t>/</w:t>
                  </w:r>
                </w:p>
              </w:tc>
              <w:tc>
                <w:tcPr>
                  <w:tcW w:w="418" w:type="pct"/>
                  <w:tcBorders>
                    <w:tl2br w:val="nil"/>
                    <w:tr2bl w:val="nil"/>
                  </w:tcBorders>
                  <w:vAlign w:val="center"/>
                </w:tcPr>
                <w:p w14:paraId="58761A30">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r>
                    <w:rPr>
                      <w:rFonts w:hint="default"/>
                      <w:bCs/>
                      <w:szCs w:val="21"/>
                      <w:u w:val="none"/>
                    </w:rPr>
                    <w:t>80</w:t>
                  </w:r>
                </w:p>
              </w:tc>
              <w:tc>
                <w:tcPr>
                  <w:tcW w:w="383" w:type="pct"/>
                  <w:vMerge w:val="restart"/>
                  <w:tcBorders>
                    <w:tl2br w:val="nil"/>
                    <w:tr2bl w:val="nil"/>
                  </w:tcBorders>
                  <w:vAlign w:val="center"/>
                </w:tcPr>
                <w:p w14:paraId="69D79FE5">
                  <w:pPr>
                    <w:keepNext w:val="0"/>
                    <w:keepLines w:val="0"/>
                    <w:suppressLineNumbers w:val="0"/>
                    <w:adjustRightInd w:val="0"/>
                    <w:spacing w:before="0" w:beforeAutospacing="0" w:after="0" w:afterAutospacing="0"/>
                    <w:ind w:left="-63" w:leftChars="-30" w:right="-63" w:rightChars="-30"/>
                    <w:jc w:val="center"/>
                    <w:rPr>
                      <w:rFonts w:hint="eastAsia" w:eastAsia="宋体"/>
                      <w:bCs/>
                      <w:szCs w:val="21"/>
                      <w:u w:val="none"/>
                      <w:lang w:val="en-US" w:eastAsia="zh-CN"/>
                    </w:rPr>
                  </w:pPr>
                  <w:r>
                    <w:rPr>
                      <w:rFonts w:hint="default"/>
                      <w:bCs/>
                      <w:szCs w:val="21"/>
                      <w:u w:val="none"/>
                    </w:rPr>
                    <w:t>减振、厂房隔声</w:t>
                  </w:r>
                  <w:r>
                    <w:rPr>
                      <w:rFonts w:hint="eastAsia"/>
                      <w:bCs/>
                      <w:szCs w:val="21"/>
                      <w:u w:val="none"/>
                      <w:lang w:val="en-US" w:eastAsia="zh-CN"/>
                    </w:rPr>
                    <w:t>等</w:t>
                  </w:r>
                </w:p>
              </w:tc>
              <w:tc>
                <w:tcPr>
                  <w:tcW w:w="379" w:type="pct"/>
                  <w:tcBorders>
                    <w:tl2br w:val="nil"/>
                    <w:tr2bl w:val="nil"/>
                  </w:tcBorders>
                  <w:vAlign w:val="center"/>
                </w:tcPr>
                <w:p w14:paraId="4759796F">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27.31</w:t>
                  </w:r>
                </w:p>
              </w:tc>
              <w:tc>
                <w:tcPr>
                  <w:tcW w:w="338" w:type="pct"/>
                  <w:tcBorders>
                    <w:tl2br w:val="nil"/>
                    <w:tr2bl w:val="nil"/>
                  </w:tcBorders>
                  <w:vAlign w:val="center"/>
                </w:tcPr>
                <w:p w14:paraId="7F6D2EF1">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16.76</w:t>
                  </w:r>
                </w:p>
              </w:tc>
              <w:tc>
                <w:tcPr>
                  <w:tcW w:w="339" w:type="pct"/>
                  <w:tcBorders>
                    <w:tl2br w:val="nil"/>
                    <w:tr2bl w:val="nil"/>
                  </w:tcBorders>
                  <w:vAlign w:val="center"/>
                </w:tcPr>
                <w:p w14:paraId="4CE861E2">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7.84</w:t>
                  </w:r>
                </w:p>
              </w:tc>
              <w:tc>
                <w:tcPr>
                  <w:tcW w:w="338" w:type="pct"/>
                  <w:tcBorders>
                    <w:tl2br w:val="nil"/>
                    <w:tr2bl w:val="nil"/>
                  </w:tcBorders>
                  <w:vAlign w:val="center"/>
                </w:tcPr>
                <w:p w14:paraId="0BF41F82">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27.36</w:t>
                  </w:r>
                </w:p>
              </w:tc>
              <w:tc>
                <w:tcPr>
                  <w:tcW w:w="418" w:type="pct"/>
                  <w:vMerge w:val="restart"/>
                  <w:tcBorders>
                    <w:tl2br w:val="nil"/>
                    <w:tr2bl w:val="nil"/>
                  </w:tcBorders>
                  <w:vAlign w:val="center"/>
                </w:tcPr>
                <w:p w14:paraId="4AF2567B">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66.62</w:t>
                  </w:r>
                </w:p>
              </w:tc>
              <w:tc>
                <w:tcPr>
                  <w:tcW w:w="340" w:type="pct"/>
                  <w:vMerge w:val="restart"/>
                  <w:tcBorders>
                    <w:tl2br w:val="nil"/>
                    <w:tr2bl w:val="nil"/>
                  </w:tcBorders>
                  <w:vAlign w:val="center"/>
                </w:tcPr>
                <w:p w14:paraId="518A1BBE">
                  <w:pPr>
                    <w:keepNext w:val="0"/>
                    <w:keepLines w:val="0"/>
                    <w:widowControl/>
                    <w:suppressLineNumbers w:val="0"/>
                    <w:adjustRightInd w:val="0"/>
                    <w:spacing w:before="0" w:beforeAutospacing="0" w:after="0" w:afterAutospacing="0"/>
                    <w:ind w:left="-105" w:leftChars="-50" w:right="-105" w:rightChars="-50"/>
                    <w:jc w:val="center"/>
                    <w:rPr>
                      <w:rFonts w:hint="default" w:eastAsia="宋体"/>
                      <w:bCs/>
                      <w:szCs w:val="21"/>
                      <w:u w:val="none"/>
                      <w:lang w:val="en-US" w:eastAsia="zh-CN"/>
                    </w:rPr>
                  </w:pPr>
                  <w:r>
                    <w:rPr>
                      <w:rFonts w:hint="eastAsia"/>
                      <w:bCs/>
                      <w:szCs w:val="21"/>
                      <w:u w:val="none"/>
                      <w:lang w:val="en-US" w:eastAsia="zh-CN"/>
                    </w:rPr>
                    <w:t>全时段</w:t>
                  </w:r>
                </w:p>
              </w:tc>
              <w:tc>
                <w:tcPr>
                  <w:tcW w:w="391" w:type="pct"/>
                  <w:vMerge w:val="restart"/>
                  <w:tcBorders>
                    <w:tl2br w:val="nil"/>
                    <w:tr2bl w:val="nil"/>
                  </w:tcBorders>
                  <w:vAlign w:val="center"/>
                </w:tcPr>
                <w:p w14:paraId="0527CBE3">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r>
                    <w:rPr>
                      <w:rFonts w:hint="default"/>
                      <w:bCs/>
                      <w:szCs w:val="21"/>
                      <w:u w:val="none"/>
                    </w:rPr>
                    <w:t>25</w:t>
                  </w:r>
                </w:p>
              </w:tc>
            </w:tr>
            <w:tr w14:paraId="2F0B4C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14:paraId="64A40CAE">
                  <w:pPr>
                    <w:pStyle w:val="49"/>
                    <w:keepNext w:val="0"/>
                    <w:keepLines w:val="0"/>
                    <w:suppressLineNumbers w:val="0"/>
                    <w:spacing w:before="0" w:beforeAutospacing="0" w:after="0" w:afterAutospacing="0" w:line="240" w:lineRule="auto"/>
                    <w:ind w:left="0" w:right="0"/>
                    <w:jc w:val="center"/>
                    <w:rPr>
                      <w:rFonts w:hint="default"/>
                      <w:bCs/>
                      <w:u w:val="none"/>
                    </w:rPr>
                  </w:pPr>
                  <w:r>
                    <w:rPr>
                      <w:rFonts w:hint="default"/>
                      <w:u w:val="none"/>
                    </w:rPr>
                    <w:t>2</w:t>
                  </w:r>
                </w:p>
              </w:tc>
              <w:tc>
                <w:tcPr>
                  <w:tcW w:w="368" w:type="pct"/>
                  <w:vMerge w:val="continue"/>
                  <w:tcBorders>
                    <w:tl2br w:val="nil"/>
                    <w:tr2bl w:val="nil"/>
                  </w:tcBorders>
                  <w:vAlign w:val="center"/>
                </w:tcPr>
                <w:p w14:paraId="43EFFFCD">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456" w:type="pct"/>
                  <w:tcBorders>
                    <w:tl2br w:val="nil"/>
                    <w:tr2bl w:val="nil"/>
                  </w:tcBorders>
                  <w:vAlign w:val="center"/>
                </w:tcPr>
                <w:p w14:paraId="79CE4F75">
                  <w:pPr>
                    <w:pStyle w:val="49"/>
                    <w:keepNext w:val="0"/>
                    <w:keepLines w:val="0"/>
                    <w:suppressLineNumbers w:val="0"/>
                    <w:spacing w:before="0" w:beforeAutospacing="0" w:after="0" w:afterAutospacing="0" w:line="240" w:lineRule="auto"/>
                    <w:ind w:left="0" w:right="0"/>
                    <w:jc w:val="center"/>
                    <w:rPr>
                      <w:rFonts w:hint="default"/>
                      <w:bCs/>
                      <w:u w:val="none"/>
                    </w:rPr>
                  </w:pPr>
                  <w:r>
                    <w:rPr>
                      <w:rFonts w:hint="eastAsia"/>
                      <w:bCs/>
                      <w:u w:val="none"/>
                      <w:lang w:val="en-US" w:eastAsia="zh-CN"/>
                    </w:rPr>
                    <w:t>白煮蛋剥壳机</w:t>
                  </w:r>
                </w:p>
              </w:tc>
              <w:tc>
                <w:tcPr>
                  <w:tcW w:w="292" w:type="pct"/>
                  <w:tcBorders>
                    <w:tl2br w:val="nil"/>
                    <w:tr2bl w:val="nil"/>
                  </w:tcBorders>
                  <w:vAlign w:val="center"/>
                </w:tcPr>
                <w:p w14:paraId="48E1976C">
                  <w:pPr>
                    <w:keepNext w:val="0"/>
                    <w:keepLines w:val="0"/>
                    <w:suppressLineNumbers w:val="0"/>
                    <w:adjustRightInd w:val="0"/>
                    <w:spacing w:before="0" w:beforeAutospacing="0" w:after="0" w:afterAutospacing="0"/>
                    <w:ind w:left="-63" w:leftChars="-30" w:right="-63" w:rightChars="-30"/>
                    <w:jc w:val="center"/>
                    <w:rPr>
                      <w:rFonts w:hint="default"/>
                      <w:szCs w:val="21"/>
                      <w:u w:val="none"/>
                    </w:rPr>
                  </w:pPr>
                  <w:r>
                    <w:rPr>
                      <w:rFonts w:hint="eastAsia"/>
                      <w:bCs/>
                      <w:szCs w:val="21"/>
                      <w:u w:val="none"/>
                      <w:lang w:val="en-US" w:eastAsia="zh-CN"/>
                    </w:rPr>
                    <w:t>1</w:t>
                  </w:r>
                  <w:r>
                    <w:rPr>
                      <w:rFonts w:hint="default"/>
                      <w:bCs/>
                      <w:szCs w:val="21"/>
                      <w:u w:val="none"/>
                    </w:rPr>
                    <w:t>台</w:t>
                  </w:r>
                </w:p>
              </w:tc>
              <w:tc>
                <w:tcPr>
                  <w:tcW w:w="279" w:type="pct"/>
                  <w:tcBorders>
                    <w:tl2br w:val="nil"/>
                    <w:tr2bl w:val="nil"/>
                  </w:tcBorders>
                  <w:vAlign w:val="center"/>
                </w:tcPr>
                <w:p w14:paraId="0C11496C">
                  <w:pPr>
                    <w:keepNext w:val="0"/>
                    <w:keepLines w:val="0"/>
                    <w:suppressLineNumbers w:val="0"/>
                    <w:adjustRightInd w:val="0"/>
                    <w:spacing w:before="0" w:beforeAutospacing="0" w:after="0" w:afterAutospacing="0"/>
                    <w:ind w:left="-63" w:leftChars="-30" w:right="-63" w:rightChars="-30"/>
                    <w:jc w:val="center"/>
                    <w:rPr>
                      <w:rFonts w:hint="default"/>
                      <w:szCs w:val="21"/>
                      <w:u w:val="none"/>
                    </w:rPr>
                  </w:pPr>
                  <w:r>
                    <w:rPr>
                      <w:rFonts w:hint="default"/>
                      <w:szCs w:val="21"/>
                      <w:u w:val="none"/>
                    </w:rPr>
                    <w:t>/</w:t>
                  </w:r>
                </w:p>
              </w:tc>
              <w:tc>
                <w:tcPr>
                  <w:tcW w:w="418" w:type="pct"/>
                  <w:tcBorders>
                    <w:tl2br w:val="nil"/>
                    <w:tr2bl w:val="nil"/>
                  </w:tcBorders>
                  <w:vAlign w:val="center"/>
                </w:tcPr>
                <w:p w14:paraId="2DF57755">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80</w:t>
                  </w:r>
                </w:p>
              </w:tc>
              <w:tc>
                <w:tcPr>
                  <w:tcW w:w="383" w:type="pct"/>
                  <w:vMerge w:val="continue"/>
                  <w:tcBorders>
                    <w:tl2br w:val="nil"/>
                    <w:tr2bl w:val="nil"/>
                  </w:tcBorders>
                  <w:vAlign w:val="center"/>
                </w:tcPr>
                <w:p w14:paraId="3E4926B9">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79" w:type="pct"/>
                  <w:tcBorders>
                    <w:tl2br w:val="nil"/>
                    <w:tr2bl w:val="nil"/>
                  </w:tcBorders>
                  <w:vAlign w:val="center"/>
                </w:tcPr>
                <w:p w14:paraId="6A298DC5">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3.84</w:t>
                  </w:r>
                </w:p>
              </w:tc>
              <w:tc>
                <w:tcPr>
                  <w:tcW w:w="338" w:type="pct"/>
                  <w:tcBorders>
                    <w:tl2br w:val="nil"/>
                    <w:tr2bl w:val="nil"/>
                  </w:tcBorders>
                  <w:vAlign w:val="center"/>
                </w:tcPr>
                <w:p w14:paraId="537DFD08">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10.62</w:t>
                  </w:r>
                </w:p>
              </w:tc>
              <w:tc>
                <w:tcPr>
                  <w:tcW w:w="339" w:type="pct"/>
                  <w:tcBorders>
                    <w:tl2br w:val="nil"/>
                    <w:tr2bl w:val="nil"/>
                  </w:tcBorders>
                  <w:vAlign w:val="center"/>
                </w:tcPr>
                <w:p w14:paraId="29C10AFE">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14.66</w:t>
                  </w:r>
                </w:p>
              </w:tc>
              <w:tc>
                <w:tcPr>
                  <w:tcW w:w="338" w:type="pct"/>
                  <w:tcBorders>
                    <w:tl2br w:val="nil"/>
                    <w:tr2bl w:val="nil"/>
                  </w:tcBorders>
                  <w:vAlign w:val="center"/>
                </w:tcPr>
                <w:p w14:paraId="2696E32B">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3.84</w:t>
                  </w:r>
                </w:p>
              </w:tc>
              <w:tc>
                <w:tcPr>
                  <w:tcW w:w="418" w:type="pct"/>
                  <w:vMerge w:val="continue"/>
                  <w:tcBorders>
                    <w:tl2br w:val="nil"/>
                    <w:tr2bl w:val="nil"/>
                  </w:tcBorders>
                  <w:vAlign w:val="center"/>
                </w:tcPr>
                <w:p w14:paraId="6FC5529F">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p>
              </w:tc>
              <w:tc>
                <w:tcPr>
                  <w:tcW w:w="340" w:type="pct"/>
                  <w:vMerge w:val="continue"/>
                  <w:tcBorders>
                    <w:tl2br w:val="nil"/>
                    <w:tr2bl w:val="nil"/>
                  </w:tcBorders>
                  <w:vAlign w:val="center"/>
                </w:tcPr>
                <w:p w14:paraId="4E2530A1">
                  <w:pPr>
                    <w:keepNext w:val="0"/>
                    <w:keepLines w:val="0"/>
                    <w:widowControl/>
                    <w:suppressLineNumbers w:val="0"/>
                    <w:adjustRightInd w:val="0"/>
                    <w:spacing w:before="0" w:beforeAutospacing="0" w:after="0" w:afterAutospacing="0"/>
                    <w:ind w:left="-105" w:leftChars="-50" w:right="-105" w:rightChars="-50"/>
                    <w:jc w:val="center"/>
                    <w:rPr>
                      <w:rFonts w:hint="default"/>
                      <w:bCs/>
                      <w:szCs w:val="21"/>
                      <w:u w:val="none"/>
                    </w:rPr>
                  </w:pPr>
                </w:p>
              </w:tc>
              <w:tc>
                <w:tcPr>
                  <w:tcW w:w="391" w:type="pct"/>
                  <w:vMerge w:val="continue"/>
                  <w:tcBorders>
                    <w:tl2br w:val="nil"/>
                    <w:tr2bl w:val="nil"/>
                  </w:tcBorders>
                  <w:vAlign w:val="center"/>
                </w:tcPr>
                <w:p w14:paraId="58A175E6">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r>
            <w:tr w14:paraId="578E3F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14:paraId="250179E9">
                  <w:pPr>
                    <w:pStyle w:val="49"/>
                    <w:keepNext w:val="0"/>
                    <w:keepLines w:val="0"/>
                    <w:suppressLineNumbers w:val="0"/>
                    <w:spacing w:before="0" w:beforeAutospacing="0" w:after="0" w:afterAutospacing="0" w:line="240" w:lineRule="auto"/>
                    <w:ind w:left="0" w:right="0"/>
                    <w:jc w:val="center"/>
                    <w:rPr>
                      <w:rFonts w:hint="default"/>
                      <w:bCs/>
                      <w:u w:val="none"/>
                    </w:rPr>
                  </w:pPr>
                  <w:r>
                    <w:rPr>
                      <w:rFonts w:hint="default"/>
                      <w:u w:val="none"/>
                    </w:rPr>
                    <w:t>3</w:t>
                  </w:r>
                </w:p>
              </w:tc>
              <w:tc>
                <w:tcPr>
                  <w:tcW w:w="368" w:type="pct"/>
                  <w:vMerge w:val="continue"/>
                  <w:tcBorders>
                    <w:tl2br w:val="nil"/>
                    <w:tr2bl w:val="nil"/>
                  </w:tcBorders>
                  <w:vAlign w:val="center"/>
                </w:tcPr>
                <w:p w14:paraId="666BA71F">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456" w:type="pct"/>
                  <w:tcBorders>
                    <w:tl2br w:val="nil"/>
                    <w:tr2bl w:val="nil"/>
                  </w:tcBorders>
                  <w:vAlign w:val="center"/>
                </w:tcPr>
                <w:p w14:paraId="7472ABDD">
                  <w:pPr>
                    <w:pStyle w:val="49"/>
                    <w:keepNext w:val="0"/>
                    <w:keepLines w:val="0"/>
                    <w:suppressLineNumbers w:val="0"/>
                    <w:spacing w:before="0" w:beforeAutospacing="0" w:after="0" w:afterAutospacing="0" w:line="240" w:lineRule="auto"/>
                    <w:ind w:left="0" w:right="0"/>
                    <w:jc w:val="center"/>
                    <w:rPr>
                      <w:rFonts w:hint="default"/>
                      <w:bCs/>
                      <w:u w:val="none"/>
                    </w:rPr>
                  </w:pPr>
                  <w:r>
                    <w:rPr>
                      <w:rFonts w:hint="eastAsia"/>
                      <w:bCs/>
                      <w:u w:val="none"/>
                      <w:lang w:val="en-US" w:eastAsia="zh-CN"/>
                    </w:rPr>
                    <w:t>包装机</w:t>
                  </w:r>
                </w:p>
              </w:tc>
              <w:tc>
                <w:tcPr>
                  <w:tcW w:w="292" w:type="pct"/>
                  <w:tcBorders>
                    <w:tl2br w:val="nil"/>
                    <w:tr2bl w:val="nil"/>
                  </w:tcBorders>
                  <w:vAlign w:val="center"/>
                </w:tcPr>
                <w:p w14:paraId="1901566B">
                  <w:pPr>
                    <w:keepNext w:val="0"/>
                    <w:keepLines w:val="0"/>
                    <w:suppressLineNumbers w:val="0"/>
                    <w:adjustRightInd w:val="0"/>
                    <w:spacing w:before="0" w:beforeAutospacing="0" w:after="0" w:afterAutospacing="0"/>
                    <w:ind w:left="-63" w:leftChars="-30" w:right="-63" w:rightChars="-30"/>
                    <w:jc w:val="center"/>
                    <w:rPr>
                      <w:rFonts w:hint="default"/>
                      <w:szCs w:val="21"/>
                      <w:u w:val="none"/>
                    </w:rPr>
                  </w:pPr>
                  <w:r>
                    <w:rPr>
                      <w:rFonts w:hint="eastAsia"/>
                      <w:szCs w:val="21"/>
                      <w:u w:val="none"/>
                      <w:lang w:val="en-US" w:eastAsia="zh-CN"/>
                    </w:rPr>
                    <w:t>4</w:t>
                  </w:r>
                  <w:r>
                    <w:rPr>
                      <w:rFonts w:hint="default"/>
                      <w:szCs w:val="21"/>
                      <w:u w:val="none"/>
                    </w:rPr>
                    <w:t>台</w:t>
                  </w:r>
                </w:p>
              </w:tc>
              <w:tc>
                <w:tcPr>
                  <w:tcW w:w="279" w:type="pct"/>
                  <w:tcBorders>
                    <w:tl2br w:val="nil"/>
                    <w:tr2bl w:val="nil"/>
                  </w:tcBorders>
                  <w:vAlign w:val="center"/>
                </w:tcPr>
                <w:p w14:paraId="4A383414">
                  <w:pPr>
                    <w:keepNext w:val="0"/>
                    <w:keepLines w:val="0"/>
                    <w:suppressLineNumbers w:val="0"/>
                    <w:adjustRightInd w:val="0"/>
                    <w:spacing w:before="0" w:beforeAutospacing="0" w:after="0" w:afterAutospacing="0"/>
                    <w:ind w:left="-63" w:leftChars="-30" w:right="-63" w:rightChars="-30"/>
                    <w:jc w:val="center"/>
                    <w:rPr>
                      <w:rFonts w:hint="default"/>
                      <w:szCs w:val="21"/>
                      <w:u w:val="none"/>
                    </w:rPr>
                  </w:pPr>
                  <w:r>
                    <w:rPr>
                      <w:rFonts w:hint="default"/>
                      <w:bCs/>
                      <w:szCs w:val="21"/>
                      <w:u w:val="none"/>
                    </w:rPr>
                    <w:t>/</w:t>
                  </w:r>
                </w:p>
              </w:tc>
              <w:tc>
                <w:tcPr>
                  <w:tcW w:w="418" w:type="pct"/>
                  <w:tcBorders>
                    <w:tl2br w:val="nil"/>
                    <w:tr2bl w:val="nil"/>
                  </w:tcBorders>
                  <w:vAlign w:val="center"/>
                </w:tcPr>
                <w:p w14:paraId="7142204F">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80</w:t>
                  </w:r>
                </w:p>
              </w:tc>
              <w:tc>
                <w:tcPr>
                  <w:tcW w:w="383" w:type="pct"/>
                  <w:vMerge w:val="continue"/>
                  <w:tcBorders>
                    <w:tl2br w:val="nil"/>
                    <w:tr2bl w:val="nil"/>
                  </w:tcBorders>
                  <w:vAlign w:val="center"/>
                </w:tcPr>
                <w:p w14:paraId="500ECDAC">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79" w:type="pct"/>
                  <w:tcBorders>
                    <w:tl2br w:val="nil"/>
                    <w:tr2bl w:val="nil"/>
                  </w:tcBorders>
                  <w:vAlign w:val="center"/>
                </w:tcPr>
                <w:p w14:paraId="099B024D">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18.45</w:t>
                  </w:r>
                </w:p>
              </w:tc>
              <w:tc>
                <w:tcPr>
                  <w:tcW w:w="338" w:type="pct"/>
                  <w:tcBorders>
                    <w:tl2br w:val="nil"/>
                    <w:tr2bl w:val="nil"/>
                  </w:tcBorders>
                  <w:vAlign w:val="center"/>
                </w:tcPr>
                <w:p w14:paraId="0A1AD070">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32.16</w:t>
                  </w:r>
                </w:p>
              </w:tc>
              <w:tc>
                <w:tcPr>
                  <w:tcW w:w="339" w:type="pct"/>
                  <w:tcBorders>
                    <w:tl2br w:val="nil"/>
                    <w:tr2bl w:val="nil"/>
                  </w:tcBorders>
                  <w:vAlign w:val="center"/>
                </w:tcPr>
                <w:p w14:paraId="5609EA5D">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14.66</w:t>
                  </w:r>
                </w:p>
              </w:tc>
              <w:tc>
                <w:tcPr>
                  <w:tcW w:w="338" w:type="pct"/>
                  <w:tcBorders>
                    <w:tl2br w:val="nil"/>
                    <w:tr2bl w:val="nil"/>
                  </w:tcBorders>
                  <w:vAlign w:val="center"/>
                </w:tcPr>
                <w:p w14:paraId="60BC9D47">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18.45</w:t>
                  </w:r>
                </w:p>
              </w:tc>
              <w:tc>
                <w:tcPr>
                  <w:tcW w:w="418" w:type="pct"/>
                  <w:vMerge w:val="continue"/>
                  <w:tcBorders>
                    <w:tl2br w:val="nil"/>
                    <w:tr2bl w:val="nil"/>
                  </w:tcBorders>
                  <w:vAlign w:val="center"/>
                </w:tcPr>
                <w:p w14:paraId="384A05B2">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p>
              </w:tc>
              <w:tc>
                <w:tcPr>
                  <w:tcW w:w="340" w:type="pct"/>
                  <w:vMerge w:val="continue"/>
                  <w:tcBorders>
                    <w:tl2br w:val="nil"/>
                    <w:tr2bl w:val="nil"/>
                  </w:tcBorders>
                  <w:vAlign w:val="center"/>
                </w:tcPr>
                <w:p w14:paraId="372DA742">
                  <w:pPr>
                    <w:keepNext w:val="0"/>
                    <w:keepLines w:val="0"/>
                    <w:widowControl/>
                    <w:suppressLineNumbers w:val="0"/>
                    <w:adjustRightInd w:val="0"/>
                    <w:spacing w:before="0" w:beforeAutospacing="0" w:after="0" w:afterAutospacing="0"/>
                    <w:ind w:left="-105" w:leftChars="-50" w:right="-105" w:rightChars="-50"/>
                    <w:jc w:val="center"/>
                    <w:rPr>
                      <w:rFonts w:hint="default"/>
                      <w:bCs/>
                      <w:szCs w:val="21"/>
                      <w:u w:val="none"/>
                    </w:rPr>
                  </w:pPr>
                </w:p>
              </w:tc>
              <w:tc>
                <w:tcPr>
                  <w:tcW w:w="391" w:type="pct"/>
                  <w:vMerge w:val="continue"/>
                  <w:tcBorders>
                    <w:tl2br w:val="nil"/>
                    <w:tr2bl w:val="nil"/>
                  </w:tcBorders>
                  <w:vAlign w:val="center"/>
                </w:tcPr>
                <w:p w14:paraId="0603E721">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r>
            <w:tr w14:paraId="59DD03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14:paraId="115F39A2">
                  <w:pPr>
                    <w:pStyle w:val="49"/>
                    <w:keepNext w:val="0"/>
                    <w:keepLines w:val="0"/>
                    <w:suppressLineNumbers w:val="0"/>
                    <w:spacing w:before="0" w:beforeAutospacing="0" w:after="0" w:afterAutospacing="0" w:line="240" w:lineRule="auto"/>
                    <w:ind w:left="0" w:right="0"/>
                    <w:jc w:val="center"/>
                    <w:rPr>
                      <w:rFonts w:hint="default"/>
                      <w:bCs/>
                      <w:u w:val="none"/>
                    </w:rPr>
                  </w:pPr>
                  <w:r>
                    <w:rPr>
                      <w:rFonts w:hint="default"/>
                      <w:u w:val="none"/>
                    </w:rPr>
                    <w:t>4</w:t>
                  </w:r>
                </w:p>
              </w:tc>
              <w:tc>
                <w:tcPr>
                  <w:tcW w:w="368" w:type="pct"/>
                  <w:vMerge w:val="restart"/>
                  <w:tcBorders>
                    <w:tl2br w:val="nil"/>
                    <w:tr2bl w:val="nil"/>
                  </w:tcBorders>
                  <w:vAlign w:val="center"/>
                </w:tcPr>
                <w:p w14:paraId="534EF018">
                  <w:pPr>
                    <w:keepNext w:val="0"/>
                    <w:keepLines w:val="0"/>
                    <w:suppressLineNumbers w:val="0"/>
                    <w:adjustRightInd w:val="0"/>
                    <w:spacing w:before="0" w:beforeAutospacing="0" w:after="0" w:afterAutospacing="0"/>
                    <w:ind w:left="-63" w:leftChars="-30" w:right="-63" w:rightChars="-30"/>
                    <w:jc w:val="center"/>
                    <w:rPr>
                      <w:rFonts w:hint="eastAsia" w:eastAsia="宋体"/>
                      <w:bCs/>
                      <w:szCs w:val="21"/>
                      <w:u w:val="none"/>
                      <w:lang w:val="en-US" w:eastAsia="zh-CN"/>
                    </w:rPr>
                  </w:pPr>
                  <w:r>
                    <w:rPr>
                      <w:rFonts w:hint="eastAsia"/>
                      <w:bCs/>
                      <w:szCs w:val="21"/>
                      <w:u w:val="none"/>
                      <w:lang w:val="en-US" w:eastAsia="zh-CN"/>
                    </w:rPr>
                    <w:t>锅炉房</w:t>
                  </w:r>
                </w:p>
              </w:tc>
              <w:tc>
                <w:tcPr>
                  <w:tcW w:w="456" w:type="pct"/>
                  <w:tcBorders>
                    <w:tl2br w:val="nil"/>
                    <w:tr2bl w:val="nil"/>
                  </w:tcBorders>
                  <w:vAlign w:val="center"/>
                </w:tcPr>
                <w:p w14:paraId="411E8B38">
                  <w:pPr>
                    <w:pStyle w:val="49"/>
                    <w:keepNext w:val="0"/>
                    <w:keepLines w:val="0"/>
                    <w:suppressLineNumbers w:val="0"/>
                    <w:spacing w:before="0" w:beforeAutospacing="0" w:after="0" w:afterAutospacing="0" w:line="240" w:lineRule="auto"/>
                    <w:ind w:left="0" w:right="0"/>
                    <w:jc w:val="center"/>
                    <w:rPr>
                      <w:rFonts w:hint="default" w:eastAsia="宋体"/>
                      <w:bCs/>
                      <w:u w:val="none"/>
                      <w:lang w:val="en-US" w:eastAsia="zh-CN"/>
                    </w:rPr>
                  </w:pPr>
                  <w:r>
                    <w:rPr>
                      <w:rFonts w:hint="eastAsia"/>
                      <w:bCs/>
                      <w:u w:val="none"/>
                      <w:lang w:val="en-US" w:eastAsia="zh-CN"/>
                    </w:rPr>
                    <w:t>引风机</w:t>
                  </w:r>
                </w:p>
              </w:tc>
              <w:tc>
                <w:tcPr>
                  <w:tcW w:w="292" w:type="pct"/>
                  <w:tcBorders>
                    <w:tl2br w:val="nil"/>
                    <w:tr2bl w:val="nil"/>
                  </w:tcBorders>
                  <w:vAlign w:val="center"/>
                </w:tcPr>
                <w:p w14:paraId="16CCAC53">
                  <w:pPr>
                    <w:keepNext w:val="0"/>
                    <w:keepLines w:val="0"/>
                    <w:suppressLineNumbers w:val="0"/>
                    <w:adjustRightInd w:val="0"/>
                    <w:spacing w:before="0" w:beforeAutospacing="0" w:after="0" w:afterAutospacing="0"/>
                    <w:ind w:left="-63" w:leftChars="-30" w:right="-63" w:rightChars="-30"/>
                    <w:jc w:val="center"/>
                    <w:rPr>
                      <w:rFonts w:hint="default"/>
                      <w:szCs w:val="21"/>
                      <w:u w:val="none"/>
                    </w:rPr>
                  </w:pPr>
                  <w:r>
                    <w:rPr>
                      <w:rFonts w:hint="eastAsia"/>
                      <w:u w:val="none"/>
                      <w:lang w:val="en-US" w:eastAsia="zh-CN"/>
                    </w:rPr>
                    <w:t>1</w:t>
                  </w:r>
                  <w:r>
                    <w:rPr>
                      <w:rFonts w:hint="default"/>
                      <w:u w:val="none"/>
                    </w:rPr>
                    <w:t>台</w:t>
                  </w:r>
                </w:p>
              </w:tc>
              <w:tc>
                <w:tcPr>
                  <w:tcW w:w="279" w:type="pct"/>
                  <w:tcBorders>
                    <w:tl2br w:val="nil"/>
                    <w:tr2bl w:val="nil"/>
                  </w:tcBorders>
                  <w:vAlign w:val="center"/>
                </w:tcPr>
                <w:p w14:paraId="470A2132">
                  <w:pPr>
                    <w:keepNext w:val="0"/>
                    <w:keepLines w:val="0"/>
                    <w:suppressLineNumbers w:val="0"/>
                    <w:adjustRightInd w:val="0"/>
                    <w:spacing w:before="0" w:beforeAutospacing="0" w:after="0" w:afterAutospacing="0"/>
                    <w:ind w:left="-63" w:leftChars="-30" w:right="-63" w:rightChars="-30"/>
                    <w:jc w:val="center"/>
                    <w:rPr>
                      <w:rFonts w:hint="default"/>
                      <w:szCs w:val="21"/>
                      <w:u w:val="none"/>
                    </w:rPr>
                  </w:pPr>
                  <w:r>
                    <w:rPr>
                      <w:rFonts w:hint="default"/>
                      <w:szCs w:val="21"/>
                      <w:u w:val="none"/>
                    </w:rPr>
                    <w:t>/</w:t>
                  </w:r>
                </w:p>
              </w:tc>
              <w:tc>
                <w:tcPr>
                  <w:tcW w:w="418" w:type="pct"/>
                  <w:tcBorders>
                    <w:tl2br w:val="nil"/>
                    <w:tr2bl w:val="nil"/>
                  </w:tcBorders>
                  <w:vAlign w:val="center"/>
                </w:tcPr>
                <w:p w14:paraId="05126395">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85</w:t>
                  </w:r>
                </w:p>
              </w:tc>
              <w:tc>
                <w:tcPr>
                  <w:tcW w:w="383" w:type="pct"/>
                  <w:vMerge w:val="continue"/>
                  <w:tcBorders>
                    <w:tl2br w:val="nil"/>
                    <w:tr2bl w:val="nil"/>
                  </w:tcBorders>
                  <w:vAlign w:val="center"/>
                </w:tcPr>
                <w:p w14:paraId="2A277739">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79" w:type="pct"/>
                  <w:tcBorders>
                    <w:tl2br w:val="nil"/>
                    <w:tr2bl w:val="nil"/>
                  </w:tcBorders>
                  <w:vAlign w:val="center"/>
                </w:tcPr>
                <w:p w14:paraId="5C711DD2">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-4.78</w:t>
                  </w:r>
                </w:p>
              </w:tc>
              <w:tc>
                <w:tcPr>
                  <w:tcW w:w="338" w:type="pct"/>
                  <w:tcBorders>
                    <w:tl2br w:val="nil"/>
                    <w:tr2bl w:val="nil"/>
                  </w:tcBorders>
                  <w:vAlign w:val="center"/>
                </w:tcPr>
                <w:p w14:paraId="4DDC5618">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11.08</w:t>
                  </w:r>
                </w:p>
              </w:tc>
              <w:tc>
                <w:tcPr>
                  <w:tcW w:w="339" w:type="pct"/>
                  <w:tcBorders>
                    <w:tl2br w:val="nil"/>
                    <w:tr2bl w:val="nil"/>
                  </w:tcBorders>
                  <w:vAlign w:val="center"/>
                </w:tcPr>
                <w:p w14:paraId="6550F28E">
                  <w:pPr>
                    <w:keepNext w:val="0"/>
                    <w:keepLines w:val="0"/>
                    <w:suppressLineNumbers w:val="0"/>
                    <w:adjustRightInd w:val="0"/>
                    <w:spacing w:before="0" w:beforeAutospacing="0" w:after="0" w:afterAutospacing="0"/>
                    <w:ind w:left="-63" w:leftChars="-30" w:right="-63" w:rightChars="-30"/>
                    <w:jc w:val="center"/>
                    <w:rPr>
                      <w:rFonts w:hint="eastAsia" w:eastAsia="宋体"/>
                      <w:bCs/>
                      <w:szCs w:val="21"/>
                      <w:u w:val="none"/>
                      <w:lang w:val="en-US" w:eastAsia="zh-CN"/>
                    </w:rPr>
                  </w:pPr>
                  <w:r>
                    <w:rPr>
                      <w:rFonts w:hint="eastAsia"/>
                      <w:bCs/>
                      <w:szCs w:val="21"/>
                      <w:u w:val="none"/>
                      <w:lang w:val="en-US" w:eastAsia="zh-CN"/>
                    </w:rPr>
                    <w:t>4</w:t>
                  </w:r>
                </w:p>
              </w:tc>
              <w:tc>
                <w:tcPr>
                  <w:tcW w:w="338" w:type="pct"/>
                  <w:tcBorders>
                    <w:tl2br w:val="nil"/>
                    <w:tr2bl w:val="nil"/>
                  </w:tcBorders>
                  <w:vAlign w:val="center"/>
                </w:tcPr>
                <w:p w14:paraId="3D64501A">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4.78</w:t>
                  </w:r>
                </w:p>
              </w:tc>
              <w:tc>
                <w:tcPr>
                  <w:tcW w:w="418" w:type="pct"/>
                  <w:vMerge w:val="restart"/>
                  <w:tcBorders>
                    <w:tl2br w:val="nil"/>
                    <w:tr2bl w:val="nil"/>
                  </w:tcBorders>
                  <w:vAlign w:val="center"/>
                </w:tcPr>
                <w:p w14:paraId="72956148">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68.74</w:t>
                  </w:r>
                </w:p>
              </w:tc>
              <w:tc>
                <w:tcPr>
                  <w:tcW w:w="340" w:type="pct"/>
                  <w:vMerge w:val="continue"/>
                  <w:tcBorders>
                    <w:tl2br w:val="nil"/>
                    <w:tr2bl w:val="nil"/>
                  </w:tcBorders>
                  <w:vAlign w:val="center"/>
                </w:tcPr>
                <w:p w14:paraId="67171931">
                  <w:pPr>
                    <w:keepNext w:val="0"/>
                    <w:keepLines w:val="0"/>
                    <w:widowControl/>
                    <w:suppressLineNumbers w:val="0"/>
                    <w:adjustRightInd w:val="0"/>
                    <w:spacing w:before="0" w:beforeAutospacing="0" w:after="0" w:afterAutospacing="0"/>
                    <w:ind w:left="-105" w:leftChars="-50" w:right="-105" w:rightChars="-50"/>
                    <w:jc w:val="center"/>
                    <w:rPr>
                      <w:rFonts w:hint="default"/>
                      <w:bCs/>
                      <w:szCs w:val="21"/>
                      <w:u w:val="none"/>
                    </w:rPr>
                  </w:pPr>
                </w:p>
              </w:tc>
              <w:tc>
                <w:tcPr>
                  <w:tcW w:w="391" w:type="pct"/>
                  <w:vMerge w:val="restart"/>
                  <w:tcBorders>
                    <w:tl2br w:val="nil"/>
                    <w:tr2bl w:val="nil"/>
                  </w:tcBorders>
                  <w:vAlign w:val="center"/>
                </w:tcPr>
                <w:p w14:paraId="4FF0A469">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25</w:t>
                  </w:r>
                </w:p>
              </w:tc>
            </w:tr>
            <w:tr w14:paraId="4F2B39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14:paraId="6110CD3F">
                  <w:pPr>
                    <w:pStyle w:val="49"/>
                    <w:keepNext w:val="0"/>
                    <w:keepLines w:val="0"/>
                    <w:suppressLineNumbers w:val="0"/>
                    <w:spacing w:before="0" w:beforeAutospacing="0" w:after="0" w:afterAutospacing="0" w:line="240" w:lineRule="auto"/>
                    <w:ind w:left="0" w:right="0"/>
                    <w:jc w:val="center"/>
                    <w:rPr>
                      <w:rFonts w:hint="default"/>
                      <w:u w:val="none"/>
                    </w:rPr>
                  </w:pPr>
                </w:p>
              </w:tc>
              <w:tc>
                <w:tcPr>
                  <w:tcW w:w="368" w:type="pct"/>
                  <w:vMerge w:val="continue"/>
                  <w:tcBorders>
                    <w:tl2br w:val="nil"/>
                    <w:tr2bl w:val="nil"/>
                  </w:tcBorders>
                  <w:vAlign w:val="center"/>
                </w:tcPr>
                <w:p w14:paraId="75130E91">
                  <w:pPr>
                    <w:keepNext w:val="0"/>
                    <w:keepLines w:val="0"/>
                    <w:suppressLineNumbers w:val="0"/>
                    <w:adjustRightInd w:val="0"/>
                    <w:spacing w:before="0" w:beforeAutospacing="0" w:after="0" w:afterAutospacing="0"/>
                    <w:ind w:left="-63" w:leftChars="-30" w:right="-63" w:rightChars="-30"/>
                    <w:jc w:val="center"/>
                    <w:rPr>
                      <w:rFonts w:hint="eastAsia"/>
                      <w:bCs/>
                      <w:szCs w:val="21"/>
                      <w:u w:val="none"/>
                      <w:lang w:val="en-US" w:eastAsia="zh-CN"/>
                    </w:rPr>
                  </w:pPr>
                </w:p>
              </w:tc>
              <w:tc>
                <w:tcPr>
                  <w:tcW w:w="456" w:type="pct"/>
                  <w:tcBorders>
                    <w:tl2br w:val="nil"/>
                    <w:tr2bl w:val="nil"/>
                  </w:tcBorders>
                  <w:vAlign w:val="center"/>
                </w:tcPr>
                <w:p w14:paraId="614D694F">
                  <w:pPr>
                    <w:pStyle w:val="49"/>
                    <w:keepNext w:val="0"/>
                    <w:keepLines w:val="0"/>
                    <w:suppressLineNumbers w:val="0"/>
                    <w:spacing w:before="0" w:beforeAutospacing="0" w:after="0" w:afterAutospacing="0" w:line="240" w:lineRule="auto"/>
                    <w:ind w:left="0" w:right="0"/>
                    <w:jc w:val="center"/>
                    <w:rPr>
                      <w:rFonts w:hint="default"/>
                      <w:bCs/>
                      <w:u w:val="none"/>
                      <w:lang w:val="en-US" w:eastAsia="zh-CN"/>
                    </w:rPr>
                  </w:pPr>
                  <w:r>
                    <w:rPr>
                      <w:rFonts w:hint="eastAsia"/>
                      <w:bCs/>
                      <w:u w:val="none"/>
                      <w:lang w:val="en-US" w:eastAsia="zh-CN"/>
                    </w:rPr>
                    <w:t>鼓风机</w:t>
                  </w:r>
                </w:p>
              </w:tc>
              <w:tc>
                <w:tcPr>
                  <w:tcW w:w="292" w:type="pct"/>
                  <w:tcBorders>
                    <w:tl2br w:val="nil"/>
                    <w:tr2bl w:val="nil"/>
                  </w:tcBorders>
                  <w:vAlign w:val="center"/>
                </w:tcPr>
                <w:p w14:paraId="5251EB89">
                  <w:pPr>
                    <w:keepNext w:val="0"/>
                    <w:keepLines w:val="0"/>
                    <w:suppressLineNumbers w:val="0"/>
                    <w:adjustRightInd w:val="0"/>
                    <w:spacing w:before="0" w:beforeAutospacing="0" w:after="0" w:afterAutospacing="0"/>
                    <w:ind w:left="-63" w:leftChars="-30" w:right="-63" w:rightChars="-30"/>
                    <w:jc w:val="center"/>
                    <w:rPr>
                      <w:rFonts w:hint="default"/>
                      <w:u w:val="none"/>
                      <w:lang w:val="en-US" w:eastAsia="zh-CN"/>
                    </w:rPr>
                  </w:pPr>
                  <w:r>
                    <w:rPr>
                      <w:rFonts w:hint="eastAsia"/>
                      <w:u w:val="none"/>
                      <w:lang w:val="en-US" w:eastAsia="zh-CN"/>
                    </w:rPr>
                    <w:t>1台</w:t>
                  </w:r>
                </w:p>
              </w:tc>
              <w:tc>
                <w:tcPr>
                  <w:tcW w:w="279" w:type="pct"/>
                  <w:tcBorders>
                    <w:tl2br w:val="nil"/>
                    <w:tr2bl w:val="nil"/>
                  </w:tcBorders>
                  <w:vAlign w:val="center"/>
                </w:tcPr>
                <w:p w14:paraId="5A8193A2">
                  <w:pPr>
                    <w:keepNext w:val="0"/>
                    <w:keepLines w:val="0"/>
                    <w:suppressLineNumbers w:val="0"/>
                    <w:adjustRightInd w:val="0"/>
                    <w:spacing w:before="0" w:beforeAutospacing="0" w:after="0" w:afterAutospacing="0"/>
                    <w:ind w:left="-63" w:leftChars="-30" w:right="-63" w:rightChars="-30"/>
                    <w:jc w:val="center"/>
                    <w:rPr>
                      <w:rFonts w:hint="eastAsia" w:eastAsia="宋体"/>
                      <w:szCs w:val="21"/>
                      <w:u w:val="none"/>
                      <w:lang w:val="en-US" w:eastAsia="zh-CN"/>
                    </w:rPr>
                  </w:pPr>
                  <w:r>
                    <w:rPr>
                      <w:rFonts w:hint="eastAsia"/>
                      <w:szCs w:val="21"/>
                      <w:u w:val="none"/>
                      <w:lang w:val="en-US" w:eastAsia="zh-CN"/>
                    </w:rPr>
                    <w:t>/</w:t>
                  </w:r>
                </w:p>
              </w:tc>
              <w:tc>
                <w:tcPr>
                  <w:tcW w:w="418" w:type="pct"/>
                  <w:tcBorders>
                    <w:tl2br w:val="nil"/>
                    <w:tr2bl w:val="nil"/>
                  </w:tcBorders>
                  <w:vAlign w:val="center"/>
                </w:tcPr>
                <w:p w14:paraId="29FDD2B2">
                  <w:pPr>
                    <w:keepNext w:val="0"/>
                    <w:keepLines w:val="0"/>
                    <w:suppressLineNumbers w:val="0"/>
                    <w:adjustRightInd w:val="0"/>
                    <w:spacing w:before="0" w:beforeAutospacing="0" w:after="0" w:afterAutospacing="0"/>
                    <w:ind w:left="-63" w:leftChars="-30" w:right="-63" w:rightChars="-30"/>
                    <w:jc w:val="center"/>
                    <w:rPr>
                      <w:rFonts w:hint="default"/>
                      <w:bCs/>
                      <w:szCs w:val="21"/>
                      <w:u w:val="none"/>
                      <w:lang w:val="en-US" w:eastAsia="zh-CN"/>
                    </w:rPr>
                  </w:pPr>
                  <w:r>
                    <w:rPr>
                      <w:rFonts w:hint="eastAsia"/>
                      <w:bCs/>
                      <w:szCs w:val="21"/>
                      <w:u w:val="none"/>
                      <w:lang w:val="en-US" w:eastAsia="zh-CN"/>
                    </w:rPr>
                    <w:t>85</w:t>
                  </w:r>
                </w:p>
              </w:tc>
              <w:tc>
                <w:tcPr>
                  <w:tcW w:w="383" w:type="pct"/>
                  <w:vMerge w:val="continue"/>
                  <w:tcBorders>
                    <w:tl2br w:val="nil"/>
                    <w:tr2bl w:val="nil"/>
                  </w:tcBorders>
                  <w:vAlign w:val="center"/>
                </w:tcPr>
                <w:p w14:paraId="0A1BB497">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79" w:type="pct"/>
                  <w:tcBorders>
                    <w:tl2br w:val="nil"/>
                    <w:tr2bl w:val="nil"/>
                  </w:tcBorders>
                  <w:vAlign w:val="center"/>
                </w:tcPr>
                <w:p w14:paraId="4049BA88">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-14.60</w:t>
                  </w:r>
                </w:p>
              </w:tc>
              <w:tc>
                <w:tcPr>
                  <w:tcW w:w="338" w:type="pct"/>
                  <w:tcBorders>
                    <w:tl2br w:val="nil"/>
                    <w:tr2bl w:val="nil"/>
                  </w:tcBorders>
                  <w:vAlign w:val="center"/>
                </w:tcPr>
                <w:p w14:paraId="19B3406C">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8.96</w:t>
                  </w:r>
                </w:p>
              </w:tc>
              <w:tc>
                <w:tcPr>
                  <w:tcW w:w="339" w:type="pct"/>
                  <w:tcBorders>
                    <w:tl2br w:val="nil"/>
                    <w:tr2bl w:val="nil"/>
                  </w:tcBorders>
                  <w:vAlign w:val="center"/>
                </w:tcPr>
                <w:p w14:paraId="119F7DEB">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w:t>
                  </w:r>
                </w:p>
              </w:tc>
              <w:tc>
                <w:tcPr>
                  <w:tcW w:w="338" w:type="pct"/>
                  <w:tcBorders>
                    <w:tl2br w:val="nil"/>
                    <w:tr2bl w:val="nil"/>
                  </w:tcBorders>
                  <w:vAlign w:val="center"/>
                </w:tcPr>
                <w:p w14:paraId="7A8125E6">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14.60</w:t>
                  </w:r>
                </w:p>
              </w:tc>
              <w:tc>
                <w:tcPr>
                  <w:tcW w:w="418" w:type="pct"/>
                  <w:vMerge w:val="continue"/>
                  <w:tcBorders>
                    <w:tl2br w:val="nil"/>
                    <w:tr2bl w:val="nil"/>
                  </w:tcBorders>
                  <w:vAlign w:val="center"/>
                </w:tcPr>
                <w:p w14:paraId="774F8805">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p>
              </w:tc>
              <w:tc>
                <w:tcPr>
                  <w:tcW w:w="340" w:type="pct"/>
                  <w:vMerge w:val="continue"/>
                  <w:tcBorders>
                    <w:tl2br w:val="nil"/>
                    <w:tr2bl w:val="nil"/>
                  </w:tcBorders>
                  <w:vAlign w:val="center"/>
                </w:tcPr>
                <w:p w14:paraId="3D20C23E">
                  <w:pPr>
                    <w:keepNext w:val="0"/>
                    <w:keepLines w:val="0"/>
                    <w:widowControl/>
                    <w:suppressLineNumbers w:val="0"/>
                    <w:adjustRightInd w:val="0"/>
                    <w:spacing w:before="0" w:beforeAutospacing="0" w:after="0" w:afterAutospacing="0"/>
                    <w:ind w:left="-105" w:leftChars="-50" w:right="-105" w:rightChars="-50"/>
                    <w:jc w:val="center"/>
                    <w:rPr>
                      <w:rFonts w:hint="default"/>
                      <w:bCs/>
                      <w:szCs w:val="21"/>
                      <w:u w:val="none"/>
                    </w:rPr>
                  </w:pPr>
                </w:p>
              </w:tc>
              <w:tc>
                <w:tcPr>
                  <w:tcW w:w="391" w:type="pct"/>
                  <w:vMerge w:val="continue"/>
                  <w:tcBorders>
                    <w:tl2br w:val="nil"/>
                    <w:tr2bl w:val="nil"/>
                  </w:tcBorders>
                  <w:vAlign w:val="center"/>
                </w:tcPr>
                <w:p w14:paraId="609B642F">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p>
              </w:tc>
            </w:tr>
            <w:tr w14:paraId="3F379F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6" w:type="pct"/>
                  <w:tcBorders>
                    <w:tl2br w:val="nil"/>
                    <w:tr2bl w:val="nil"/>
                  </w:tcBorders>
                  <w:vAlign w:val="center"/>
                </w:tcPr>
                <w:p w14:paraId="50319F61">
                  <w:pPr>
                    <w:pStyle w:val="49"/>
                    <w:keepNext w:val="0"/>
                    <w:keepLines w:val="0"/>
                    <w:suppressLineNumbers w:val="0"/>
                    <w:spacing w:before="0" w:beforeAutospacing="0" w:after="0" w:afterAutospacing="0" w:line="240" w:lineRule="auto"/>
                    <w:ind w:left="0" w:right="0"/>
                    <w:jc w:val="center"/>
                    <w:rPr>
                      <w:rFonts w:hint="default" w:eastAsia="宋体"/>
                      <w:u w:val="none"/>
                      <w:lang w:val="en-US" w:eastAsia="zh-CN"/>
                    </w:rPr>
                  </w:pPr>
                  <w:r>
                    <w:rPr>
                      <w:rFonts w:hint="eastAsia"/>
                      <w:u w:val="none"/>
                      <w:lang w:val="en-US" w:eastAsia="zh-CN"/>
                    </w:rPr>
                    <w:t>5</w:t>
                  </w:r>
                </w:p>
              </w:tc>
              <w:tc>
                <w:tcPr>
                  <w:tcW w:w="368" w:type="pct"/>
                  <w:vMerge w:val="continue"/>
                  <w:tcBorders>
                    <w:tl2br w:val="nil"/>
                    <w:tr2bl w:val="nil"/>
                  </w:tcBorders>
                  <w:vAlign w:val="center"/>
                </w:tcPr>
                <w:p w14:paraId="45C6230F">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456" w:type="pct"/>
                  <w:tcBorders>
                    <w:tl2br w:val="nil"/>
                    <w:tr2bl w:val="nil"/>
                  </w:tcBorders>
                  <w:vAlign w:val="center"/>
                </w:tcPr>
                <w:p w14:paraId="41399F75">
                  <w:pPr>
                    <w:pStyle w:val="49"/>
                    <w:keepNext w:val="0"/>
                    <w:keepLines w:val="0"/>
                    <w:suppressLineNumbers w:val="0"/>
                    <w:spacing w:before="0" w:beforeAutospacing="0" w:after="0" w:afterAutospacing="0" w:line="240" w:lineRule="auto"/>
                    <w:ind w:left="0" w:right="0"/>
                    <w:jc w:val="center"/>
                    <w:rPr>
                      <w:rFonts w:hint="default"/>
                      <w:bCs/>
                      <w:u w:val="none"/>
                      <w:lang w:val="en-US" w:eastAsia="zh-CN"/>
                    </w:rPr>
                  </w:pPr>
                  <w:r>
                    <w:rPr>
                      <w:rFonts w:hint="eastAsia"/>
                      <w:bCs/>
                      <w:u w:val="none"/>
                      <w:lang w:val="en-US" w:eastAsia="zh-CN"/>
                    </w:rPr>
                    <w:t>泵</w:t>
                  </w:r>
                </w:p>
              </w:tc>
              <w:tc>
                <w:tcPr>
                  <w:tcW w:w="292" w:type="pct"/>
                  <w:tcBorders>
                    <w:tl2br w:val="nil"/>
                    <w:tr2bl w:val="nil"/>
                  </w:tcBorders>
                  <w:vAlign w:val="center"/>
                </w:tcPr>
                <w:p w14:paraId="77A9F81F">
                  <w:pPr>
                    <w:keepNext w:val="0"/>
                    <w:keepLines w:val="0"/>
                    <w:suppressLineNumbers w:val="0"/>
                    <w:adjustRightInd w:val="0"/>
                    <w:spacing w:before="0" w:beforeAutospacing="0" w:after="0" w:afterAutospacing="0"/>
                    <w:ind w:left="-63" w:leftChars="-30" w:right="-63" w:rightChars="-30"/>
                    <w:jc w:val="center"/>
                    <w:rPr>
                      <w:rFonts w:hint="default"/>
                      <w:u w:val="none"/>
                      <w:lang w:val="en-US" w:eastAsia="zh-CN"/>
                    </w:rPr>
                  </w:pPr>
                  <w:r>
                    <w:rPr>
                      <w:rFonts w:hint="eastAsia"/>
                      <w:u w:val="none"/>
                      <w:lang w:val="en-US" w:eastAsia="zh-CN"/>
                    </w:rPr>
                    <w:t>3台</w:t>
                  </w:r>
                </w:p>
              </w:tc>
              <w:tc>
                <w:tcPr>
                  <w:tcW w:w="279" w:type="pct"/>
                  <w:tcBorders>
                    <w:tl2br w:val="nil"/>
                    <w:tr2bl w:val="nil"/>
                  </w:tcBorders>
                  <w:vAlign w:val="center"/>
                </w:tcPr>
                <w:p w14:paraId="2216FB04">
                  <w:pPr>
                    <w:keepNext w:val="0"/>
                    <w:keepLines w:val="0"/>
                    <w:suppressLineNumbers w:val="0"/>
                    <w:adjustRightInd w:val="0"/>
                    <w:spacing w:before="0" w:beforeAutospacing="0" w:after="0" w:afterAutospacing="0"/>
                    <w:ind w:left="-63" w:leftChars="-30" w:right="-63" w:rightChars="-30"/>
                    <w:jc w:val="center"/>
                    <w:rPr>
                      <w:rFonts w:hint="eastAsia" w:eastAsia="宋体"/>
                      <w:szCs w:val="21"/>
                      <w:u w:val="none"/>
                      <w:lang w:val="en-US" w:eastAsia="zh-CN"/>
                    </w:rPr>
                  </w:pPr>
                  <w:r>
                    <w:rPr>
                      <w:rFonts w:hint="eastAsia"/>
                      <w:szCs w:val="21"/>
                      <w:u w:val="none"/>
                      <w:lang w:val="en-US" w:eastAsia="zh-CN"/>
                    </w:rPr>
                    <w:t>/</w:t>
                  </w:r>
                </w:p>
              </w:tc>
              <w:tc>
                <w:tcPr>
                  <w:tcW w:w="418" w:type="pct"/>
                  <w:tcBorders>
                    <w:tl2br w:val="nil"/>
                    <w:tr2bl w:val="nil"/>
                  </w:tcBorders>
                  <w:vAlign w:val="center"/>
                </w:tcPr>
                <w:p w14:paraId="78FAEA5F">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85</w:t>
                  </w:r>
                </w:p>
              </w:tc>
              <w:tc>
                <w:tcPr>
                  <w:tcW w:w="383" w:type="pct"/>
                  <w:vMerge w:val="continue"/>
                  <w:tcBorders>
                    <w:tl2br w:val="nil"/>
                    <w:tr2bl w:val="nil"/>
                  </w:tcBorders>
                  <w:vAlign w:val="center"/>
                </w:tcPr>
                <w:p w14:paraId="3E7F2F6E">
                  <w:pPr>
                    <w:keepNext w:val="0"/>
                    <w:keepLines w:val="0"/>
                    <w:suppressLineNumbers w:val="0"/>
                    <w:adjustRightInd w:val="0"/>
                    <w:spacing w:before="0" w:beforeAutospacing="0" w:after="0" w:afterAutospacing="0"/>
                    <w:ind w:left="-63" w:leftChars="-30" w:right="-63" w:rightChars="-30"/>
                    <w:jc w:val="center"/>
                    <w:rPr>
                      <w:rFonts w:hint="default"/>
                      <w:bCs/>
                      <w:szCs w:val="21"/>
                      <w:u w:val="none"/>
                    </w:rPr>
                  </w:pPr>
                </w:p>
              </w:tc>
              <w:tc>
                <w:tcPr>
                  <w:tcW w:w="379" w:type="pct"/>
                  <w:tcBorders>
                    <w:tl2br w:val="nil"/>
                    <w:tr2bl w:val="nil"/>
                  </w:tcBorders>
                  <w:vAlign w:val="center"/>
                </w:tcPr>
                <w:p w14:paraId="3BF830D9">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-23.76</w:t>
                  </w:r>
                </w:p>
              </w:tc>
              <w:tc>
                <w:tcPr>
                  <w:tcW w:w="338" w:type="pct"/>
                  <w:tcBorders>
                    <w:tl2br w:val="nil"/>
                    <w:tr2bl w:val="nil"/>
                  </w:tcBorders>
                  <w:vAlign w:val="center"/>
                </w:tcPr>
                <w:p w14:paraId="6E25240D">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11.37</w:t>
                  </w:r>
                </w:p>
              </w:tc>
              <w:tc>
                <w:tcPr>
                  <w:tcW w:w="339" w:type="pct"/>
                  <w:tcBorders>
                    <w:tl2br w:val="nil"/>
                    <w:tr2bl w:val="nil"/>
                  </w:tcBorders>
                  <w:vAlign w:val="center"/>
                </w:tcPr>
                <w:p w14:paraId="2CAC9B2B">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0.5</w:t>
                  </w:r>
                </w:p>
              </w:tc>
              <w:tc>
                <w:tcPr>
                  <w:tcW w:w="338" w:type="pct"/>
                  <w:tcBorders>
                    <w:tl2br w:val="nil"/>
                    <w:tr2bl w:val="nil"/>
                  </w:tcBorders>
                  <w:vAlign w:val="center"/>
                </w:tcPr>
                <w:p w14:paraId="6519A425">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r>
                    <w:rPr>
                      <w:rFonts w:hint="eastAsia"/>
                      <w:bCs/>
                      <w:szCs w:val="21"/>
                      <w:u w:val="none"/>
                      <w:lang w:val="en-US" w:eastAsia="zh-CN"/>
                    </w:rPr>
                    <w:t>23.76</w:t>
                  </w:r>
                </w:p>
              </w:tc>
              <w:tc>
                <w:tcPr>
                  <w:tcW w:w="418" w:type="pct"/>
                  <w:vMerge w:val="continue"/>
                  <w:tcBorders>
                    <w:tl2br w:val="nil"/>
                    <w:tr2bl w:val="nil"/>
                  </w:tcBorders>
                  <w:vAlign w:val="center"/>
                </w:tcPr>
                <w:p w14:paraId="5E62259F">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p>
              </w:tc>
              <w:tc>
                <w:tcPr>
                  <w:tcW w:w="340" w:type="pct"/>
                  <w:vMerge w:val="continue"/>
                  <w:tcBorders>
                    <w:tl2br w:val="nil"/>
                    <w:tr2bl w:val="nil"/>
                  </w:tcBorders>
                  <w:vAlign w:val="center"/>
                </w:tcPr>
                <w:p w14:paraId="40CAC306">
                  <w:pPr>
                    <w:keepNext w:val="0"/>
                    <w:keepLines w:val="0"/>
                    <w:widowControl/>
                    <w:suppressLineNumbers w:val="0"/>
                    <w:adjustRightInd w:val="0"/>
                    <w:spacing w:before="0" w:beforeAutospacing="0" w:after="0" w:afterAutospacing="0"/>
                    <w:ind w:left="-105" w:leftChars="-50" w:right="-105" w:rightChars="-50"/>
                    <w:jc w:val="center"/>
                    <w:rPr>
                      <w:rFonts w:hint="default"/>
                      <w:bCs/>
                      <w:szCs w:val="21"/>
                      <w:u w:val="none"/>
                    </w:rPr>
                  </w:pPr>
                </w:p>
              </w:tc>
              <w:tc>
                <w:tcPr>
                  <w:tcW w:w="391" w:type="pct"/>
                  <w:vMerge w:val="continue"/>
                  <w:tcBorders>
                    <w:tl2br w:val="nil"/>
                    <w:tr2bl w:val="nil"/>
                  </w:tcBorders>
                  <w:vAlign w:val="center"/>
                </w:tcPr>
                <w:p w14:paraId="02F1AC59">
                  <w:pPr>
                    <w:keepNext w:val="0"/>
                    <w:keepLines w:val="0"/>
                    <w:suppressLineNumbers w:val="0"/>
                    <w:adjustRightInd w:val="0"/>
                    <w:spacing w:before="0" w:beforeAutospacing="0" w:after="0" w:afterAutospacing="0"/>
                    <w:ind w:left="-63" w:leftChars="-30" w:right="-63" w:rightChars="-30"/>
                    <w:jc w:val="center"/>
                    <w:rPr>
                      <w:rFonts w:hint="default" w:eastAsia="宋体"/>
                      <w:bCs/>
                      <w:szCs w:val="21"/>
                      <w:u w:val="none"/>
                      <w:lang w:val="en-US" w:eastAsia="zh-CN"/>
                    </w:rPr>
                  </w:pPr>
                </w:p>
              </w:tc>
            </w:tr>
          </w:tbl>
          <w:p w14:paraId="7FE76F0D">
            <w:pPr>
              <w:keepNext w:val="0"/>
              <w:keepLines w:val="0"/>
              <w:widowControl/>
              <w:suppressLineNumbers w:val="0"/>
              <w:adjustRightInd w:val="0"/>
              <w:snapToGrid w:val="0"/>
              <w:spacing w:before="157" w:beforeLines="50" w:beforeAutospacing="0" w:after="0" w:afterAutospacing="0" w:line="360" w:lineRule="auto"/>
              <w:ind w:left="0" w:right="0" w:firstLine="482" w:firstLineChars="200"/>
              <w:rPr>
                <w:rFonts w:hint="default"/>
                <w:b/>
                <w:bCs/>
                <w:sz w:val="24"/>
                <w:u w:val="none"/>
              </w:rPr>
            </w:pPr>
            <w:r>
              <w:rPr>
                <w:rFonts w:hint="default"/>
                <w:b/>
                <w:bCs/>
                <w:sz w:val="24"/>
                <w:u w:val="none"/>
              </w:rPr>
              <w:t>3.2噪声影响预测</w:t>
            </w:r>
          </w:p>
          <w:p w14:paraId="740A5F57">
            <w:pPr>
              <w:keepNext w:val="0"/>
              <w:keepLines w:val="0"/>
              <w:widowControl/>
              <w:suppressLineNumbers w:val="0"/>
              <w:spacing w:before="0" w:beforeAutospacing="0" w:after="0" w:afterAutospacing="0" w:line="360" w:lineRule="auto"/>
              <w:ind w:left="0" w:right="0" w:firstLine="480" w:firstLineChars="200"/>
              <w:rPr>
                <w:rFonts w:hint="default"/>
                <w:sz w:val="24"/>
                <w:u w:val="none"/>
              </w:rPr>
            </w:pPr>
            <w:r>
              <w:rPr>
                <w:rFonts w:hint="default"/>
                <w:sz w:val="24"/>
                <w:u w:val="none"/>
                <w:lang w:bidi="ar"/>
              </w:rPr>
              <w:t>（1）预测模式</w:t>
            </w:r>
          </w:p>
          <w:p w14:paraId="4881751E">
            <w:pPr>
              <w:keepNext w:val="0"/>
              <w:keepLines w:val="0"/>
              <w:widowControl/>
              <w:suppressLineNumbers w:val="0"/>
              <w:spacing w:before="0" w:beforeAutospacing="0" w:after="0" w:afterAutospacing="0" w:line="360" w:lineRule="auto"/>
              <w:ind w:left="0" w:right="0" w:firstLine="480" w:firstLineChars="200"/>
              <w:rPr>
                <w:rFonts w:hint="default"/>
                <w:sz w:val="24"/>
                <w:u w:val="none"/>
              </w:rPr>
            </w:pPr>
            <w:r>
              <w:rPr>
                <w:rFonts w:hint="default"/>
                <w:sz w:val="24"/>
                <w:u w:val="none"/>
                <w:lang w:bidi="ar"/>
              </w:rPr>
              <w:t>根据《环境影响评价技术导则 声环境》(HJ 2.4-2021</w:t>
            </w:r>
            <w:r>
              <w:rPr>
                <w:rFonts w:hint="eastAsia"/>
                <w:sz w:val="24"/>
                <w:u w:val="none"/>
                <w:lang w:bidi="ar"/>
              </w:rPr>
              <w:t>）</w:t>
            </w:r>
            <w:r>
              <w:rPr>
                <w:rFonts w:hint="default"/>
                <w:sz w:val="24"/>
                <w:u w:val="none"/>
                <w:lang w:bidi="ar"/>
              </w:rPr>
              <w:t>中工业噪声预测模式对项目噪声进行预测。</w:t>
            </w:r>
            <w:r>
              <w:rPr>
                <w:rFonts w:hint="default"/>
                <w:sz w:val="24"/>
                <w:u w:val="none"/>
              </w:rPr>
              <w:t>根据项目平面布局，结合各噪声设备的空间布置，通过空间距离衰减后，项目噪声排放对最近的厂界影响预测结果见下表。</w:t>
            </w:r>
          </w:p>
          <w:p w14:paraId="0FEDABB5">
            <w:pPr>
              <w:keepNext w:val="0"/>
              <w:keepLines w:val="0"/>
              <w:widowControl/>
              <w:suppressLineNumbers w:val="0"/>
              <w:autoSpaceDE w:val="0"/>
              <w:autoSpaceDN w:val="0"/>
              <w:adjustRightInd w:val="0"/>
              <w:snapToGrid w:val="0"/>
              <w:spacing w:before="0" w:beforeAutospacing="0" w:after="0" w:afterAutospacing="0" w:line="360" w:lineRule="auto"/>
              <w:ind w:left="0" w:right="0" w:firstLine="480" w:firstLineChars="200"/>
              <w:rPr>
                <w:rFonts w:hint="default"/>
                <w:sz w:val="24"/>
                <w:u w:val="none"/>
              </w:rPr>
            </w:pPr>
            <w:r>
              <w:rPr>
                <w:rFonts w:hint="default"/>
                <w:sz w:val="24"/>
                <w:u w:val="none"/>
              </w:rPr>
              <w:t>其预测结果见下表：</w:t>
            </w:r>
          </w:p>
          <w:p w14:paraId="0FBC8220">
            <w:pPr>
              <w:keepNext w:val="0"/>
              <w:keepLines w:val="0"/>
              <w:widowControl/>
              <w:suppressLineNumbers w:val="0"/>
              <w:autoSpaceDE w:val="0"/>
              <w:autoSpaceDN w:val="0"/>
              <w:adjustRightInd w:val="0"/>
              <w:snapToGrid w:val="0"/>
              <w:spacing w:before="0" w:beforeAutospacing="0" w:after="0" w:afterAutospacing="0" w:line="360" w:lineRule="auto"/>
              <w:ind w:left="0" w:right="0" w:firstLine="480" w:firstLineChars="200"/>
              <w:rPr>
                <w:rFonts w:hint="default"/>
                <w:sz w:val="24"/>
                <w:u w:val="none"/>
              </w:rPr>
            </w:pPr>
          </w:p>
          <w:p w14:paraId="563A4E0E">
            <w:pPr>
              <w:keepNext w:val="0"/>
              <w:keepLines w:val="0"/>
              <w:widowControl/>
              <w:suppressLineNumbers w:val="0"/>
              <w:autoSpaceDE w:val="0"/>
              <w:autoSpaceDN w:val="0"/>
              <w:adjustRightInd w:val="0"/>
              <w:snapToGrid w:val="0"/>
              <w:spacing w:before="0" w:beforeAutospacing="0" w:after="0" w:afterAutospacing="0" w:line="360" w:lineRule="auto"/>
              <w:ind w:left="0" w:right="0" w:firstLine="480" w:firstLineChars="200"/>
              <w:rPr>
                <w:rFonts w:hint="default"/>
                <w:sz w:val="24"/>
                <w:u w:val="none"/>
              </w:rPr>
            </w:pPr>
          </w:p>
          <w:p w14:paraId="548CF593">
            <w:pPr>
              <w:pStyle w:val="33"/>
              <w:keepNext w:val="0"/>
              <w:keepLines w:val="0"/>
              <w:numPr>
                <w:ilvl w:val="0"/>
                <w:numId w:val="19"/>
              </w:numPr>
              <w:suppressLineNumbers w:val="0"/>
              <w:spacing w:before="0" w:beforeAutospacing="0" w:after="0" w:afterAutospacing="0"/>
              <w:ind w:right="0" w:firstLineChars="0"/>
              <w:jc w:val="right"/>
              <w:rPr>
                <w:rFonts w:hint="default"/>
                <w:b/>
                <w:sz w:val="21"/>
                <w:szCs w:val="21"/>
                <w:u w:val="none"/>
              </w:rPr>
            </w:pPr>
            <w:r>
              <w:rPr>
                <w:rFonts w:hint="default"/>
                <w:b/>
                <w:sz w:val="24"/>
                <w:szCs w:val="24"/>
                <w:u w:val="none"/>
              </w:rPr>
              <w:t xml:space="preserve">项目噪声预测结果一览表  </w:t>
            </w:r>
            <w:r>
              <w:rPr>
                <w:rFonts w:hint="eastAsia"/>
                <w:b/>
                <w:sz w:val="24"/>
                <w:szCs w:val="24"/>
                <w:u w:val="none"/>
                <w:lang w:val="en-US" w:eastAsia="zh-CN"/>
              </w:rPr>
              <w:t xml:space="preserve">         </w:t>
            </w:r>
            <w:r>
              <w:rPr>
                <w:rFonts w:hint="default"/>
                <w:b/>
                <w:sz w:val="24"/>
                <w:szCs w:val="24"/>
                <w:u w:val="none"/>
              </w:rPr>
              <w:t xml:space="preserve">  单位：dB（A）</w:t>
            </w:r>
          </w:p>
          <w:tbl>
            <w:tblPr>
              <w:tblStyle w:val="24"/>
              <w:tblW w:w="499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9"/>
              <w:gridCol w:w="821"/>
              <w:gridCol w:w="1135"/>
              <w:gridCol w:w="1218"/>
              <w:gridCol w:w="1298"/>
              <w:gridCol w:w="1216"/>
              <w:gridCol w:w="1060"/>
              <w:gridCol w:w="887"/>
            </w:tblGrid>
            <w:tr w14:paraId="77EE63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restart"/>
                  <w:vAlign w:val="center"/>
                </w:tcPr>
                <w:p w14:paraId="6E459866">
                  <w:pPr>
                    <w:keepNext w:val="0"/>
                    <w:keepLines w:val="0"/>
                    <w:suppressLineNumbers w:val="0"/>
                    <w:snapToGrid w:val="0"/>
                    <w:spacing w:before="0" w:beforeAutospacing="0" w:after="0" w:afterAutospacing="0"/>
                    <w:ind w:left="0" w:right="0"/>
                    <w:jc w:val="center"/>
                    <w:rPr>
                      <w:rFonts w:hint="eastAsia" w:eastAsia="宋体"/>
                      <w:b/>
                      <w:bCs/>
                      <w:szCs w:val="21"/>
                      <w:u w:val="none"/>
                      <w:lang w:eastAsia="zh-CN"/>
                    </w:rPr>
                  </w:pPr>
                  <w:r>
                    <w:rPr>
                      <w:rFonts w:hint="eastAsia"/>
                      <w:b/>
                      <w:bCs/>
                      <w:szCs w:val="21"/>
                      <w:u w:val="none"/>
                      <w:lang w:val="en-US" w:eastAsia="zh-CN"/>
                    </w:rPr>
                    <w:t>厂界方位</w:t>
                  </w:r>
                </w:p>
              </w:tc>
              <w:tc>
                <w:tcPr>
                  <w:tcW w:w="489" w:type="pct"/>
                  <w:vMerge w:val="restart"/>
                  <w:vAlign w:val="center"/>
                </w:tcPr>
                <w:p w14:paraId="18905090">
                  <w:pPr>
                    <w:keepNext w:val="0"/>
                    <w:keepLines w:val="0"/>
                    <w:suppressLineNumbers w:val="0"/>
                    <w:snapToGrid w:val="0"/>
                    <w:spacing w:before="0" w:beforeAutospacing="0" w:after="0" w:afterAutospacing="0"/>
                    <w:ind w:left="0" w:right="0"/>
                    <w:jc w:val="center"/>
                    <w:rPr>
                      <w:rFonts w:hint="default" w:eastAsia="宋体"/>
                      <w:b/>
                      <w:bCs/>
                      <w:szCs w:val="21"/>
                      <w:u w:val="none"/>
                      <w:lang w:val="en-US" w:eastAsia="zh-CN"/>
                    </w:rPr>
                  </w:pPr>
                  <w:r>
                    <w:rPr>
                      <w:rFonts w:hint="eastAsia"/>
                      <w:b/>
                      <w:bCs/>
                      <w:szCs w:val="21"/>
                      <w:u w:val="none"/>
                      <w:lang w:val="en-US" w:eastAsia="zh-CN"/>
                    </w:rPr>
                    <w:t>构筑物名称</w:t>
                  </w:r>
                </w:p>
              </w:tc>
              <w:tc>
                <w:tcPr>
                  <w:tcW w:w="676" w:type="pct"/>
                  <w:vMerge w:val="restart"/>
                  <w:vAlign w:val="center"/>
                </w:tcPr>
                <w:p w14:paraId="61E206F2">
                  <w:pPr>
                    <w:keepNext w:val="0"/>
                    <w:keepLines w:val="0"/>
                    <w:suppressLineNumbers w:val="0"/>
                    <w:snapToGrid w:val="0"/>
                    <w:spacing w:before="0" w:beforeAutospacing="0" w:after="0" w:afterAutospacing="0"/>
                    <w:ind w:left="0" w:right="0"/>
                    <w:jc w:val="center"/>
                    <w:rPr>
                      <w:rFonts w:hint="default"/>
                      <w:b/>
                      <w:bCs/>
                      <w:szCs w:val="21"/>
                      <w:u w:val="none"/>
                    </w:rPr>
                  </w:pPr>
                  <w:r>
                    <w:rPr>
                      <w:rFonts w:hint="default"/>
                      <w:b/>
                      <w:bCs/>
                      <w:szCs w:val="21"/>
                      <w:u w:val="none"/>
                    </w:rPr>
                    <w:t>项目距厂界距离/m</w:t>
                  </w:r>
                </w:p>
              </w:tc>
              <w:tc>
                <w:tcPr>
                  <w:tcW w:w="2222" w:type="pct"/>
                  <w:gridSpan w:val="3"/>
                  <w:vAlign w:val="center"/>
                </w:tcPr>
                <w:p w14:paraId="7FA4261B">
                  <w:pPr>
                    <w:keepNext w:val="0"/>
                    <w:keepLines w:val="0"/>
                    <w:suppressLineNumbers w:val="0"/>
                    <w:snapToGrid w:val="0"/>
                    <w:spacing w:before="0" w:beforeAutospacing="0" w:after="0" w:afterAutospacing="0"/>
                    <w:ind w:left="0" w:right="0"/>
                    <w:jc w:val="center"/>
                    <w:rPr>
                      <w:rFonts w:hint="default"/>
                      <w:b/>
                      <w:bCs/>
                      <w:szCs w:val="21"/>
                      <w:u w:val="none"/>
                    </w:rPr>
                  </w:pPr>
                  <w:r>
                    <w:rPr>
                      <w:rFonts w:hint="default"/>
                      <w:b/>
                      <w:bCs/>
                      <w:szCs w:val="21"/>
                      <w:u w:val="none"/>
                    </w:rPr>
                    <w:t>正常工况dB(A)</w:t>
                  </w:r>
                </w:p>
              </w:tc>
              <w:tc>
                <w:tcPr>
                  <w:tcW w:w="631" w:type="pct"/>
                  <w:vMerge w:val="restart"/>
                  <w:vAlign w:val="center"/>
                </w:tcPr>
                <w:p w14:paraId="055369AD">
                  <w:pPr>
                    <w:keepNext w:val="0"/>
                    <w:keepLines w:val="0"/>
                    <w:suppressLineNumbers w:val="0"/>
                    <w:snapToGrid w:val="0"/>
                    <w:spacing w:before="0" w:beforeAutospacing="0" w:after="0" w:afterAutospacing="0"/>
                    <w:ind w:left="0" w:right="0"/>
                    <w:jc w:val="center"/>
                    <w:rPr>
                      <w:rFonts w:hint="default"/>
                      <w:b/>
                      <w:bCs/>
                      <w:szCs w:val="21"/>
                      <w:u w:val="none"/>
                    </w:rPr>
                  </w:pPr>
                  <w:r>
                    <w:rPr>
                      <w:rFonts w:hint="default"/>
                      <w:b/>
                      <w:bCs/>
                      <w:szCs w:val="21"/>
                      <w:u w:val="none"/>
                    </w:rPr>
                    <w:t>标准值</w:t>
                  </w:r>
                </w:p>
                <w:p w14:paraId="25107FC5">
                  <w:pPr>
                    <w:keepNext w:val="0"/>
                    <w:keepLines w:val="0"/>
                    <w:suppressLineNumbers w:val="0"/>
                    <w:snapToGrid w:val="0"/>
                    <w:spacing w:before="0" w:beforeAutospacing="0" w:after="0" w:afterAutospacing="0"/>
                    <w:ind w:left="0" w:right="0"/>
                    <w:jc w:val="center"/>
                    <w:rPr>
                      <w:rFonts w:hint="default"/>
                      <w:b/>
                      <w:bCs/>
                      <w:szCs w:val="21"/>
                      <w:u w:val="none"/>
                    </w:rPr>
                  </w:pPr>
                  <w:r>
                    <w:rPr>
                      <w:rFonts w:hint="default"/>
                      <w:b/>
                      <w:bCs/>
                      <w:szCs w:val="21"/>
                      <w:u w:val="none"/>
                    </w:rPr>
                    <w:t>dB</w:t>
                  </w:r>
                  <w:r>
                    <w:rPr>
                      <w:rFonts w:hint="default"/>
                      <w:b/>
                      <w:bCs/>
                      <w:szCs w:val="21"/>
                      <w:u w:val="none"/>
                      <w:lang w:val="en-GB"/>
                    </w:rPr>
                    <w:t>（</w:t>
                  </w:r>
                  <w:r>
                    <w:rPr>
                      <w:rFonts w:hint="default"/>
                      <w:b/>
                      <w:bCs/>
                      <w:szCs w:val="21"/>
                      <w:u w:val="none"/>
                    </w:rPr>
                    <w:t>A</w:t>
                  </w:r>
                  <w:r>
                    <w:rPr>
                      <w:rFonts w:hint="default"/>
                      <w:b/>
                      <w:bCs/>
                      <w:szCs w:val="21"/>
                      <w:u w:val="none"/>
                      <w:lang w:val="en-GB"/>
                    </w:rPr>
                    <w:t>）</w:t>
                  </w:r>
                </w:p>
              </w:tc>
              <w:tc>
                <w:tcPr>
                  <w:tcW w:w="528" w:type="pct"/>
                  <w:vMerge w:val="restart"/>
                  <w:vAlign w:val="center"/>
                </w:tcPr>
                <w:p w14:paraId="3C5C2FCF">
                  <w:pPr>
                    <w:keepNext w:val="0"/>
                    <w:keepLines w:val="0"/>
                    <w:suppressLineNumbers w:val="0"/>
                    <w:snapToGrid w:val="0"/>
                    <w:spacing w:before="0" w:beforeAutospacing="0" w:after="0" w:afterAutospacing="0"/>
                    <w:ind w:left="0" w:right="0"/>
                    <w:jc w:val="center"/>
                    <w:rPr>
                      <w:rFonts w:hint="default"/>
                      <w:b/>
                      <w:bCs/>
                      <w:szCs w:val="21"/>
                      <w:u w:val="none"/>
                    </w:rPr>
                  </w:pPr>
                  <w:r>
                    <w:rPr>
                      <w:rFonts w:hint="default"/>
                      <w:b/>
                      <w:bCs/>
                      <w:szCs w:val="21"/>
                      <w:u w:val="none"/>
                    </w:rPr>
                    <w:t>达标</w:t>
                  </w:r>
                </w:p>
                <w:p w14:paraId="7DD1D834">
                  <w:pPr>
                    <w:keepNext w:val="0"/>
                    <w:keepLines w:val="0"/>
                    <w:suppressLineNumbers w:val="0"/>
                    <w:snapToGrid w:val="0"/>
                    <w:spacing w:before="0" w:beforeAutospacing="0" w:after="0" w:afterAutospacing="0"/>
                    <w:ind w:left="0" w:right="0"/>
                    <w:jc w:val="center"/>
                    <w:rPr>
                      <w:rFonts w:hint="default"/>
                      <w:b/>
                      <w:bCs/>
                      <w:szCs w:val="21"/>
                      <w:u w:val="none"/>
                    </w:rPr>
                  </w:pPr>
                  <w:r>
                    <w:rPr>
                      <w:rFonts w:hint="default"/>
                      <w:b/>
                      <w:bCs/>
                      <w:szCs w:val="21"/>
                      <w:u w:val="none"/>
                    </w:rPr>
                    <w:t>情况</w:t>
                  </w:r>
                </w:p>
              </w:tc>
            </w:tr>
            <w:tr w14:paraId="547359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continue"/>
                  <w:vAlign w:val="center"/>
                </w:tcPr>
                <w:p w14:paraId="1739B19F">
                  <w:pPr>
                    <w:keepNext w:val="0"/>
                    <w:keepLines w:val="0"/>
                    <w:suppressLineNumbers w:val="0"/>
                    <w:snapToGrid w:val="0"/>
                    <w:spacing w:before="0" w:beforeAutospacing="0" w:after="0" w:afterAutospacing="0"/>
                    <w:ind w:left="0" w:right="0"/>
                    <w:jc w:val="center"/>
                    <w:rPr>
                      <w:rFonts w:hint="default"/>
                      <w:szCs w:val="21"/>
                      <w:u w:val="none"/>
                    </w:rPr>
                  </w:pPr>
                </w:p>
              </w:tc>
              <w:tc>
                <w:tcPr>
                  <w:tcW w:w="489" w:type="pct"/>
                  <w:vMerge w:val="continue"/>
                  <w:vAlign w:val="center"/>
                </w:tcPr>
                <w:p w14:paraId="643270D0">
                  <w:pPr>
                    <w:keepNext w:val="0"/>
                    <w:keepLines w:val="0"/>
                    <w:suppressLineNumbers w:val="0"/>
                    <w:snapToGrid w:val="0"/>
                    <w:spacing w:before="0" w:beforeAutospacing="0" w:after="0" w:afterAutospacing="0"/>
                    <w:ind w:left="0" w:right="0"/>
                    <w:jc w:val="center"/>
                    <w:rPr>
                      <w:rFonts w:hint="default"/>
                      <w:szCs w:val="21"/>
                      <w:u w:val="none"/>
                    </w:rPr>
                  </w:pPr>
                </w:p>
              </w:tc>
              <w:tc>
                <w:tcPr>
                  <w:tcW w:w="676" w:type="pct"/>
                  <w:vMerge w:val="continue"/>
                  <w:vAlign w:val="center"/>
                </w:tcPr>
                <w:p w14:paraId="6765BA00">
                  <w:pPr>
                    <w:keepNext w:val="0"/>
                    <w:keepLines w:val="0"/>
                    <w:suppressLineNumbers w:val="0"/>
                    <w:snapToGrid w:val="0"/>
                    <w:spacing w:before="0" w:beforeAutospacing="0" w:after="0" w:afterAutospacing="0"/>
                    <w:ind w:left="0" w:right="0"/>
                    <w:jc w:val="center"/>
                    <w:rPr>
                      <w:rFonts w:hint="default"/>
                      <w:szCs w:val="21"/>
                      <w:u w:val="none"/>
                    </w:rPr>
                  </w:pPr>
                </w:p>
              </w:tc>
              <w:tc>
                <w:tcPr>
                  <w:tcW w:w="725" w:type="pct"/>
                  <w:vAlign w:val="center"/>
                </w:tcPr>
                <w:p w14:paraId="5953D59D">
                  <w:pPr>
                    <w:keepNext w:val="0"/>
                    <w:keepLines w:val="0"/>
                    <w:suppressLineNumbers w:val="0"/>
                    <w:snapToGrid w:val="0"/>
                    <w:spacing w:before="0" w:beforeAutospacing="0" w:after="0" w:afterAutospacing="0"/>
                    <w:ind w:left="0" w:leftChars="0" w:right="0" w:rightChars="0" w:firstLine="0" w:firstLineChars="0"/>
                    <w:jc w:val="center"/>
                    <w:rPr>
                      <w:rFonts w:hint="default"/>
                      <w:b/>
                      <w:bCs/>
                      <w:szCs w:val="21"/>
                      <w:u w:val="none"/>
                    </w:rPr>
                  </w:pPr>
                  <w:r>
                    <w:rPr>
                      <w:rFonts w:hint="default"/>
                      <w:b/>
                      <w:bCs/>
                      <w:szCs w:val="21"/>
                      <w:u w:val="none"/>
                    </w:rPr>
                    <w:t>贡献值</w:t>
                  </w:r>
                </w:p>
              </w:tc>
              <w:tc>
                <w:tcPr>
                  <w:tcW w:w="773" w:type="pct"/>
                  <w:vAlign w:val="center"/>
                </w:tcPr>
                <w:p w14:paraId="669AB880">
                  <w:pPr>
                    <w:keepNext w:val="0"/>
                    <w:keepLines w:val="0"/>
                    <w:widowControl/>
                    <w:suppressLineNumbers w:val="0"/>
                    <w:spacing w:before="0" w:beforeAutospacing="0" w:after="0" w:afterAutospacing="0"/>
                    <w:ind w:left="0" w:right="0"/>
                    <w:jc w:val="center"/>
                    <w:textAlignment w:val="center"/>
                    <w:rPr>
                      <w:rFonts w:hint="default"/>
                      <w:b/>
                      <w:bCs/>
                      <w:szCs w:val="21"/>
                      <w:u w:val="none"/>
                    </w:rPr>
                  </w:pPr>
                  <w:r>
                    <w:rPr>
                      <w:rFonts w:hint="default"/>
                      <w:b/>
                      <w:bCs/>
                      <w:kern w:val="0"/>
                      <w:szCs w:val="21"/>
                      <w:u w:val="none"/>
                      <w:lang w:bidi="ar"/>
                    </w:rPr>
                    <w:t>背景值</w:t>
                  </w:r>
                </w:p>
              </w:tc>
              <w:tc>
                <w:tcPr>
                  <w:tcW w:w="723" w:type="pct"/>
                  <w:vAlign w:val="center"/>
                </w:tcPr>
                <w:p w14:paraId="5F12602B">
                  <w:pPr>
                    <w:keepNext w:val="0"/>
                    <w:keepLines w:val="0"/>
                    <w:suppressLineNumbers w:val="0"/>
                    <w:snapToGrid w:val="0"/>
                    <w:spacing w:before="0" w:beforeAutospacing="0" w:after="0" w:afterAutospacing="0"/>
                    <w:ind w:left="0" w:right="0"/>
                    <w:jc w:val="center"/>
                    <w:rPr>
                      <w:rFonts w:hint="default"/>
                      <w:b/>
                      <w:bCs/>
                      <w:szCs w:val="21"/>
                      <w:u w:val="none"/>
                    </w:rPr>
                  </w:pPr>
                  <w:r>
                    <w:rPr>
                      <w:rFonts w:hint="default"/>
                      <w:b/>
                      <w:bCs/>
                      <w:szCs w:val="21"/>
                      <w:u w:val="none"/>
                    </w:rPr>
                    <w:t>预测值</w:t>
                  </w:r>
                </w:p>
              </w:tc>
              <w:tc>
                <w:tcPr>
                  <w:tcW w:w="631" w:type="pct"/>
                  <w:vMerge w:val="continue"/>
                  <w:vAlign w:val="center"/>
                </w:tcPr>
                <w:p w14:paraId="78496F88">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5A9B9B0B">
                  <w:pPr>
                    <w:keepNext w:val="0"/>
                    <w:keepLines w:val="0"/>
                    <w:suppressLineNumbers w:val="0"/>
                    <w:snapToGrid w:val="0"/>
                    <w:spacing w:before="0" w:beforeAutospacing="0" w:after="0" w:afterAutospacing="0"/>
                    <w:ind w:left="0" w:right="0"/>
                    <w:jc w:val="center"/>
                    <w:rPr>
                      <w:rFonts w:hint="default"/>
                      <w:szCs w:val="21"/>
                      <w:u w:val="none"/>
                    </w:rPr>
                  </w:pPr>
                </w:p>
              </w:tc>
            </w:tr>
            <w:tr w14:paraId="7C593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67" w:hRule="atLeast"/>
                <w:tblHeader/>
                <w:jc w:val="center"/>
              </w:trPr>
              <w:tc>
                <w:tcPr>
                  <w:tcW w:w="452" w:type="pct"/>
                  <w:vMerge w:val="restart"/>
                  <w:vAlign w:val="center"/>
                </w:tcPr>
                <w:p w14:paraId="2AD1DEE4">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东厂界</w:t>
                  </w:r>
                </w:p>
              </w:tc>
              <w:tc>
                <w:tcPr>
                  <w:tcW w:w="489" w:type="pct"/>
                  <w:vAlign w:val="center"/>
                </w:tcPr>
                <w:p w14:paraId="3ECE4754">
                  <w:pPr>
                    <w:keepNext w:val="0"/>
                    <w:keepLines w:val="0"/>
                    <w:suppressLineNumbers w:val="0"/>
                    <w:snapToGrid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生产</w:t>
                  </w:r>
                </w:p>
                <w:p w14:paraId="644CCC02">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厂房</w:t>
                  </w:r>
                </w:p>
              </w:tc>
              <w:tc>
                <w:tcPr>
                  <w:tcW w:w="676" w:type="pct"/>
                  <w:vAlign w:val="center"/>
                </w:tcPr>
                <w:p w14:paraId="2CF508F8">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70</w:t>
                  </w:r>
                </w:p>
              </w:tc>
              <w:tc>
                <w:tcPr>
                  <w:tcW w:w="725" w:type="pct"/>
                  <w:vMerge w:val="restart"/>
                  <w:vAlign w:val="center"/>
                </w:tcPr>
                <w:p w14:paraId="4CB9EDE8">
                  <w:pPr>
                    <w:keepNext w:val="0"/>
                    <w:keepLines w:val="0"/>
                    <w:suppressLineNumbers w:val="0"/>
                    <w:snapToGrid w:val="0"/>
                    <w:spacing w:before="0" w:beforeAutospacing="0" w:after="0" w:afterAutospacing="0"/>
                    <w:ind w:left="0" w:right="0"/>
                    <w:jc w:val="center"/>
                    <w:rPr>
                      <w:rFonts w:hint="eastAsia" w:eastAsia="宋体"/>
                      <w:szCs w:val="21"/>
                      <w:u w:val="none"/>
                      <w:lang w:val="en-US" w:eastAsia="zh-CN"/>
                    </w:rPr>
                  </w:pPr>
                  <w:r>
                    <w:rPr>
                      <w:rFonts w:hint="default"/>
                      <w:szCs w:val="21"/>
                      <w:u w:val="none"/>
                    </w:rPr>
                    <w:t>昼间</w:t>
                  </w:r>
                  <w:r>
                    <w:rPr>
                      <w:rFonts w:hint="eastAsia"/>
                      <w:szCs w:val="21"/>
                      <w:u w:val="none"/>
                      <w:lang w:eastAsia="zh-CN"/>
                    </w:rPr>
                    <w:t>：</w:t>
                  </w:r>
                  <w:r>
                    <w:rPr>
                      <w:rFonts w:hint="default"/>
                      <w:kern w:val="0"/>
                      <w:szCs w:val="21"/>
                      <w:u w:val="none"/>
                      <w:lang w:bidi="ar"/>
                    </w:rPr>
                    <w:t>2</w:t>
                  </w:r>
                  <w:r>
                    <w:rPr>
                      <w:rFonts w:hint="eastAsia"/>
                      <w:kern w:val="0"/>
                      <w:szCs w:val="21"/>
                      <w:u w:val="none"/>
                      <w:lang w:val="en-US" w:eastAsia="zh-CN" w:bidi="ar"/>
                    </w:rPr>
                    <w:t>5</w:t>
                  </w:r>
                  <w:r>
                    <w:rPr>
                      <w:rFonts w:hint="default"/>
                      <w:kern w:val="0"/>
                      <w:szCs w:val="21"/>
                      <w:u w:val="none"/>
                      <w:lang w:bidi="ar"/>
                    </w:rPr>
                    <w:t>.</w:t>
                  </w:r>
                  <w:r>
                    <w:rPr>
                      <w:rFonts w:hint="eastAsia"/>
                      <w:kern w:val="0"/>
                      <w:szCs w:val="21"/>
                      <w:u w:val="none"/>
                      <w:lang w:val="en-US" w:eastAsia="zh-CN" w:bidi="ar"/>
                    </w:rPr>
                    <w:t>3</w:t>
                  </w:r>
                </w:p>
                <w:p w14:paraId="67896DAA">
                  <w:pPr>
                    <w:keepNext w:val="0"/>
                    <w:keepLines w:val="0"/>
                    <w:suppressLineNumbers w:val="0"/>
                    <w:snapToGrid w:val="0"/>
                    <w:spacing w:before="0" w:beforeAutospacing="0" w:after="0" w:afterAutospacing="0"/>
                    <w:ind w:left="0" w:right="0"/>
                    <w:jc w:val="center"/>
                    <w:rPr>
                      <w:rFonts w:hint="default"/>
                      <w:szCs w:val="21"/>
                      <w:u w:val="none"/>
                      <w:lang w:val="en-US"/>
                    </w:rPr>
                  </w:pPr>
                  <w:r>
                    <w:rPr>
                      <w:rFonts w:hint="default"/>
                      <w:szCs w:val="21"/>
                      <w:u w:val="none"/>
                    </w:rPr>
                    <w:t>夜间</w:t>
                  </w:r>
                  <w:r>
                    <w:rPr>
                      <w:rFonts w:hint="eastAsia"/>
                      <w:szCs w:val="21"/>
                      <w:u w:val="none"/>
                      <w:lang w:eastAsia="zh-CN"/>
                    </w:rPr>
                    <w:t>：</w:t>
                  </w:r>
                  <w:r>
                    <w:rPr>
                      <w:rFonts w:hint="eastAsia"/>
                      <w:szCs w:val="21"/>
                      <w:u w:val="none"/>
                      <w:lang w:val="en-US" w:eastAsia="zh-CN"/>
                    </w:rPr>
                    <w:t>25.3</w:t>
                  </w:r>
                </w:p>
              </w:tc>
              <w:tc>
                <w:tcPr>
                  <w:tcW w:w="773" w:type="pct"/>
                  <w:vMerge w:val="restart"/>
                  <w:vAlign w:val="center"/>
                </w:tcPr>
                <w:p w14:paraId="580AAC20">
                  <w:pPr>
                    <w:keepNext w:val="0"/>
                    <w:keepLines w:val="0"/>
                    <w:widowControl/>
                    <w:suppressLineNumbers w:val="0"/>
                    <w:spacing w:before="0" w:beforeAutospacing="0" w:after="0" w:afterAutospacing="0"/>
                    <w:ind w:left="0" w:right="0"/>
                    <w:jc w:val="center"/>
                    <w:textAlignment w:val="center"/>
                    <w:rPr>
                      <w:rFonts w:hint="default" w:eastAsia="宋体"/>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56</w:t>
                  </w:r>
                </w:p>
                <w:p w14:paraId="3F30364F">
                  <w:pPr>
                    <w:keepNext w:val="0"/>
                    <w:keepLines w:val="0"/>
                    <w:widowControl/>
                    <w:suppressLineNumbers w:val="0"/>
                    <w:spacing w:before="0" w:beforeAutospacing="0" w:after="0" w:afterAutospacing="0"/>
                    <w:ind w:left="0" w:right="0"/>
                    <w:jc w:val="center"/>
                    <w:textAlignment w:val="center"/>
                    <w:rPr>
                      <w:rFonts w:hint="default"/>
                      <w:szCs w:val="21"/>
                      <w:u w:val="none"/>
                      <w:lang w:val="en-US"/>
                    </w:rPr>
                  </w:pPr>
                  <w:r>
                    <w:rPr>
                      <w:rFonts w:hint="default"/>
                      <w:szCs w:val="21"/>
                      <w:u w:val="none"/>
                    </w:rPr>
                    <w:t>夜间</w:t>
                  </w:r>
                  <w:r>
                    <w:rPr>
                      <w:rFonts w:hint="eastAsia"/>
                      <w:szCs w:val="21"/>
                      <w:u w:val="none"/>
                      <w:lang w:eastAsia="zh-CN"/>
                    </w:rPr>
                    <w:t>：</w:t>
                  </w:r>
                  <w:r>
                    <w:rPr>
                      <w:rFonts w:hint="eastAsia"/>
                      <w:szCs w:val="21"/>
                      <w:u w:val="none"/>
                      <w:lang w:val="en-US" w:eastAsia="zh-CN"/>
                    </w:rPr>
                    <w:t>46</w:t>
                  </w:r>
                </w:p>
              </w:tc>
              <w:tc>
                <w:tcPr>
                  <w:tcW w:w="723" w:type="pct"/>
                  <w:vMerge w:val="restart"/>
                  <w:vAlign w:val="center"/>
                </w:tcPr>
                <w:p w14:paraId="006E7213">
                  <w:pPr>
                    <w:keepNext w:val="0"/>
                    <w:keepLines w:val="0"/>
                    <w:widowControl/>
                    <w:suppressLineNumbers w:val="0"/>
                    <w:spacing w:before="0" w:beforeAutospacing="0" w:after="0" w:afterAutospacing="0"/>
                    <w:ind w:left="0" w:right="0"/>
                    <w:jc w:val="center"/>
                    <w:textAlignment w:val="center"/>
                    <w:rPr>
                      <w:rFonts w:hint="default"/>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56</w:t>
                  </w:r>
                </w:p>
                <w:p w14:paraId="58747D94">
                  <w:pPr>
                    <w:keepNext w:val="0"/>
                    <w:keepLines w:val="0"/>
                    <w:widowControl/>
                    <w:suppressLineNumbers w:val="0"/>
                    <w:spacing w:before="0" w:beforeAutospacing="0" w:after="0" w:afterAutospacing="0"/>
                    <w:ind w:left="0" w:right="0"/>
                    <w:jc w:val="center"/>
                    <w:textAlignment w:val="center"/>
                    <w:rPr>
                      <w:rFonts w:hint="default"/>
                      <w:szCs w:val="21"/>
                      <w:u w:val="none"/>
                    </w:rPr>
                  </w:pPr>
                  <w:r>
                    <w:rPr>
                      <w:rFonts w:hint="default"/>
                      <w:szCs w:val="21"/>
                      <w:u w:val="none"/>
                    </w:rPr>
                    <w:t>夜间</w:t>
                  </w:r>
                  <w:r>
                    <w:rPr>
                      <w:rFonts w:hint="eastAsia"/>
                      <w:szCs w:val="21"/>
                      <w:u w:val="none"/>
                      <w:lang w:eastAsia="zh-CN"/>
                    </w:rPr>
                    <w:t>：</w:t>
                  </w:r>
                  <w:r>
                    <w:rPr>
                      <w:rFonts w:hint="eastAsia"/>
                      <w:szCs w:val="21"/>
                      <w:u w:val="none"/>
                      <w:lang w:val="en-US" w:eastAsia="zh-CN"/>
                    </w:rPr>
                    <w:t>46</w:t>
                  </w:r>
                </w:p>
              </w:tc>
              <w:tc>
                <w:tcPr>
                  <w:tcW w:w="631" w:type="pct"/>
                  <w:vMerge w:val="restart"/>
                  <w:vAlign w:val="center"/>
                </w:tcPr>
                <w:p w14:paraId="080E89D7">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昼间：65</w:t>
                  </w:r>
                </w:p>
                <w:p w14:paraId="16A4FF05">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夜间：55</w:t>
                  </w:r>
                </w:p>
              </w:tc>
              <w:tc>
                <w:tcPr>
                  <w:tcW w:w="528" w:type="pct"/>
                  <w:vMerge w:val="restart"/>
                  <w:vAlign w:val="center"/>
                </w:tcPr>
                <w:p w14:paraId="2165AB7B">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达标</w:t>
                  </w:r>
                </w:p>
              </w:tc>
            </w:tr>
            <w:tr w14:paraId="3305D0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continue"/>
                  <w:vAlign w:val="center"/>
                </w:tcPr>
                <w:p w14:paraId="3DF469A2">
                  <w:pPr>
                    <w:keepNext w:val="0"/>
                    <w:keepLines w:val="0"/>
                    <w:suppressLineNumbers w:val="0"/>
                    <w:snapToGrid w:val="0"/>
                    <w:spacing w:before="0" w:beforeAutospacing="0" w:after="0" w:afterAutospacing="0"/>
                    <w:ind w:left="0" w:right="0"/>
                    <w:jc w:val="center"/>
                    <w:rPr>
                      <w:rFonts w:hint="default"/>
                      <w:szCs w:val="21"/>
                      <w:u w:val="none"/>
                    </w:rPr>
                  </w:pPr>
                </w:p>
              </w:tc>
              <w:tc>
                <w:tcPr>
                  <w:tcW w:w="489" w:type="pct"/>
                  <w:vAlign w:val="center"/>
                </w:tcPr>
                <w:p w14:paraId="694E8EC7">
                  <w:pPr>
                    <w:keepNext w:val="0"/>
                    <w:keepLines w:val="0"/>
                    <w:suppressLineNumbers w:val="0"/>
                    <w:snapToGrid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锅炉房</w:t>
                  </w:r>
                </w:p>
              </w:tc>
              <w:tc>
                <w:tcPr>
                  <w:tcW w:w="676" w:type="pct"/>
                  <w:vAlign w:val="center"/>
                </w:tcPr>
                <w:p w14:paraId="61F00573">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15</w:t>
                  </w:r>
                </w:p>
              </w:tc>
              <w:tc>
                <w:tcPr>
                  <w:tcW w:w="725" w:type="pct"/>
                  <w:vMerge w:val="continue"/>
                  <w:vAlign w:val="center"/>
                </w:tcPr>
                <w:p w14:paraId="6292795A">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73" w:type="pct"/>
                  <w:vMerge w:val="continue"/>
                  <w:vAlign w:val="center"/>
                </w:tcPr>
                <w:p w14:paraId="762D2064">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23" w:type="pct"/>
                  <w:vMerge w:val="continue"/>
                  <w:vAlign w:val="center"/>
                </w:tcPr>
                <w:p w14:paraId="091E2B73">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631" w:type="pct"/>
                  <w:vMerge w:val="continue"/>
                  <w:vAlign w:val="center"/>
                </w:tcPr>
                <w:p w14:paraId="7C39A73A">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3F8E3FA0">
                  <w:pPr>
                    <w:keepNext w:val="0"/>
                    <w:keepLines w:val="0"/>
                    <w:suppressLineNumbers w:val="0"/>
                    <w:snapToGrid w:val="0"/>
                    <w:spacing w:before="0" w:beforeAutospacing="0" w:after="0" w:afterAutospacing="0"/>
                    <w:ind w:left="0" w:right="0"/>
                    <w:jc w:val="center"/>
                    <w:rPr>
                      <w:rFonts w:hint="default"/>
                      <w:szCs w:val="21"/>
                      <w:u w:val="none"/>
                    </w:rPr>
                  </w:pPr>
                </w:p>
              </w:tc>
            </w:tr>
            <w:tr w14:paraId="40188A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340" w:hRule="atLeast"/>
                <w:tblHeader/>
                <w:jc w:val="center"/>
              </w:trPr>
              <w:tc>
                <w:tcPr>
                  <w:tcW w:w="452" w:type="pct"/>
                  <w:vMerge w:val="restart"/>
                  <w:vAlign w:val="center"/>
                </w:tcPr>
                <w:p w14:paraId="54876B10">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南厂界</w:t>
                  </w:r>
                </w:p>
              </w:tc>
              <w:tc>
                <w:tcPr>
                  <w:tcW w:w="489" w:type="pct"/>
                  <w:vAlign w:val="center"/>
                </w:tcPr>
                <w:p w14:paraId="107C5432">
                  <w:pPr>
                    <w:keepNext w:val="0"/>
                    <w:keepLines w:val="0"/>
                    <w:suppressLineNumbers w:val="0"/>
                    <w:snapToGrid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生产</w:t>
                  </w:r>
                </w:p>
                <w:p w14:paraId="4977C276">
                  <w:pPr>
                    <w:keepNext w:val="0"/>
                    <w:keepLines w:val="0"/>
                    <w:suppressLineNumbers w:val="0"/>
                    <w:snapToGrid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厂房</w:t>
                  </w:r>
                </w:p>
              </w:tc>
              <w:tc>
                <w:tcPr>
                  <w:tcW w:w="676" w:type="pct"/>
                  <w:vAlign w:val="center"/>
                </w:tcPr>
                <w:p w14:paraId="3CEA70CE">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15</w:t>
                  </w:r>
                </w:p>
              </w:tc>
              <w:tc>
                <w:tcPr>
                  <w:tcW w:w="725" w:type="pct"/>
                  <w:vMerge w:val="restart"/>
                  <w:vAlign w:val="center"/>
                </w:tcPr>
                <w:p w14:paraId="5752834A">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default"/>
                      <w:szCs w:val="21"/>
                      <w:u w:val="none"/>
                    </w:rPr>
                    <w:t>昼间</w:t>
                  </w:r>
                  <w:r>
                    <w:rPr>
                      <w:rFonts w:hint="eastAsia"/>
                      <w:szCs w:val="21"/>
                      <w:u w:val="none"/>
                      <w:lang w:eastAsia="zh-CN"/>
                    </w:rPr>
                    <w:t>：</w:t>
                  </w:r>
                  <w:r>
                    <w:rPr>
                      <w:rFonts w:hint="eastAsia"/>
                      <w:kern w:val="0"/>
                      <w:szCs w:val="21"/>
                      <w:u w:val="none"/>
                      <w:lang w:val="en-US" w:eastAsia="zh-CN" w:bidi="ar"/>
                    </w:rPr>
                    <w:t>16.2</w:t>
                  </w:r>
                </w:p>
                <w:p w14:paraId="2A818D63">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default"/>
                      <w:szCs w:val="21"/>
                      <w:u w:val="none"/>
                    </w:rPr>
                    <w:t>夜间</w:t>
                  </w:r>
                  <w:r>
                    <w:rPr>
                      <w:rFonts w:hint="eastAsia"/>
                      <w:szCs w:val="21"/>
                      <w:u w:val="none"/>
                      <w:lang w:eastAsia="zh-CN"/>
                    </w:rPr>
                    <w:t>：</w:t>
                  </w:r>
                  <w:r>
                    <w:rPr>
                      <w:rFonts w:hint="eastAsia"/>
                      <w:kern w:val="0"/>
                      <w:szCs w:val="21"/>
                      <w:u w:val="none"/>
                      <w:lang w:val="en-US" w:eastAsia="zh-CN" w:bidi="ar"/>
                    </w:rPr>
                    <w:t>16.2</w:t>
                  </w:r>
                </w:p>
              </w:tc>
              <w:tc>
                <w:tcPr>
                  <w:tcW w:w="773" w:type="pct"/>
                  <w:vMerge w:val="restart"/>
                  <w:vAlign w:val="center"/>
                </w:tcPr>
                <w:p w14:paraId="7CBBE591">
                  <w:pPr>
                    <w:keepNext w:val="0"/>
                    <w:keepLines w:val="0"/>
                    <w:widowControl/>
                    <w:suppressLineNumbers w:val="0"/>
                    <w:spacing w:before="0" w:beforeAutospacing="0" w:after="0" w:afterAutospacing="0"/>
                    <w:ind w:left="0" w:right="0"/>
                    <w:jc w:val="center"/>
                    <w:textAlignment w:val="center"/>
                    <w:rPr>
                      <w:rFonts w:hint="default"/>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56</w:t>
                  </w:r>
                </w:p>
                <w:p w14:paraId="5946008E">
                  <w:pPr>
                    <w:keepNext w:val="0"/>
                    <w:keepLines w:val="0"/>
                    <w:widowControl/>
                    <w:suppressLineNumbers w:val="0"/>
                    <w:spacing w:before="0" w:beforeAutospacing="0" w:after="0" w:afterAutospacing="0"/>
                    <w:ind w:left="0" w:right="0"/>
                    <w:jc w:val="center"/>
                    <w:textAlignment w:val="center"/>
                    <w:rPr>
                      <w:rFonts w:hint="default"/>
                      <w:szCs w:val="21"/>
                      <w:u w:val="none"/>
                    </w:rPr>
                  </w:pPr>
                  <w:r>
                    <w:rPr>
                      <w:rFonts w:hint="default"/>
                      <w:szCs w:val="21"/>
                      <w:u w:val="none"/>
                    </w:rPr>
                    <w:t>夜间</w:t>
                  </w:r>
                  <w:r>
                    <w:rPr>
                      <w:rFonts w:hint="eastAsia"/>
                      <w:szCs w:val="21"/>
                      <w:u w:val="none"/>
                      <w:lang w:eastAsia="zh-CN"/>
                    </w:rPr>
                    <w:t>：</w:t>
                  </w:r>
                  <w:r>
                    <w:rPr>
                      <w:rFonts w:hint="eastAsia"/>
                      <w:szCs w:val="21"/>
                      <w:u w:val="none"/>
                      <w:lang w:val="en-US" w:eastAsia="zh-CN"/>
                    </w:rPr>
                    <w:t>44</w:t>
                  </w:r>
                </w:p>
              </w:tc>
              <w:tc>
                <w:tcPr>
                  <w:tcW w:w="723" w:type="pct"/>
                  <w:vMerge w:val="restart"/>
                  <w:vAlign w:val="center"/>
                </w:tcPr>
                <w:p w14:paraId="767283A8">
                  <w:pPr>
                    <w:keepNext w:val="0"/>
                    <w:keepLines w:val="0"/>
                    <w:widowControl/>
                    <w:suppressLineNumbers w:val="0"/>
                    <w:spacing w:before="0" w:beforeAutospacing="0" w:after="0" w:afterAutospacing="0"/>
                    <w:ind w:left="0" w:right="0"/>
                    <w:jc w:val="center"/>
                    <w:textAlignment w:val="center"/>
                    <w:rPr>
                      <w:rFonts w:hint="default"/>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56</w:t>
                  </w:r>
                </w:p>
                <w:p w14:paraId="342425AC">
                  <w:pPr>
                    <w:keepNext w:val="0"/>
                    <w:keepLines w:val="0"/>
                    <w:widowControl/>
                    <w:suppressLineNumbers w:val="0"/>
                    <w:spacing w:before="0" w:beforeAutospacing="0" w:after="0" w:afterAutospacing="0"/>
                    <w:ind w:left="0" w:right="0"/>
                    <w:jc w:val="center"/>
                    <w:textAlignment w:val="center"/>
                    <w:rPr>
                      <w:rFonts w:hint="default"/>
                      <w:szCs w:val="21"/>
                      <w:u w:val="none"/>
                    </w:rPr>
                  </w:pPr>
                  <w:r>
                    <w:rPr>
                      <w:rFonts w:hint="default"/>
                      <w:szCs w:val="21"/>
                      <w:u w:val="none"/>
                    </w:rPr>
                    <w:t>夜间</w:t>
                  </w:r>
                  <w:r>
                    <w:rPr>
                      <w:rFonts w:hint="eastAsia"/>
                      <w:szCs w:val="21"/>
                      <w:u w:val="none"/>
                      <w:lang w:eastAsia="zh-CN"/>
                    </w:rPr>
                    <w:t>：</w:t>
                  </w:r>
                  <w:r>
                    <w:rPr>
                      <w:rFonts w:hint="eastAsia"/>
                      <w:szCs w:val="21"/>
                      <w:u w:val="none"/>
                      <w:lang w:val="en-US" w:eastAsia="zh-CN"/>
                    </w:rPr>
                    <w:t>44</w:t>
                  </w:r>
                </w:p>
              </w:tc>
              <w:tc>
                <w:tcPr>
                  <w:tcW w:w="631" w:type="pct"/>
                  <w:vMerge w:val="continue"/>
                  <w:vAlign w:val="center"/>
                </w:tcPr>
                <w:p w14:paraId="36F62236">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1FF41F1B">
                  <w:pPr>
                    <w:keepNext w:val="0"/>
                    <w:keepLines w:val="0"/>
                    <w:suppressLineNumbers w:val="0"/>
                    <w:snapToGrid w:val="0"/>
                    <w:spacing w:before="0" w:beforeAutospacing="0" w:after="0" w:afterAutospacing="0"/>
                    <w:ind w:left="0" w:right="0"/>
                    <w:jc w:val="center"/>
                    <w:rPr>
                      <w:rFonts w:hint="default"/>
                      <w:szCs w:val="21"/>
                      <w:u w:val="none"/>
                    </w:rPr>
                  </w:pPr>
                </w:p>
              </w:tc>
            </w:tr>
            <w:tr w14:paraId="1C26DD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continue"/>
                  <w:vAlign w:val="center"/>
                </w:tcPr>
                <w:p w14:paraId="0CC78F57">
                  <w:pPr>
                    <w:keepNext w:val="0"/>
                    <w:keepLines w:val="0"/>
                    <w:suppressLineNumbers w:val="0"/>
                    <w:snapToGrid w:val="0"/>
                    <w:spacing w:before="0" w:beforeAutospacing="0" w:after="0" w:afterAutospacing="0"/>
                    <w:ind w:left="0" w:right="0"/>
                    <w:jc w:val="center"/>
                    <w:rPr>
                      <w:rFonts w:hint="default"/>
                      <w:szCs w:val="21"/>
                      <w:u w:val="none"/>
                    </w:rPr>
                  </w:pPr>
                </w:p>
              </w:tc>
              <w:tc>
                <w:tcPr>
                  <w:tcW w:w="489" w:type="pct"/>
                  <w:vAlign w:val="center"/>
                </w:tcPr>
                <w:p w14:paraId="23F028AE">
                  <w:pPr>
                    <w:keepNext w:val="0"/>
                    <w:keepLines w:val="0"/>
                    <w:suppressLineNumbers w:val="0"/>
                    <w:snapToGrid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锅炉房</w:t>
                  </w:r>
                </w:p>
              </w:tc>
              <w:tc>
                <w:tcPr>
                  <w:tcW w:w="676" w:type="pct"/>
                  <w:vAlign w:val="center"/>
                </w:tcPr>
                <w:p w14:paraId="3B6C8B13">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155</w:t>
                  </w:r>
                </w:p>
              </w:tc>
              <w:tc>
                <w:tcPr>
                  <w:tcW w:w="725" w:type="pct"/>
                  <w:vMerge w:val="continue"/>
                  <w:vAlign w:val="center"/>
                </w:tcPr>
                <w:p w14:paraId="2B49AD49">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73" w:type="pct"/>
                  <w:vMerge w:val="continue"/>
                  <w:vAlign w:val="center"/>
                </w:tcPr>
                <w:p w14:paraId="14054813">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23" w:type="pct"/>
                  <w:vMerge w:val="continue"/>
                  <w:vAlign w:val="center"/>
                </w:tcPr>
                <w:p w14:paraId="28455497">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631" w:type="pct"/>
                  <w:vMerge w:val="continue"/>
                  <w:vAlign w:val="center"/>
                </w:tcPr>
                <w:p w14:paraId="3B51C136">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52909782">
                  <w:pPr>
                    <w:keepNext w:val="0"/>
                    <w:keepLines w:val="0"/>
                    <w:suppressLineNumbers w:val="0"/>
                    <w:snapToGrid w:val="0"/>
                    <w:spacing w:before="0" w:beforeAutospacing="0" w:after="0" w:afterAutospacing="0"/>
                    <w:ind w:left="0" w:right="0"/>
                    <w:jc w:val="center"/>
                    <w:rPr>
                      <w:rFonts w:hint="default"/>
                      <w:szCs w:val="21"/>
                      <w:u w:val="none"/>
                    </w:rPr>
                  </w:pPr>
                </w:p>
              </w:tc>
            </w:tr>
            <w:tr w14:paraId="257E39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restart"/>
                  <w:vAlign w:val="center"/>
                </w:tcPr>
                <w:p w14:paraId="216C5E4E">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西厂界</w:t>
                  </w:r>
                </w:p>
              </w:tc>
              <w:tc>
                <w:tcPr>
                  <w:tcW w:w="489" w:type="pct"/>
                  <w:vAlign w:val="center"/>
                </w:tcPr>
                <w:p w14:paraId="48A3F3F5">
                  <w:pPr>
                    <w:keepNext w:val="0"/>
                    <w:keepLines w:val="0"/>
                    <w:suppressLineNumbers w:val="0"/>
                    <w:snapToGrid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生产</w:t>
                  </w:r>
                </w:p>
                <w:p w14:paraId="3CCAE063">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厂房</w:t>
                  </w:r>
                </w:p>
              </w:tc>
              <w:tc>
                <w:tcPr>
                  <w:tcW w:w="676" w:type="pct"/>
                  <w:vAlign w:val="center"/>
                </w:tcPr>
                <w:p w14:paraId="0049FA33">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95</w:t>
                  </w:r>
                </w:p>
              </w:tc>
              <w:tc>
                <w:tcPr>
                  <w:tcW w:w="725" w:type="pct"/>
                  <w:vMerge w:val="restart"/>
                  <w:vAlign w:val="center"/>
                </w:tcPr>
                <w:p w14:paraId="3A143E16">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昼间</w:t>
                  </w:r>
                  <w:r>
                    <w:rPr>
                      <w:rFonts w:hint="eastAsia"/>
                      <w:szCs w:val="21"/>
                      <w:u w:val="none"/>
                      <w:lang w:eastAsia="zh-CN"/>
                    </w:rPr>
                    <w:t>：</w:t>
                  </w:r>
                  <w:r>
                    <w:rPr>
                      <w:rFonts w:hint="default"/>
                      <w:kern w:val="0"/>
                      <w:szCs w:val="21"/>
                      <w:u w:val="none"/>
                      <w:lang w:bidi="ar"/>
                    </w:rPr>
                    <w:t>1</w:t>
                  </w:r>
                  <w:r>
                    <w:rPr>
                      <w:rFonts w:hint="eastAsia"/>
                      <w:kern w:val="0"/>
                      <w:szCs w:val="21"/>
                      <w:u w:val="none"/>
                      <w:lang w:val="en-US" w:eastAsia="zh-CN" w:bidi="ar"/>
                    </w:rPr>
                    <w:t>0</w:t>
                  </w:r>
                  <w:r>
                    <w:rPr>
                      <w:rFonts w:hint="default"/>
                      <w:kern w:val="0"/>
                      <w:szCs w:val="21"/>
                      <w:u w:val="none"/>
                      <w:lang w:bidi="ar"/>
                    </w:rPr>
                    <w:t>.6</w:t>
                  </w:r>
                </w:p>
                <w:p w14:paraId="09886A0A">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夜间</w:t>
                  </w:r>
                  <w:r>
                    <w:rPr>
                      <w:rFonts w:hint="eastAsia"/>
                      <w:szCs w:val="21"/>
                      <w:u w:val="none"/>
                      <w:lang w:eastAsia="zh-CN"/>
                    </w:rPr>
                    <w:t>：</w:t>
                  </w:r>
                  <w:r>
                    <w:rPr>
                      <w:rFonts w:hint="default"/>
                      <w:kern w:val="0"/>
                      <w:szCs w:val="21"/>
                      <w:u w:val="none"/>
                      <w:lang w:bidi="ar"/>
                    </w:rPr>
                    <w:t>1</w:t>
                  </w:r>
                  <w:r>
                    <w:rPr>
                      <w:rFonts w:hint="eastAsia"/>
                      <w:kern w:val="0"/>
                      <w:szCs w:val="21"/>
                      <w:u w:val="none"/>
                      <w:lang w:val="en-US" w:eastAsia="zh-CN" w:bidi="ar"/>
                    </w:rPr>
                    <w:t>0</w:t>
                  </w:r>
                  <w:r>
                    <w:rPr>
                      <w:rFonts w:hint="default"/>
                      <w:kern w:val="0"/>
                      <w:szCs w:val="21"/>
                      <w:u w:val="none"/>
                      <w:lang w:bidi="ar"/>
                    </w:rPr>
                    <w:t>.6</w:t>
                  </w:r>
                </w:p>
              </w:tc>
              <w:tc>
                <w:tcPr>
                  <w:tcW w:w="773" w:type="pct"/>
                  <w:vMerge w:val="restart"/>
                  <w:vAlign w:val="center"/>
                </w:tcPr>
                <w:p w14:paraId="198BBCD8">
                  <w:pPr>
                    <w:keepNext w:val="0"/>
                    <w:keepLines w:val="0"/>
                    <w:widowControl/>
                    <w:suppressLineNumbers w:val="0"/>
                    <w:spacing w:before="0" w:beforeAutospacing="0" w:after="0" w:afterAutospacing="0"/>
                    <w:ind w:left="0" w:right="0"/>
                    <w:jc w:val="center"/>
                    <w:textAlignment w:val="center"/>
                    <w:rPr>
                      <w:rFonts w:hint="default"/>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54</w:t>
                  </w:r>
                </w:p>
                <w:p w14:paraId="5F037EE2">
                  <w:pPr>
                    <w:keepNext w:val="0"/>
                    <w:keepLines w:val="0"/>
                    <w:widowControl/>
                    <w:suppressLineNumbers w:val="0"/>
                    <w:spacing w:before="0" w:beforeAutospacing="0" w:after="0" w:afterAutospacing="0"/>
                    <w:ind w:left="0" w:right="0"/>
                    <w:jc w:val="center"/>
                    <w:textAlignment w:val="center"/>
                    <w:rPr>
                      <w:rFonts w:hint="default"/>
                      <w:szCs w:val="21"/>
                      <w:u w:val="none"/>
                    </w:rPr>
                  </w:pPr>
                  <w:r>
                    <w:rPr>
                      <w:rFonts w:hint="default"/>
                      <w:szCs w:val="21"/>
                      <w:u w:val="none"/>
                    </w:rPr>
                    <w:t>夜间</w:t>
                  </w:r>
                  <w:r>
                    <w:rPr>
                      <w:rFonts w:hint="eastAsia"/>
                      <w:szCs w:val="21"/>
                      <w:u w:val="none"/>
                      <w:lang w:eastAsia="zh-CN"/>
                    </w:rPr>
                    <w:t>：</w:t>
                  </w:r>
                  <w:r>
                    <w:rPr>
                      <w:rFonts w:hint="eastAsia"/>
                      <w:szCs w:val="21"/>
                      <w:u w:val="none"/>
                      <w:lang w:val="en-US" w:eastAsia="zh-CN"/>
                    </w:rPr>
                    <w:t>45</w:t>
                  </w:r>
                </w:p>
              </w:tc>
              <w:tc>
                <w:tcPr>
                  <w:tcW w:w="723" w:type="pct"/>
                  <w:vMerge w:val="restart"/>
                  <w:vAlign w:val="center"/>
                </w:tcPr>
                <w:p w14:paraId="7C0B5903">
                  <w:pPr>
                    <w:keepNext w:val="0"/>
                    <w:keepLines w:val="0"/>
                    <w:widowControl/>
                    <w:suppressLineNumbers w:val="0"/>
                    <w:spacing w:before="0" w:beforeAutospacing="0" w:after="0" w:afterAutospacing="0"/>
                    <w:ind w:left="0" w:right="0"/>
                    <w:jc w:val="center"/>
                    <w:textAlignment w:val="center"/>
                    <w:rPr>
                      <w:rFonts w:hint="default"/>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54</w:t>
                  </w:r>
                </w:p>
                <w:p w14:paraId="6E9976DC">
                  <w:pPr>
                    <w:keepNext w:val="0"/>
                    <w:keepLines w:val="0"/>
                    <w:widowControl/>
                    <w:suppressLineNumbers w:val="0"/>
                    <w:spacing w:before="0" w:beforeAutospacing="0" w:after="0" w:afterAutospacing="0"/>
                    <w:ind w:left="0" w:right="0"/>
                    <w:jc w:val="center"/>
                    <w:textAlignment w:val="center"/>
                    <w:rPr>
                      <w:rFonts w:hint="default"/>
                      <w:szCs w:val="21"/>
                      <w:u w:val="none"/>
                    </w:rPr>
                  </w:pPr>
                  <w:r>
                    <w:rPr>
                      <w:rFonts w:hint="default"/>
                      <w:szCs w:val="21"/>
                      <w:u w:val="none"/>
                    </w:rPr>
                    <w:t>夜间</w:t>
                  </w:r>
                  <w:r>
                    <w:rPr>
                      <w:rFonts w:hint="eastAsia"/>
                      <w:szCs w:val="21"/>
                      <w:u w:val="none"/>
                      <w:lang w:eastAsia="zh-CN"/>
                    </w:rPr>
                    <w:t>：</w:t>
                  </w:r>
                  <w:r>
                    <w:rPr>
                      <w:rFonts w:hint="eastAsia"/>
                      <w:szCs w:val="21"/>
                      <w:u w:val="none"/>
                      <w:lang w:val="en-US" w:eastAsia="zh-CN"/>
                    </w:rPr>
                    <w:t>45</w:t>
                  </w:r>
                </w:p>
              </w:tc>
              <w:tc>
                <w:tcPr>
                  <w:tcW w:w="631" w:type="pct"/>
                  <w:vMerge w:val="continue"/>
                  <w:vAlign w:val="center"/>
                </w:tcPr>
                <w:p w14:paraId="56171C08">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40005D76">
                  <w:pPr>
                    <w:keepNext w:val="0"/>
                    <w:keepLines w:val="0"/>
                    <w:suppressLineNumbers w:val="0"/>
                    <w:snapToGrid w:val="0"/>
                    <w:spacing w:before="0" w:beforeAutospacing="0" w:after="0" w:afterAutospacing="0"/>
                    <w:ind w:left="0" w:right="0"/>
                    <w:jc w:val="center"/>
                    <w:rPr>
                      <w:rFonts w:hint="default"/>
                      <w:szCs w:val="21"/>
                      <w:u w:val="none"/>
                    </w:rPr>
                  </w:pPr>
                </w:p>
              </w:tc>
            </w:tr>
            <w:tr w14:paraId="526042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continue"/>
                  <w:vAlign w:val="center"/>
                </w:tcPr>
                <w:p w14:paraId="5E055036">
                  <w:pPr>
                    <w:keepNext w:val="0"/>
                    <w:keepLines w:val="0"/>
                    <w:suppressLineNumbers w:val="0"/>
                    <w:snapToGrid w:val="0"/>
                    <w:spacing w:before="0" w:beforeAutospacing="0" w:after="0" w:afterAutospacing="0"/>
                    <w:ind w:left="0" w:right="0"/>
                    <w:jc w:val="center"/>
                    <w:rPr>
                      <w:rFonts w:hint="default"/>
                      <w:szCs w:val="21"/>
                      <w:u w:val="none"/>
                    </w:rPr>
                  </w:pPr>
                </w:p>
              </w:tc>
              <w:tc>
                <w:tcPr>
                  <w:tcW w:w="489" w:type="pct"/>
                  <w:vAlign w:val="center"/>
                </w:tcPr>
                <w:p w14:paraId="125D3EC1">
                  <w:pPr>
                    <w:keepNext w:val="0"/>
                    <w:keepLines w:val="0"/>
                    <w:suppressLineNumbers w:val="0"/>
                    <w:snapToGrid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锅炉房</w:t>
                  </w:r>
                </w:p>
              </w:tc>
              <w:tc>
                <w:tcPr>
                  <w:tcW w:w="676" w:type="pct"/>
                  <w:vAlign w:val="center"/>
                </w:tcPr>
                <w:p w14:paraId="5A3FE3A9">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217</w:t>
                  </w:r>
                </w:p>
              </w:tc>
              <w:tc>
                <w:tcPr>
                  <w:tcW w:w="725" w:type="pct"/>
                  <w:vMerge w:val="continue"/>
                  <w:vAlign w:val="center"/>
                </w:tcPr>
                <w:p w14:paraId="06B3ACC6">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73" w:type="pct"/>
                  <w:vMerge w:val="continue"/>
                  <w:vAlign w:val="center"/>
                </w:tcPr>
                <w:p w14:paraId="583A2FF7">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23" w:type="pct"/>
                  <w:vMerge w:val="continue"/>
                  <w:vAlign w:val="center"/>
                </w:tcPr>
                <w:p w14:paraId="45AC1044">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631" w:type="pct"/>
                  <w:vMerge w:val="continue"/>
                  <w:vAlign w:val="center"/>
                </w:tcPr>
                <w:p w14:paraId="0ABBDA55">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6EDCB7C8">
                  <w:pPr>
                    <w:keepNext w:val="0"/>
                    <w:keepLines w:val="0"/>
                    <w:suppressLineNumbers w:val="0"/>
                    <w:snapToGrid w:val="0"/>
                    <w:spacing w:before="0" w:beforeAutospacing="0" w:after="0" w:afterAutospacing="0"/>
                    <w:ind w:left="0" w:right="0"/>
                    <w:jc w:val="center"/>
                    <w:rPr>
                      <w:rFonts w:hint="default"/>
                      <w:szCs w:val="21"/>
                      <w:u w:val="none"/>
                    </w:rPr>
                  </w:pPr>
                </w:p>
              </w:tc>
            </w:tr>
            <w:tr w14:paraId="5E0092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restart"/>
                  <w:vAlign w:val="center"/>
                </w:tcPr>
                <w:p w14:paraId="1A4770D9">
                  <w:pPr>
                    <w:keepNext w:val="0"/>
                    <w:keepLines w:val="0"/>
                    <w:suppressLineNumbers w:val="0"/>
                    <w:snapToGrid w:val="0"/>
                    <w:spacing w:before="0" w:beforeAutospacing="0" w:after="0" w:afterAutospacing="0"/>
                    <w:ind w:left="0" w:right="0"/>
                    <w:jc w:val="center"/>
                    <w:rPr>
                      <w:rFonts w:hint="default"/>
                      <w:szCs w:val="21"/>
                      <w:u w:val="none"/>
                    </w:rPr>
                  </w:pPr>
                  <w:r>
                    <w:rPr>
                      <w:rFonts w:hint="default"/>
                      <w:szCs w:val="21"/>
                      <w:u w:val="none"/>
                    </w:rPr>
                    <w:t>北厂界</w:t>
                  </w:r>
                </w:p>
              </w:tc>
              <w:tc>
                <w:tcPr>
                  <w:tcW w:w="489" w:type="pct"/>
                  <w:vAlign w:val="center"/>
                </w:tcPr>
                <w:p w14:paraId="5D03271C">
                  <w:pPr>
                    <w:keepNext w:val="0"/>
                    <w:keepLines w:val="0"/>
                    <w:suppressLineNumbers w:val="0"/>
                    <w:snapToGrid w:val="0"/>
                    <w:spacing w:before="0" w:beforeAutospacing="0" w:after="0" w:afterAutospacing="0"/>
                    <w:ind w:left="0" w:right="0"/>
                    <w:jc w:val="center"/>
                    <w:rPr>
                      <w:rFonts w:hint="eastAsia"/>
                      <w:szCs w:val="21"/>
                      <w:u w:val="none"/>
                      <w:lang w:val="en-US" w:eastAsia="zh-CN"/>
                    </w:rPr>
                  </w:pPr>
                  <w:r>
                    <w:rPr>
                      <w:rFonts w:hint="eastAsia"/>
                      <w:szCs w:val="21"/>
                      <w:u w:val="none"/>
                      <w:lang w:val="en-US" w:eastAsia="zh-CN"/>
                    </w:rPr>
                    <w:t>生产</w:t>
                  </w:r>
                </w:p>
                <w:p w14:paraId="6107CB66">
                  <w:pPr>
                    <w:keepNext w:val="0"/>
                    <w:keepLines w:val="0"/>
                    <w:suppressLineNumbers w:val="0"/>
                    <w:snapToGrid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厂房</w:t>
                  </w:r>
                </w:p>
              </w:tc>
              <w:tc>
                <w:tcPr>
                  <w:tcW w:w="676" w:type="pct"/>
                  <w:vAlign w:val="center"/>
                </w:tcPr>
                <w:p w14:paraId="3D934493">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130</w:t>
                  </w:r>
                </w:p>
              </w:tc>
              <w:tc>
                <w:tcPr>
                  <w:tcW w:w="725" w:type="pct"/>
                  <w:vMerge w:val="restart"/>
                  <w:vAlign w:val="center"/>
                </w:tcPr>
                <w:p w14:paraId="626FA071">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default"/>
                      <w:szCs w:val="21"/>
                      <w:u w:val="none"/>
                    </w:rPr>
                    <w:t>昼间</w:t>
                  </w:r>
                  <w:r>
                    <w:rPr>
                      <w:rFonts w:hint="eastAsia"/>
                      <w:szCs w:val="21"/>
                      <w:u w:val="none"/>
                      <w:lang w:eastAsia="zh-CN"/>
                    </w:rPr>
                    <w:t>：</w:t>
                  </w:r>
                  <w:r>
                    <w:rPr>
                      <w:rFonts w:hint="eastAsia"/>
                      <w:kern w:val="0"/>
                      <w:szCs w:val="21"/>
                      <w:u w:val="none"/>
                      <w:lang w:val="en-US" w:eastAsia="zh-CN" w:bidi="ar"/>
                    </w:rPr>
                    <w:t>17.8</w:t>
                  </w:r>
                </w:p>
                <w:p w14:paraId="47C14CD3">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default"/>
                      <w:szCs w:val="21"/>
                      <w:u w:val="none"/>
                    </w:rPr>
                    <w:t>夜间</w:t>
                  </w:r>
                  <w:r>
                    <w:rPr>
                      <w:rFonts w:hint="eastAsia"/>
                      <w:szCs w:val="21"/>
                      <w:u w:val="none"/>
                      <w:lang w:eastAsia="zh-CN"/>
                    </w:rPr>
                    <w:t>：</w:t>
                  </w:r>
                  <w:r>
                    <w:rPr>
                      <w:rFonts w:hint="eastAsia"/>
                      <w:kern w:val="0"/>
                      <w:szCs w:val="21"/>
                      <w:u w:val="none"/>
                      <w:lang w:val="en-US" w:eastAsia="zh-CN" w:bidi="ar"/>
                    </w:rPr>
                    <w:t>17.8</w:t>
                  </w:r>
                </w:p>
              </w:tc>
              <w:tc>
                <w:tcPr>
                  <w:tcW w:w="773" w:type="pct"/>
                  <w:vMerge w:val="restart"/>
                  <w:vAlign w:val="center"/>
                </w:tcPr>
                <w:p w14:paraId="75D6FE70">
                  <w:pPr>
                    <w:keepNext w:val="0"/>
                    <w:keepLines w:val="0"/>
                    <w:widowControl/>
                    <w:suppressLineNumbers w:val="0"/>
                    <w:spacing w:before="0" w:beforeAutospacing="0" w:after="0" w:afterAutospacing="0"/>
                    <w:ind w:left="0" w:right="0"/>
                    <w:jc w:val="center"/>
                    <w:textAlignment w:val="center"/>
                    <w:rPr>
                      <w:rFonts w:hint="default"/>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56</w:t>
                  </w:r>
                </w:p>
                <w:p w14:paraId="542F5B49">
                  <w:pPr>
                    <w:keepNext w:val="0"/>
                    <w:keepLines w:val="0"/>
                    <w:widowControl/>
                    <w:suppressLineNumbers w:val="0"/>
                    <w:spacing w:before="0" w:beforeAutospacing="0" w:after="0" w:afterAutospacing="0"/>
                    <w:ind w:left="0" w:right="0"/>
                    <w:jc w:val="center"/>
                    <w:textAlignment w:val="center"/>
                    <w:rPr>
                      <w:rFonts w:hint="default"/>
                      <w:szCs w:val="21"/>
                      <w:u w:val="none"/>
                    </w:rPr>
                  </w:pPr>
                  <w:r>
                    <w:rPr>
                      <w:rFonts w:hint="default"/>
                      <w:szCs w:val="21"/>
                      <w:u w:val="none"/>
                    </w:rPr>
                    <w:t>夜间</w:t>
                  </w:r>
                  <w:r>
                    <w:rPr>
                      <w:rFonts w:hint="eastAsia"/>
                      <w:szCs w:val="21"/>
                      <w:u w:val="none"/>
                      <w:lang w:eastAsia="zh-CN"/>
                    </w:rPr>
                    <w:t>：</w:t>
                  </w:r>
                  <w:r>
                    <w:rPr>
                      <w:rFonts w:hint="eastAsia"/>
                      <w:szCs w:val="21"/>
                      <w:u w:val="none"/>
                      <w:lang w:val="en-US" w:eastAsia="zh-CN"/>
                    </w:rPr>
                    <w:t>46</w:t>
                  </w:r>
                </w:p>
              </w:tc>
              <w:tc>
                <w:tcPr>
                  <w:tcW w:w="723" w:type="pct"/>
                  <w:vMerge w:val="restart"/>
                  <w:vAlign w:val="center"/>
                </w:tcPr>
                <w:p w14:paraId="63CCD31A">
                  <w:pPr>
                    <w:keepNext w:val="0"/>
                    <w:keepLines w:val="0"/>
                    <w:widowControl/>
                    <w:suppressLineNumbers w:val="0"/>
                    <w:spacing w:before="0" w:beforeAutospacing="0" w:after="0" w:afterAutospacing="0"/>
                    <w:ind w:left="0" w:right="0"/>
                    <w:jc w:val="center"/>
                    <w:textAlignment w:val="center"/>
                    <w:rPr>
                      <w:rFonts w:hint="default"/>
                      <w:szCs w:val="21"/>
                      <w:u w:val="none"/>
                      <w:lang w:val="en-US" w:eastAsia="zh-CN"/>
                    </w:rPr>
                  </w:pPr>
                  <w:r>
                    <w:rPr>
                      <w:rFonts w:hint="default"/>
                      <w:szCs w:val="21"/>
                      <w:u w:val="none"/>
                    </w:rPr>
                    <w:t>昼间</w:t>
                  </w:r>
                  <w:r>
                    <w:rPr>
                      <w:rFonts w:hint="eastAsia"/>
                      <w:szCs w:val="21"/>
                      <w:u w:val="none"/>
                      <w:lang w:eastAsia="zh-CN"/>
                    </w:rPr>
                    <w:t>：</w:t>
                  </w:r>
                  <w:r>
                    <w:rPr>
                      <w:rFonts w:hint="eastAsia"/>
                      <w:szCs w:val="21"/>
                      <w:u w:val="none"/>
                      <w:lang w:val="en-US" w:eastAsia="zh-CN"/>
                    </w:rPr>
                    <w:t>56</w:t>
                  </w:r>
                </w:p>
                <w:p w14:paraId="2A99D9F7">
                  <w:pPr>
                    <w:keepNext w:val="0"/>
                    <w:keepLines w:val="0"/>
                    <w:widowControl/>
                    <w:suppressLineNumbers w:val="0"/>
                    <w:spacing w:before="0" w:beforeAutospacing="0" w:after="0" w:afterAutospacing="0"/>
                    <w:ind w:left="0" w:right="0"/>
                    <w:jc w:val="center"/>
                    <w:textAlignment w:val="center"/>
                    <w:rPr>
                      <w:rFonts w:hint="default"/>
                      <w:szCs w:val="21"/>
                      <w:u w:val="none"/>
                    </w:rPr>
                  </w:pPr>
                  <w:r>
                    <w:rPr>
                      <w:rFonts w:hint="default"/>
                      <w:szCs w:val="21"/>
                      <w:u w:val="none"/>
                    </w:rPr>
                    <w:t>夜间</w:t>
                  </w:r>
                  <w:r>
                    <w:rPr>
                      <w:rFonts w:hint="eastAsia"/>
                      <w:szCs w:val="21"/>
                      <w:u w:val="none"/>
                      <w:lang w:eastAsia="zh-CN"/>
                    </w:rPr>
                    <w:t>：</w:t>
                  </w:r>
                  <w:r>
                    <w:rPr>
                      <w:rFonts w:hint="eastAsia"/>
                      <w:szCs w:val="21"/>
                      <w:u w:val="none"/>
                      <w:lang w:val="en-US" w:eastAsia="zh-CN"/>
                    </w:rPr>
                    <w:t>46</w:t>
                  </w:r>
                </w:p>
              </w:tc>
              <w:tc>
                <w:tcPr>
                  <w:tcW w:w="631" w:type="pct"/>
                  <w:vMerge w:val="continue"/>
                  <w:vAlign w:val="center"/>
                </w:tcPr>
                <w:p w14:paraId="051EC87C">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0B6FC835">
                  <w:pPr>
                    <w:keepNext w:val="0"/>
                    <w:keepLines w:val="0"/>
                    <w:suppressLineNumbers w:val="0"/>
                    <w:snapToGrid w:val="0"/>
                    <w:spacing w:before="0" w:beforeAutospacing="0" w:after="0" w:afterAutospacing="0"/>
                    <w:ind w:left="0" w:right="0"/>
                    <w:jc w:val="center"/>
                    <w:rPr>
                      <w:rFonts w:hint="default"/>
                      <w:szCs w:val="21"/>
                      <w:u w:val="none"/>
                    </w:rPr>
                  </w:pPr>
                </w:p>
              </w:tc>
            </w:tr>
            <w:tr w14:paraId="2063AC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452" w:type="pct"/>
                  <w:vMerge w:val="continue"/>
                  <w:vAlign w:val="center"/>
                </w:tcPr>
                <w:p w14:paraId="4393C358">
                  <w:pPr>
                    <w:keepNext w:val="0"/>
                    <w:keepLines w:val="0"/>
                    <w:suppressLineNumbers w:val="0"/>
                    <w:snapToGrid w:val="0"/>
                    <w:spacing w:before="0" w:beforeAutospacing="0" w:after="0" w:afterAutospacing="0"/>
                    <w:ind w:left="0" w:right="0"/>
                    <w:jc w:val="center"/>
                    <w:rPr>
                      <w:rFonts w:hint="default"/>
                      <w:szCs w:val="21"/>
                      <w:u w:val="none"/>
                    </w:rPr>
                  </w:pPr>
                </w:p>
              </w:tc>
              <w:tc>
                <w:tcPr>
                  <w:tcW w:w="489" w:type="pct"/>
                  <w:vAlign w:val="center"/>
                </w:tcPr>
                <w:p w14:paraId="4C8690DF">
                  <w:pPr>
                    <w:keepNext w:val="0"/>
                    <w:keepLines w:val="0"/>
                    <w:suppressLineNumbers w:val="0"/>
                    <w:snapToGrid w:val="0"/>
                    <w:spacing w:before="0" w:beforeAutospacing="0" w:after="0" w:afterAutospacing="0"/>
                    <w:ind w:left="0" w:right="0"/>
                    <w:jc w:val="center"/>
                    <w:rPr>
                      <w:rFonts w:hint="eastAsia" w:eastAsia="宋体"/>
                      <w:szCs w:val="21"/>
                      <w:u w:val="none"/>
                      <w:lang w:val="en-US" w:eastAsia="zh-CN"/>
                    </w:rPr>
                  </w:pPr>
                  <w:r>
                    <w:rPr>
                      <w:rFonts w:hint="eastAsia"/>
                      <w:szCs w:val="21"/>
                      <w:u w:val="none"/>
                      <w:lang w:val="en-US" w:eastAsia="zh-CN"/>
                    </w:rPr>
                    <w:t>锅炉房</w:t>
                  </w:r>
                </w:p>
              </w:tc>
              <w:tc>
                <w:tcPr>
                  <w:tcW w:w="676" w:type="pct"/>
                  <w:vAlign w:val="center"/>
                </w:tcPr>
                <w:p w14:paraId="0CE2058B">
                  <w:pPr>
                    <w:keepNext w:val="0"/>
                    <w:keepLines w:val="0"/>
                    <w:suppressLineNumbers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97</w:t>
                  </w:r>
                </w:p>
              </w:tc>
              <w:tc>
                <w:tcPr>
                  <w:tcW w:w="725" w:type="pct"/>
                  <w:vMerge w:val="continue"/>
                  <w:vAlign w:val="center"/>
                </w:tcPr>
                <w:p w14:paraId="0A0E5A19">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73" w:type="pct"/>
                  <w:vMerge w:val="continue"/>
                  <w:vAlign w:val="center"/>
                </w:tcPr>
                <w:p w14:paraId="131DAC39">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723" w:type="pct"/>
                  <w:vMerge w:val="continue"/>
                  <w:vAlign w:val="center"/>
                </w:tcPr>
                <w:p w14:paraId="08A62179">
                  <w:pPr>
                    <w:keepNext w:val="0"/>
                    <w:keepLines w:val="0"/>
                    <w:widowControl/>
                    <w:suppressLineNumbers w:val="0"/>
                    <w:spacing w:before="0" w:beforeAutospacing="0" w:after="0" w:afterAutospacing="0"/>
                    <w:ind w:left="0" w:right="0"/>
                    <w:jc w:val="center"/>
                    <w:textAlignment w:val="center"/>
                    <w:rPr>
                      <w:rFonts w:hint="default"/>
                      <w:szCs w:val="21"/>
                      <w:u w:val="none"/>
                    </w:rPr>
                  </w:pPr>
                </w:p>
              </w:tc>
              <w:tc>
                <w:tcPr>
                  <w:tcW w:w="631" w:type="pct"/>
                  <w:vMerge w:val="continue"/>
                  <w:vAlign w:val="center"/>
                </w:tcPr>
                <w:p w14:paraId="5D8AE6EC">
                  <w:pPr>
                    <w:keepNext w:val="0"/>
                    <w:keepLines w:val="0"/>
                    <w:suppressLineNumbers w:val="0"/>
                    <w:snapToGrid w:val="0"/>
                    <w:spacing w:before="0" w:beforeAutospacing="0" w:after="0" w:afterAutospacing="0"/>
                    <w:ind w:left="0" w:right="0"/>
                    <w:jc w:val="center"/>
                    <w:rPr>
                      <w:rFonts w:hint="default"/>
                      <w:szCs w:val="21"/>
                      <w:u w:val="none"/>
                    </w:rPr>
                  </w:pPr>
                </w:p>
              </w:tc>
              <w:tc>
                <w:tcPr>
                  <w:tcW w:w="528" w:type="pct"/>
                  <w:vMerge w:val="continue"/>
                  <w:vAlign w:val="center"/>
                </w:tcPr>
                <w:p w14:paraId="27115578">
                  <w:pPr>
                    <w:keepNext w:val="0"/>
                    <w:keepLines w:val="0"/>
                    <w:suppressLineNumbers w:val="0"/>
                    <w:snapToGrid w:val="0"/>
                    <w:spacing w:before="0" w:beforeAutospacing="0" w:after="0" w:afterAutospacing="0"/>
                    <w:ind w:left="0" w:right="0"/>
                    <w:jc w:val="center"/>
                    <w:rPr>
                      <w:rFonts w:hint="default"/>
                      <w:szCs w:val="21"/>
                      <w:u w:val="none"/>
                    </w:rPr>
                  </w:pPr>
                </w:p>
              </w:tc>
            </w:tr>
          </w:tbl>
          <w:p w14:paraId="77D56F46">
            <w:pPr>
              <w:keepNext w:val="0"/>
              <w:keepLines w:val="0"/>
              <w:widowControl/>
              <w:suppressLineNumbers w:val="0"/>
              <w:adjustRightInd w:val="0"/>
              <w:snapToGrid w:val="0"/>
              <w:spacing w:before="157" w:beforeLines="50" w:beforeAutospacing="0" w:after="0" w:afterAutospacing="0" w:line="360" w:lineRule="auto"/>
              <w:ind w:left="0" w:right="0" w:firstLine="480" w:firstLineChars="200"/>
              <w:rPr>
                <w:rFonts w:hint="default"/>
                <w:sz w:val="24"/>
                <w:u w:val="none"/>
              </w:rPr>
            </w:pPr>
            <w:r>
              <w:rPr>
                <w:rFonts w:hint="default"/>
                <w:sz w:val="24"/>
                <w:u w:val="none"/>
              </w:rPr>
              <w:t>由上表可知，建设项目正常营运时，在采取厂房隔声、减振、消声等措施处理后，各厂界噪声均能满足《工业企业厂界环境噪声排放标准》（GB12348-2008）3类标准要求，项目50m范围内没有声环境保护目标。因此项目建设对声环境影响可接受。</w:t>
            </w:r>
          </w:p>
          <w:p w14:paraId="44A43780">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sz w:val="24"/>
                <w:u w:val="none"/>
              </w:rPr>
            </w:pPr>
            <w:r>
              <w:rPr>
                <w:rFonts w:hint="default"/>
                <w:sz w:val="24"/>
                <w:u w:val="none"/>
              </w:rPr>
              <w:t>噪声防治措施：</w:t>
            </w:r>
          </w:p>
          <w:p w14:paraId="5E5A63A8">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sz w:val="24"/>
                <w:u w:val="none"/>
              </w:rPr>
            </w:pPr>
            <w:r>
              <w:rPr>
                <w:rFonts w:hint="default"/>
                <w:sz w:val="24"/>
                <w:u w:val="none"/>
              </w:rPr>
              <w:t>（1）采用适当的控制措施如厂房隔声和设备减振等；</w:t>
            </w:r>
          </w:p>
          <w:p w14:paraId="766E2252">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sz w:val="24"/>
                <w:u w:val="none"/>
              </w:rPr>
            </w:pPr>
            <w:r>
              <w:rPr>
                <w:rFonts w:hint="default"/>
                <w:sz w:val="24"/>
                <w:u w:val="none"/>
              </w:rPr>
              <w:t>（2）加强噪声设备的维护管理，避免因不正常运行所导致的噪声增大；</w:t>
            </w:r>
          </w:p>
          <w:p w14:paraId="7EA91F98">
            <w:pPr>
              <w:keepNext w:val="0"/>
              <w:keepLines w:val="0"/>
              <w:widowControl/>
              <w:suppressLineNumbers w:val="0"/>
              <w:adjustRightInd w:val="0"/>
              <w:snapToGrid w:val="0"/>
              <w:spacing w:before="0" w:beforeAutospacing="0" w:after="0" w:afterAutospacing="0" w:line="360" w:lineRule="auto"/>
              <w:ind w:left="0" w:right="0" w:firstLine="480" w:firstLineChars="200"/>
              <w:rPr>
                <w:rFonts w:hint="default"/>
                <w:sz w:val="24"/>
                <w:u w:val="none"/>
              </w:rPr>
            </w:pPr>
            <w:r>
              <w:rPr>
                <w:rFonts w:hint="default"/>
                <w:sz w:val="24"/>
                <w:u w:val="none"/>
              </w:rPr>
              <w:t>（3）对噪声相对较大的设备应加装隔声、消声措施，还应加强减振降噪措施，如在主要设备基础上加装橡胶减振垫、减振器，在风机出口安装消声器等。</w:t>
            </w:r>
          </w:p>
          <w:p w14:paraId="1F4419C3">
            <w:pPr>
              <w:keepNext w:val="0"/>
              <w:keepLines w:val="0"/>
              <w:widowControl/>
              <w:suppressLineNumbers w:val="0"/>
              <w:spacing w:before="0" w:beforeAutospacing="0" w:after="0" w:afterAutospacing="0" w:line="360" w:lineRule="auto"/>
              <w:ind w:left="0" w:right="0" w:firstLine="482" w:firstLineChars="200"/>
              <w:rPr>
                <w:rFonts w:hint="default" w:eastAsia="宋体"/>
                <w:b/>
                <w:bCs/>
                <w:sz w:val="24"/>
                <w:u w:val="none"/>
                <w:lang w:val="en-US" w:eastAsia="zh-CN"/>
              </w:rPr>
            </w:pPr>
            <w:r>
              <w:rPr>
                <w:rFonts w:hint="eastAsia"/>
                <w:b/>
                <w:bCs/>
                <w:sz w:val="24"/>
                <w:u w:val="none"/>
                <w:lang w:val="en-US" w:eastAsia="zh-CN"/>
              </w:rPr>
              <w:t>3.3监测计划</w:t>
            </w:r>
          </w:p>
          <w:p w14:paraId="48B3FEED">
            <w:pPr>
              <w:keepNext w:val="0"/>
              <w:keepLines w:val="0"/>
              <w:widowControl/>
              <w:suppressLineNumbers w:val="0"/>
              <w:spacing w:before="0" w:beforeAutospacing="0" w:after="0" w:afterAutospacing="0" w:line="360" w:lineRule="auto"/>
              <w:ind w:left="0" w:right="0" w:firstLine="480" w:firstLineChars="200"/>
              <w:rPr>
                <w:rFonts w:hint="default"/>
                <w:sz w:val="24"/>
                <w:u w:val="none"/>
              </w:rPr>
            </w:pPr>
            <w:r>
              <w:rPr>
                <w:rFonts w:hint="default"/>
                <w:sz w:val="24"/>
                <w:u w:val="none"/>
              </w:rPr>
              <w:t>根据《排污单位自行监测技术指南 总则》</w:t>
            </w:r>
            <w:r>
              <w:rPr>
                <w:rFonts w:hint="eastAsia"/>
                <w:sz w:val="24"/>
                <w:u w:val="none"/>
                <w:lang w:eastAsia="zh-CN"/>
              </w:rPr>
              <w:t>（</w:t>
            </w:r>
            <w:r>
              <w:rPr>
                <w:rFonts w:hint="default"/>
                <w:sz w:val="24"/>
                <w:u w:val="none"/>
              </w:rPr>
              <w:t>HJ819-2017</w:t>
            </w:r>
            <w:r>
              <w:rPr>
                <w:rFonts w:hint="eastAsia"/>
                <w:sz w:val="24"/>
                <w:u w:val="none"/>
                <w:lang w:eastAsia="zh-CN"/>
              </w:rPr>
              <w:t>）、</w:t>
            </w:r>
            <w:r>
              <w:rPr>
                <w:rFonts w:hint="default"/>
                <w:sz w:val="24"/>
                <w:u w:val="none"/>
                <w:lang w:eastAsia="zh-CN"/>
              </w:rPr>
              <w:t>《</w:t>
            </w:r>
            <w:r>
              <w:rPr>
                <w:rFonts w:hint="default"/>
                <w:sz w:val="24"/>
                <w:u w:val="none"/>
              </w:rPr>
              <w:t xml:space="preserve">排污单位自行监测技术指南 </w:t>
            </w:r>
            <w:r>
              <w:rPr>
                <w:rFonts w:hint="default"/>
                <w:sz w:val="24"/>
                <w:u w:val="none"/>
                <w:lang w:val="en-US" w:eastAsia="zh-CN"/>
              </w:rPr>
              <w:t>农副食品加工业</w:t>
            </w:r>
            <w:r>
              <w:rPr>
                <w:rFonts w:hint="default"/>
                <w:sz w:val="24"/>
                <w:u w:val="none"/>
                <w:lang w:eastAsia="zh-CN"/>
              </w:rPr>
              <w:t xml:space="preserve">》（HJ </w:t>
            </w:r>
            <w:r>
              <w:rPr>
                <w:rFonts w:hint="default"/>
                <w:sz w:val="24"/>
                <w:u w:val="none"/>
                <w:lang w:val="en-US" w:eastAsia="zh-CN"/>
              </w:rPr>
              <w:t>986-2018</w:t>
            </w:r>
            <w:r>
              <w:rPr>
                <w:rFonts w:hint="default"/>
                <w:sz w:val="24"/>
                <w:u w:val="none"/>
                <w:lang w:eastAsia="zh-CN"/>
              </w:rPr>
              <w:t>）</w:t>
            </w:r>
            <w:r>
              <w:rPr>
                <w:rFonts w:hint="default"/>
                <w:sz w:val="24"/>
                <w:u w:val="none"/>
              </w:rPr>
              <w:t>等相关要求，项目噪声自行监测方案如下：</w:t>
            </w:r>
          </w:p>
          <w:p w14:paraId="22EEF84E">
            <w:pPr>
              <w:pStyle w:val="33"/>
              <w:keepNext w:val="0"/>
              <w:keepLines w:val="0"/>
              <w:numPr>
                <w:ilvl w:val="0"/>
                <w:numId w:val="19"/>
              </w:numPr>
              <w:suppressLineNumbers w:val="0"/>
              <w:spacing w:before="0" w:beforeAutospacing="0" w:after="0" w:afterAutospacing="0"/>
              <w:ind w:right="0" w:firstLineChars="0"/>
              <w:jc w:val="center"/>
              <w:rPr>
                <w:rFonts w:hint="default"/>
                <w:b/>
                <w:sz w:val="24"/>
                <w:szCs w:val="24"/>
                <w:u w:val="none"/>
              </w:rPr>
            </w:pPr>
            <w:r>
              <w:rPr>
                <w:rFonts w:hint="eastAsia"/>
                <w:b/>
                <w:sz w:val="24"/>
                <w:szCs w:val="24"/>
                <w:u w:val="none"/>
                <w:lang w:val="en-US" w:eastAsia="zh-CN"/>
              </w:rPr>
              <w:t>本项目噪声</w:t>
            </w:r>
            <w:r>
              <w:rPr>
                <w:rFonts w:hint="default"/>
                <w:b/>
                <w:sz w:val="24"/>
                <w:szCs w:val="24"/>
                <w:u w:val="none"/>
              </w:rPr>
              <w:t>自行监测计划一览表</w:t>
            </w:r>
          </w:p>
          <w:tbl>
            <w:tblPr>
              <w:tblStyle w:val="24"/>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86"/>
              <w:gridCol w:w="2328"/>
              <w:gridCol w:w="1387"/>
              <w:gridCol w:w="3400"/>
            </w:tblGrid>
            <w:tr w14:paraId="30320A0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5" w:type="pct"/>
                  <w:vAlign w:val="center"/>
                </w:tcPr>
                <w:p w14:paraId="1D19B783">
                  <w:pPr>
                    <w:keepNext w:val="0"/>
                    <w:keepLines w:val="0"/>
                    <w:widowControl/>
                    <w:suppressLineNumbers w:val="0"/>
                    <w:adjustRightInd w:val="0"/>
                    <w:snapToGrid w:val="0"/>
                    <w:spacing w:before="0" w:beforeAutospacing="0" w:after="0" w:afterAutospacing="0"/>
                    <w:ind w:left="0" w:right="0"/>
                    <w:jc w:val="center"/>
                    <w:rPr>
                      <w:rFonts w:hint="default"/>
                      <w:b/>
                      <w:bCs/>
                      <w:szCs w:val="21"/>
                      <w:u w:val="none"/>
                    </w:rPr>
                  </w:pPr>
                  <w:r>
                    <w:rPr>
                      <w:rFonts w:hint="default"/>
                      <w:b/>
                      <w:bCs/>
                      <w:szCs w:val="21"/>
                      <w:u w:val="none"/>
                    </w:rPr>
                    <w:t>监测点位</w:t>
                  </w:r>
                </w:p>
              </w:tc>
              <w:tc>
                <w:tcPr>
                  <w:tcW w:w="1385" w:type="pct"/>
                  <w:vAlign w:val="center"/>
                </w:tcPr>
                <w:p w14:paraId="4870B055">
                  <w:pPr>
                    <w:keepNext w:val="0"/>
                    <w:keepLines w:val="0"/>
                    <w:widowControl/>
                    <w:suppressLineNumbers w:val="0"/>
                    <w:adjustRightInd w:val="0"/>
                    <w:snapToGrid w:val="0"/>
                    <w:spacing w:before="0" w:beforeAutospacing="0" w:after="0" w:afterAutospacing="0"/>
                    <w:ind w:left="0" w:right="0"/>
                    <w:jc w:val="center"/>
                    <w:rPr>
                      <w:rFonts w:hint="default"/>
                      <w:b/>
                      <w:bCs/>
                      <w:szCs w:val="21"/>
                      <w:u w:val="none"/>
                    </w:rPr>
                  </w:pPr>
                  <w:r>
                    <w:rPr>
                      <w:rFonts w:hint="default"/>
                      <w:b/>
                      <w:bCs/>
                      <w:szCs w:val="21"/>
                      <w:u w:val="none"/>
                    </w:rPr>
                    <w:t>监测指标</w:t>
                  </w:r>
                </w:p>
              </w:tc>
              <w:tc>
                <w:tcPr>
                  <w:tcW w:w="825" w:type="pct"/>
                  <w:vAlign w:val="center"/>
                </w:tcPr>
                <w:p w14:paraId="7A527EEF">
                  <w:pPr>
                    <w:keepNext w:val="0"/>
                    <w:keepLines w:val="0"/>
                    <w:widowControl/>
                    <w:suppressLineNumbers w:val="0"/>
                    <w:adjustRightInd w:val="0"/>
                    <w:snapToGrid w:val="0"/>
                    <w:spacing w:before="0" w:beforeAutospacing="0" w:after="0" w:afterAutospacing="0"/>
                    <w:ind w:left="0" w:right="0"/>
                    <w:jc w:val="center"/>
                    <w:rPr>
                      <w:rFonts w:hint="default"/>
                      <w:b/>
                      <w:bCs/>
                      <w:szCs w:val="21"/>
                      <w:u w:val="none"/>
                    </w:rPr>
                  </w:pPr>
                  <w:r>
                    <w:rPr>
                      <w:rFonts w:hint="default"/>
                      <w:b/>
                      <w:bCs/>
                      <w:szCs w:val="21"/>
                      <w:u w:val="none"/>
                    </w:rPr>
                    <w:t>监测频率</w:t>
                  </w:r>
                </w:p>
              </w:tc>
              <w:tc>
                <w:tcPr>
                  <w:tcW w:w="2023" w:type="pct"/>
                  <w:vAlign w:val="center"/>
                </w:tcPr>
                <w:p w14:paraId="15D83BC8">
                  <w:pPr>
                    <w:keepNext w:val="0"/>
                    <w:keepLines w:val="0"/>
                    <w:widowControl/>
                    <w:suppressLineNumbers w:val="0"/>
                    <w:adjustRightInd w:val="0"/>
                    <w:snapToGrid w:val="0"/>
                    <w:spacing w:before="0" w:beforeAutospacing="0" w:after="0" w:afterAutospacing="0"/>
                    <w:ind w:left="0" w:right="0"/>
                    <w:jc w:val="center"/>
                    <w:rPr>
                      <w:rFonts w:hint="default"/>
                      <w:b/>
                      <w:bCs/>
                      <w:szCs w:val="21"/>
                      <w:u w:val="none"/>
                    </w:rPr>
                  </w:pPr>
                  <w:r>
                    <w:rPr>
                      <w:rFonts w:hint="default"/>
                      <w:b/>
                      <w:bCs/>
                      <w:szCs w:val="21"/>
                      <w:u w:val="none"/>
                    </w:rPr>
                    <w:t>执行标准</w:t>
                  </w:r>
                </w:p>
              </w:tc>
            </w:tr>
            <w:tr w14:paraId="604C68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7" w:hRule="atLeast"/>
                <w:jc w:val="center"/>
              </w:trPr>
              <w:tc>
                <w:tcPr>
                  <w:tcW w:w="765" w:type="pct"/>
                  <w:vAlign w:val="center"/>
                </w:tcPr>
                <w:p w14:paraId="65560CF1">
                  <w:pPr>
                    <w:keepNext w:val="0"/>
                    <w:keepLines w:val="0"/>
                    <w:widowControl/>
                    <w:suppressLineNumbers w:val="0"/>
                    <w:adjustRightInd w:val="0"/>
                    <w:snapToGrid w:val="0"/>
                    <w:spacing w:before="0" w:beforeAutospacing="0" w:after="0" w:afterAutospacing="0"/>
                    <w:ind w:left="0" w:right="0"/>
                    <w:jc w:val="center"/>
                    <w:rPr>
                      <w:rFonts w:hint="default"/>
                      <w:szCs w:val="21"/>
                      <w:u w:val="none"/>
                    </w:rPr>
                  </w:pPr>
                  <w:r>
                    <w:rPr>
                      <w:rFonts w:hint="default"/>
                      <w:szCs w:val="21"/>
                      <w:u w:val="none"/>
                    </w:rPr>
                    <w:t>厂界四周</w:t>
                  </w:r>
                </w:p>
              </w:tc>
              <w:tc>
                <w:tcPr>
                  <w:tcW w:w="1385" w:type="pct"/>
                  <w:vAlign w:val="center"/>
                </w:tcPr>
                <w:p w14:paraId="146651FF">
                  <w:pPr>
                    <w:keepNext w:val="0"/>
                    <w:keepLines w:val="0"/>
                    <w:widowControl/>
                    <w:suppressLineNumbers w:val="0"/>
                    <w:spacing w:before="0" w:beforeAutospacing="0" w:after="0" w:afterAutospacing="0"/>
                    <w:ind w:left="0" w:right="0"/>
                    <w:jc w:val="center"/>
                    <w:rPr>
                      <w:rFonts w:hint="default"/>
                      <w:szCs w:val="21"/>
                      <w:u w:val="none"/>
                    </w:rPr>
                  </w:pPr>
                  <w:r>
                    <w:rPr>
                      <w:rFonts w:hint="default"/>
                      <w:szCs w:val="21"/>
                      <w:u w:val="none"/>
                    </w:rPr>
                    <w:t>昼夜等效连续A声级</w:t>
                  </w:r>
                </w:p>
              </w:tc>
              <w:tc>
                <w:tcPr>
                  <w:tcW w:w="825" w:type="pct"/>
                  <w:vAlign w:val="center"/>
                </w:tcPr>
                <w:p w14:paraId="724F9F68">
                  <w:pPr>
                    <w:keepNext w:val="0"/>
                    <w:keepLines w:val="0"/>
                    <w:widowControl/>
                    <w:suppressLineNumbers w:val="0"/>
                    <w:adjustRightInd w:val="0"/>
                    <w:snapToGrid w:val="0"/>
                    <w:spacing w:before="0" w:beforeAutospacing="0" w:after="0" w:afterAutospacing="0"/>
                    <w:ind w:left="0" w:right="0"/>
                    <w:jc w:val="center"/>
                    <w:rPr>
                      <w:rFonts w:hint="default" w:eastAsia="宋体"/>
                      <w:szCs w:val="21"/>
                      <w:u w:val="none"/>
                      <w:lang w:val="en-US" w:eastAsia="zh-CN"/>
                    </w:rPr>
                  </w:pPr>
                  <w:r>
                    <w:rPr>
                      <w:rFonts w:hint="eastAsia"/>
                      <w:szCs w:val="21"/>
                      <w:u w:val="none"/>
                      <w:lang w:val="en-US" w:eastAsia="zh-CN"/>
                    </w:rPr>
                    <w:t>1次/季度</w:t>
                  </w:r>
                </w:p>
              </w:tc>
              <w:tc>
                <w:tcPr>
                  <w:tcW w:w="2023" w:type="pct"/>
                  <w:vAlign w:val="center"/>
                </w:tcPr>
                <w:p w14:paraId="33A5B278">
                  <w:pPr>
                    <w:keepNext w:val="0"/>
                    <w:keepLines w:val="0"/>
                    <w:widowControl/>
                    <w:suppressLineNumbers w:val="0"/>
                    <w:spacing w:before="0" w:beforeAutospacing="0" w:after="0" w:afterAutospacing="0"/>
                    <w:ind w:left="0" w:right="0"/>
                    <w:jc w:val="center"/>
                    <w:rPr>
                      <w:rFonts w:hint="default"/>
                      <w:szCs w:val="21"/>
                      <w:u w:val="none"/>
                    </w:rPr>
                  </w:pPr>
                  <w:r>
                    <w:rPr>
                      <w:rFonts w:hint="default"/>
                      <w:szCs w:val="21"/>
                      <w:u w:val="none"/>
                    </w:rPr>
                    <w:t>《工业企业厂界环境噪声排放标准》（GB12348-2008）</w:t>
                  </w:r>
                </w:p>
              </w:tc>
            </w:tr>
          </w:tbl>
          <w:p w14:paraId="207FF40B">
            <w:pPr>
              <w:keepNext w:val="0"/>
              <w:keepLines w:val="0"/>
              <w:widowControl/>
              <w:suppressLineNumbers w:val="0"/>
              <w:adjustRightInd w:val="0"/>
              <w:snapToGrid w:val="0"/>
              <w:spacing w:before="120" w:beforeLines="50" w:beforeAutospacing="0" w:after="0" w:afterAutospacing="0" w:line="360" w:lineRule="auto"/>
              <w:ind w:left="0" w:right="0"/>
              <w:rPr>
                <w:rFonts w:hint="default"/>
                <w:b/>
                <w:bCs/>
                <w:spacing w:val="-10"/>
                <w:sz w:val="28"/>
                <w:szCs w:val="28"/>
              </w:rPr>
            </w:pPr>
            <w:r>
              <w:rPr>
                <w:rFonts w:hint="default"/>
                <w:b/>
                <w:bCs/>
                <w:spacing w:val="-10"/>
                <w:sz w:val="28"/>
                <w:szCs w:val="28"/>
              </w:rPr>
              <w:t>4、固废</w:t>
            </w:r>
          </w:p>
          <w:p w14:paraId="34B9C95A">
            <w:pPr>
              <w:keepNext w:val="0"/>
              <w:keepLines w:val="0"/>
              <w:widowControl/>
              <w:suppressLineNumbers w:val="0"/>
              <w:spacing w:before="0" w:beforeAutospacing="0" w:after="0" w:afterAutospacing="0" w:line="360" w:lineRule="auto"/>
              <w:ind w:left="0" w:right="0" w:firstLine="480" w:firstLineChars="200"/>
              <w:rPr>
                <w:rFonts w:hint="eastAsia"/>
                <w:sz w:val="24"/>
                <w:u w:val="none"/>
                <w:lang w:val="en-US" w:eastAsia="zh-CN"/>
              </w:rPr>
            </w:pPr>
            <w:r>
              <w:rPr>
                <w:rFonts w:hint="eastAsia"/>
                <w:sz w:val="24"/>
                <w:u w:val="none"/>
                <w:lang w:val="en-US" w:eastAsia="zh-CN"/>
              </w:rPr>
              <w:t>本</w:t>
            </w:r>
            <w:r>
              <w:rPr>
                <w:rFonts w:hint="default"/>
                <w:sz w:val="24"/>
                <w:u w:val="none"/>
              </w:rPr>
              <w:t>项目固体废物主要为</w:t>
            </w:r>
            <w:r>
              <w:rPr>
                <w:rFonts w:hint="eastAsia"/>
                <w:sz w:val="24"/>
                <w:u w:val="none"/>
                <w:lang w:val="en-US" w:eastAsia="zh-CN"/>
              </w:rPr>
              <w:t>一般工业固体废物、危险废物和生活垃圾。</w:t>
            </w:r>
          </w:p>
          <w:p w14:paraId="5E8FAD86">
            <w:pPr>
              <w:keepNext w:val="0"/>
              <w:keepLines w:val="0"/>
              <w:widowControl/>
              <w:numPr>
                <w:ilvl w:val="0"/>
                <w:numId w:val="22"/>
              </w:numPr>
              <w:suppressLineNumbers w:val="0"/>
              <w:spacing w:before="0" w:beforeAutospacing="0" w:after="0" w:afterAutospacing="0" w:line="360" w:lineRule="auto"/>
              <w:ind w:left="0" w:right="0" w:firstLine="480" w:firstLineChars="200"/>
              <w:rPr>
                <w:rFonts w:hint="default"/>
                <w:sz w:val="24"/>
                <w:u w:val="none"/>
              </w:rPr>
            </w:pPr>
            <w:r>
              <w:rPr>
                <w:rFonts w:hint="eastAsia"/>
                <w:sz w:val="24"/>
                <w:u w:val="none"/>
                <w:lang w:val="en-US" w:eastAsia="zh-CN"/>
              </w:rPr>
              <w:t>生活垃圾</w:t>
            </w:r>
          </w:p>
          <w:p w14:paraId="356CD1AA">
            <w:pPr>
              <w:pStyle w:val="11"/>
              <w:keepNext w:val="0"/>
              <w:keepLines w:val="0"/>
              <w:suppressLineNumbers w:val="0"/>
              <w:spacing w:before="0" w:beforeAutospacing="0" w:after="0" w:afterAutospacing="0"/>
              <w:ind w:left="0"/>
              <w:rPr>
                <w:rFonts w:hint="default"/>
                <w:lang w:val="en-US"/>
              </w:rPr>
            </w:pPr>
            <w:r>
              <w:rPr>
                <w:rFonts w:hint="eastAsia"/>
                <w:sz w:val="24"/>
                <w:u w:val="none"/>
                <w:lang w:val="en-US" w:eastAsia="zh-CN"/>
              </w:rPr>
              <w:t>本项目新增劳动定员85人，年工作时间250天，生活垃圾产生量按照0.5kg/人</w:t>
            </w:r>
            <w:r>
              <w:rPr>
                <w:rFonts w:hint="default" w:ascii="Times New Roman" w:hAnsi="Times New Roman" w:cs="Times New Roman"/>
                <w:sz w:val="24"/>
                <w:u w:val="none"/>
                <w:lang w:val="en-US" w:eastAsia="zh-CN"/>
              </w:rPr>
              <w:t>·</w:t>
            </w:r>
            <w:r>
              <w:rPr>
                <w:rFonts w:hint="eastAsia"/>
                <w:sz w:val="24"/>
                <w:u w:val="none"/>
                <w:lang w:val="en-US" w:eastAsia="zh-CN"/>
              </w:rPr>
              <w:t>d计算，则本项目营运期间生活垃圾产生量为10.6t/a。</w:t>
            </w:r>
          </w:p>
          <w:p w14:paraId="451349F4">
            <w:pPr>
              <w:keepNext w:val="0"/>
              <w:keepLines w:val="0"/>
              <w:widowControl/>
              <w:numPr>
                <w:ilvl w:val="0"/>
                <w:numId w:val="22"/>
              </w:numPr>
              <w:suppressLineNumbers w:val="0"/>
              <w:spacing w:before="0" w:beforeAutospacing="0" w:after="0" w:afterAutospacing="0" w:line="360" w:lineRule="auto"/>
              <w:ind w:left="0" w:right="0" w:firstLine="480" w:firstLineChars="200"/>
              <w:rPr>
                <w:rFonts w:hint="default"/>
                <w:sz w:val="24"/>
                <w:u w:val="none"/>
              </w:rPr>
            </w:pPr>
            <w:r>
              <w:rPr>
                <w:rFonts w:hint="eastAsia"/>
                <w:sz w:val="24"/>
                <w:u w:val="none"/>
                <w:lang w:val="en-US" w:eastAsia="zh-CN"/>
              </w:rPr>
              <w:t>一般工业固体废物</w:t>
            </w:r>
          </w:p>
          <w:p w14:paraId="2E7AC86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sz w:val="24"/>
                <w:u w:val="single"/>
              </w:rPr>
            </w:pPr>
            <w:r>
              <w:rPr>
                <w:rFonts w:hint="eastAsia"/>
                <w:sz w:val="24"/>
                <w:u w:val="none"/>
                <w:lang w:val="en-US" w:eastAsia="zh-CN"/>
              </w:rPr>
              <w:t>本项目一般工业固体废物包含</w:t>
            </w:r>
            <w:r>
              <w:rPr>
                <w:rFonts w:hint="default"/>
                <w:sz w:val="24"/>
                <w:u w:val="none"/>
              </w:rPr>
              <w:t>生产过程中产生的</w:t>
            </w:r>
            <w:r>
              <w:rPr>
                <w:rFonts w:hint="eastAsia"/>
                <w:sz w:val="24"/>
                <w:u w:val="none"/>
                <w:lang w:val="en-US" w:eastAsia="zh-CN"/>
              </w:rPr>
              <w:t>不合格产品</w:t>
            </w:r>
            <w:r>
              <w:rPr>
                <w:rFonts w:hint="default"/>
                <w:sz w:val="24"/>
                <w:u w:val="none"/>
              </w:rPr>
              <w:t>、</w:t>
            </w:r>
            <w:r>
              <w:rPr>
                <w:rFonts w:hint="eastAsia"/>
                <w:sz w:val="24"/>
                <w:u w:val="none"/>
                <w:lang w:val="en-US" w:eastAsia="zh-CN"/>
              </w:rPr>
              <w:t>废边角料、废包装袋、油炸废物、锅炉渣灰、除尘器渣灰、软水机废离子交换树脂</w:t>
            </w:r>
            <w:r>
              <w:rPr>
                <w:rFonts w:hint="default"/>
                <w:sz w:val="24"/>
                <w:u w:val="none"/>
              </w:rPr>
              <w:t>等。</w:t>
            </w:r>
            <w:r>
              <w:rPr>
                <w:rFonts w:hint="eastAsia"/>
                <w:sz w:val="24"/>
                <w:u w:val="none"/>
                <w:lang w:val="en-US" w:eastAsia="zh-CN"/>
              </w:rPr>
              <w:t>具体</w:t>
            </w:r>
            <w:r>
              <w:rPr>
                <w:rFonts w:hint="default"/>
                <w:sz w:val="24"/>
                <w:u w:val="none"/>
              </w:rPr>
              <w:t>情况如下：</w:t>
            </w:r>
          </w:p>
          <w:p w14:paraId="59748ECC">
            <w:pPr>
              <w:keepNext w:val="0"/>
              <w:keepLines w:val="0"/>
              <w:widowControl/>
              <w:suppressLineNumbers w:val="0"/>
              <w:spacing w:before="0" w:beforeAutospacing="0" w:after="0" w:afterAutospacing="0" w:line="360" w:lineRule="auto"/>
              <w:ind w:left="0" w:right="0" w:firstLine="480" w:firstLineChars="200"/>
              <w:rPr>
                <w:rFonts w:hint="eastAsia" w:eastAsia="宋体"/>
                <w:sz w:val="24"/>
                <w:u w:val="none"/>
                <w:lang w:val="en-US" w:eastAsia="zh-CN"/>
              </w:rPr>
            </w:pPr>
            <w:r>
              <w:rPr>
                <w:rFonts w:hint="eastAsia" w:ascii="宋体" w:hAnsi="宋体" w:cs="宋体"/>
                <w:sz w:val="24"/>
                <w:u w:val="none"/>
              </w:rPr>
              <w:t>①</w:t>
            </w:r>
            <w:r>
              <w:rPr>
                <w:rFonts w:hint="default"/>
                <w:sz w:val="24"/>
                <w:u w:val="none"/>
              </w:rPr>
              <w:t>不合格</w:t>
            </w:r>
            <w:r>
              <w:rPr>
                <w:rFonts w:hint="eastAsia"/>
                <w:sz w:val="24"/>
                <w:u w:val="none"/>
                <w:lang w:val="en-US" w:eastAsia="zh-CN"/>
              </w:rPr>
              <w:t>产品</w:t>
            </w:r>
          </w:p>
          <w:p w14:paraId="01B7B098">
            <w:pPr>
              <w:keepNext w:val="0"/>
              <w:keepLines w:val="0"/>
              <w:widowControl/>
              <w:suppressLineNumbers w:val="0"/>
              <w:spacing w:before="0" w:beforeAutospacing="0" w:after="0" w:afterAutospacing="0" w:line="360" w:lineRule="auto"/>
              <w:ind w:left="0" w:right="0" w:firstLine="480" w:firstLineChars="200"/>
              <w:rPr>
                <w:rFonts w:hint="default"/>
                <w:sz w:val="24"/>
                <w:u w:val="none"/>
                <w:lang w:val="en-US"/>
              </w:rPr>
            </w:pPr>
            <w:r>
              <w:rPr>
                <w:rFonts w:hint="default"/>
                <w:sz w:val="24"/>
                <w:u w:val="none"/>
              </w:rPr>
              <w:t>本项目</w:t>
            </w:r>
            <w:r>
              <w:rPr>
                <w:rFonts w:hint="eastAsia"/>
                <w:sz w:val="24"/>
                <w:u w:val="none"/>
                <w:lang w:val="en-US" w:eastAsia="zh-CN"/>
              </w:rPr>
              <w:t>肉制品及鹌鹑蛋制品生产工艺杀菌以及金检过程均可能会产生不合格产品，主要是包装有泄露、重量不达标的产品，本项目不合格产品按产品的0.3%计算，本项目肉制品产量为5000吨、鹌鹑蛋产量为3000吨，则本项目不合格产品产生量为24t/a。</w:t>
            </w:r>
          </w:p>
          <w:p w14:paraId="5CE30B1C">
            <w:pPr>
              <w:keepNext w:val="0"/>
              <w:keepLines w:val="0"/>
              <w:widowControl/>
              <w:suppressLineNumbers w:val="0"/>
              <w:spacing w:before="0" w:beforeAutospacing="0" w:after="0" w:afterAutospacing="0" w:line="360" w:lineRule="auto"/>
              <w:ind w:left="0" w:right="0" w:firstLine="480" w:firstLineChars="200"/>
              <w:rPr>
                <w:rFonts w:hint="default" w:eastAsia="宋体"/>
                <w:sz w:val="24"/>
                <w:u w:val="none"/>
                <w:lang w:val="en-US" w:eastAsia="zh-CN"/>
              </w:rPr>
            </w:pPr>
            <w:r>
              <w:rPr>
                <w:rFonts w:hint="eastAsia" w:ascii="宋体" w:hAnsi="宋体" w:cs="宋体"/>
                <w:sz w:val="24"/>
                <w:u w:val="none"/>
              </w:rPr>
              <w:t>②</w:t>
            </w:r>
            <w:r>
              <w:rPr>
                <w:rFonts w:hint="eastAsia" w:ascii="宋体" w:hAnsi="宋体" w:cs="宋体"/>
                <w:sz w:val="24"/>
                <w:u w:val="none"/>
                <w:lang w:val="en-US" w:eastAsia="zh-CN"/>
              </w:rPr>
              <w:t>废边角料、油炸废物</w:t>
            </w:r>
          </w:p>
          <w:p w14:paraId="1AC30A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sz w:val="24"/>
                <w:u w:val="none"/>
                <w:lang w:val="en-US" w:eastAsia="zh-CN"/>
              </w:rPr>
            </w:pPr>
            <w:r>
              <w:rPr>
                <w:rFonts w:hint="default"/>
                <w:sz w:val="24"/>
                <w:u w:val="none"/>
              </w:rPr>
              <w:t>本项目</w:t>
            </w:r>
            <w:r>
              <w:rPr>
                <w:rFonts w:hint="eastAsia"/>
                <w:sz w:val="24"/>
                <w:u w:val="none"/>
                <w:lang w:val="en-US" w:eastAsia="zh-CN"/>
              </w:rPr>
              <w:t>肉制品生产工艺中废边角料主要来源于原料验收、清理定型以及裁切阶段，废边角料的产生量按照原料的2%计算，根据建设方提供资料肉制品年用量为5200吨，则肉制品生产过程产生的废边角料为104t/a；鹌鹑蛋制品生产工艺中废边角料主要来源于原料验收、预煮、煮制、去壳及挑选阶段，废边角料的产生量按照原料的3%计算，根据建设方提供资料鹌鹑蛋的年用量为3110吨，则鹌鹑蛋生产过程产生的废边角料为93.3t/a；肉制品油炸工艺过程会产生一部分油炸废物，该部分废料按照原料的1.5%计算，肉制品原料年用量为5200吨，则油炸废物产生量为78t/a。</w:t>
            </w:r>
          </w:p>
          <w:p w14:paraId="1255615B">
            <w:pPr>
              <w:pStyle w:val="11"/>
              <w:keepNext w:val="0"/>
              <w:keepLines w:val="0"/>
              <w:suppressLineNumbers w:val="0"/>
              <w:spacing w:before="0" w:beforeAutospacing="0" w:after="0" w:afterAutospacing="0"/>
              <w:ind w:left="0"/>
              <w:rPr>
                <w:rFonts w:hint="default"/>
                <w:lang w:val="en-US"/>
              </w:rPr>
            </w:pPr>
            <w:r>
              <w:rPr>
                <w:rFonts w:hint="eastAsia"/>
                <w:sz w:val="24"/>
                <w:u w:val="none"/>
                <w:lang w:val="en-US" w:eastAsia="zh-CN"/>
              </w:rPr>
              <w:t>根据建设方提供资料，本项目生产过程中产生的不合格产品、废边角料及油炸废物均收集暂存于一般固废暂存间，由第三方公司定期收购。</w:t>
            </w:r>
          </w:p>
          <w:p w14:paraId="1670A2B9">
            <w:pPr>
              <w:keepNext w:val="0"/>
              <w:keepLines w:val="0"/>
              <w:widowControl/>
              <w:suppressLineNumbers w:val="0"/>
              <w:spacing w:before="0" w:beforeAutospacing="0" w:after="0" w:afterAutospacing="0" w:line="360" w:lineRule="auto"/>
              <w:ind w:left="0" w:right="0" w:firstLine="480" w:firstLineChars="200"/>
              <w:rPr>
                <w:rFonts w:hint="default" w:eastAsia="宋体"/>
                <w:sz w:val="24"/>
                <w:highlight w:val="yellow"/>
                <w:u w:val="none"/>
                <w:lang w:val="en-US" w:eastAsia="zh-CN"/>
              </w:rPr>
            </w:pPr>
            <w:r>
              <w:rPr>
                <w:rFonts w:hint="eastAsia" w:ascii="宋体" w:hAnsi="宋体" w:cs="宋体"/>
                <w:sz w:val="24"/>
                <w:highlight w:val="none"/>
                <w:u w:val="none"/>
              </w:rPr>
              <w:t>③</w:t>
            </w:r>
            <w:r>
              <w:rPr>
                <w:rFonts w:hint="eastAsia" w:ascii="宋体" w:hAnsi="宋体" w:cs="宋体"/>
                <w:sz w:val="24"/>
                <w:highlight w:val="none"/>
                <w:u w:val="none"/>
                <w:lang w:val="en-US" w:eastAsia="zh-CN"/>
              </w:rPr>
              <w:t>锅炉渣灰及除尘器粉尘</w:t>
            </w:r>
          </w:p>
          <w:p w14:paraId="01C02250">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w:r>
              <w:rPr>
                <w:rFonts w:hint="default"/>
                <w:sz w:val="24"/>
                <w:highlight w:val="none"/>
                <w:u w:val="none"/>
              </w:rPr>
              <w:t>本项目</w:t>
            </w:r>
            <w:r>
              <w:rPr>
                <w:rFonts w:hint="eastAsia"/>
                <w:sz w:val="24"/>
                <w:highlight w:val="none"/>
                <w:u w:val="none"/>
                <w:lang w:val="en-US" w:eastAsia="zh-CN"/>
              </w:rPr>
              <w:t>生物质锅炉产生的渣灰根据《污染源源强核算技术指南锅炉》（HJ991- 2018），燃生物质锅炉灰渣产生量可根据灰渣平衡按下式计算。</w:t>
            </w:r>
          </w:p>
          <w:p w14:paraId="1F1B4F47">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m:oMathPara>
              <m:oMath>
                <m:sSub>
                  <m:sSubPr>
                    <m:ctrlPr>
                      <w:rPr>
                        <w:rFonts w:hint="eastAsia" w:ascii="Cambria Math" w:hAnsi="Cambria Math"/>
                        <w:sz w:val="24"/>
                        <w:highlight w:val="none"/>
                        <w:u w:val="none"/>
                        <w:lang w:val="en-US" w:eastAsia="zh-CN"/>
                      </w:rPr>
                    </m:ctrlPr>
                  </m:sSubPr>
                  <m:e>
                    <m:r>
                      <m:rPr>
                        <m:sty m:val="p"/>
                      </m:rPr>
                      <w:rPr>
                        <w:rFonts w:hint="eastAsia" w:ascii="Cambria Math" w:hAnsi="Cambria Math"/>
                        <w:sz w:val="24"/>
                        <w:highlight w:val="none"/>
                        <w:u w:val="none"/>
                        <w:lang w:val="en-US" w:eastAsia="zh-CN"/>
                      </w:rPr>
                      <m:t>E</m:t>
                    </m:r>
                    <m:ctrlPr>
                      <w:rPr>
                        <w:rFonts w:hint="eastAsia" w:ascii="Cambria Math" w:hAnsi="Cambria Math"/>
                        <w:sz w:val="24"/>
                        <w:highlight w:val="none"/>
                        <w:u w:val="none"/>
                        <w:lang w:val="en-US" w:eastAsia="zh-CN"/>
                      </w:rPr>
                    </m:ctrlPr>
                  </m:e>
                  <m:sub>
                    <m:r>
                      <m:rPr>
                        <m:sty m:val="p"/>
                      </m:rPr>
                      <w:rPr>
                        <w:rFonts w:hint="eastAsia" w:ascii="Cambria Math" w:hAnsi="Cambria Math"/>
                        <w:sz w:val="24"/>
                        <w:highlight w:val="none"/>
                        <w:u w:val="none"/>
                        <w:lang w:val="en-US" w:eastAsia="zh-CN"/>
                      </w:rPr>
                      <m:t>hz</m:t>
                    </m:r>
                    <m:ctrlPr>
                      <w:rPr>
                        <w:rFonts w:hint="eastAsia" w:ascii="Cambria Math" w:hAnsi="Cambria Math"/>
                        <w:sz w:val="24"/>
                        <w:highlight w:val="none"/>
                        <w:u w:val="none"/>
                        <w:lang w:val="en-US" w:eastAsia="zh-CN"/>
                      </w:rPr>
                    </m:ctrlPr>
                  </m:sub>
                </m:sSub>
                <m:r>
                  <m:rPr>
                    <m:sty m:val="p"/>
                  </m:rPr>
                  <w:rPr>
                    <w:rFonts w:hint="eastAsia" w:ascii="Cambria Math" w:hAnsi="Cambria Math"/>
                    <w:sz w:val="24"/>
                    <w:highlight w:val="none"/>
                    <w:u w:val="none"/>
                    <w:lang w:val="en-US" w:eastAsia="zh-CN"/>
                  </w:rPr>
                  <m:t>=R×</m:t>
                </m:r>
                <m:d>
                  <m:dPr>
                    <m:ctrlPr>
                      <w:rPr>
                        <w:rFonts w:hint="eastAsia" w:ascii="Cambria Math" w:hAnsi="Cambria Math"/>
                        <w:sz w:val="24"/>
                        <w:highlight w:val="none"/>
                        <w:u w:val="none"/>
                        <w:lang w:val="en-US" w:eastAsia="zh-CN"/>
                      </w:rPr>
                    </m:ctrlPr>
                  </m:dPr>
                  <m:e>
                    <m:f>
                      <m:fPr>
                        <m:ctrlPr>
                          <w:rPr>
                            <w:rFonts w:hint="eastAsia" w:ascii="Cambria Math" w:hAnsi="Cambria Math"/>
                            <w:sz w:val="24"/>
                            <w:highlight w:val="none"/>
                            <w:u w:val="none"/>
                            <w:lang w:val="en-US" w:eastAsia="zh-CN"/>
                          </w:rPr>
                        </m:ctrlPr>
                      </m:fPr>
                      <m:num>
                        <m:sSub>
                          <m:sSubPr>
                            <m:ctrlPr>
                              <w:rPr>
                                <w:rFonts w:hint="eastAsia" w:ascii="Cambria Math" w:hAnsi="Cambria Math"/>
                                <w:sz w:val="24"/>
                                <w:highlight w:val="none"/>
                                <w:u w:val="none"/>
                                <w:lang w:val="en-US" w:eastAsia="zh-CN"/>
                              </w:rPr>
                            </m:ctrlPr>
                          </m:sSubPr>
                          <m:e>
                            <m:r>
                              <m:rPr>
                                <m:sty m:val="p"/>
                              </m:rPr>
                              <w:rPr>
                                <w:rFonts w:hint="eastAsia" w:ascii="Cambria Math" w:hAnsi="Cambria Math"/>
                                <w:sz w:val="24"/>
                                <w:highlight w:val="none"/>
                                <w:u w:val="none"/>
                                <w:lang w:val="en-US" w:eastAsia="zh-CN"/>
                              </w:rPr>
                              <m:t>A</m:t>
                            </m:r>
                            <m:ctrlPr>
                              <w:rPr>
                                <w:rFonts w:hint="eastAsia" w:ascii="Cambria Math" w:hAnsi="Cambria Math"/>
                                <w:sz w:val="24"/>
                                <w:highlight w:val="none"/>
                                <w:u w:val="none"/>
                                <w:lang w:val="en-US" w:eastAsia="zh-CN"/>
                              </w:rPr>
                            </m:ctrlPr>
                          </m:e>
                          <m:sub>
                            <m:r>
                              <m:rPr>
                                <m:sty m:val="p"/>
                              </m:rPr>
                              <w:rPr>
                                <w:rFonts w:hint="eastAsia" w:ascii="Cambria Math" w:hAnsi="Cambria Math"/>
                                <w:sz w:val="24"/>
                                <w:highlight w:val="none"/>
                                <w:u w:val="none"/>
                                <w:lang w:val="en-US" w:eastAsia="zh-CN"/>
                              </w:rPr>
                              <m:t>ar</m:t>
                            </m:r>
                            <m:ctrlPr>
                              <w:rPr>
                                <w:rFonts w:hint="eastAsia" w:ascii="Cambria Math" w:hAnsi="Cambria Math"/>
                                <w:sz w:val="24"/>
                                <w:highlight w:val="none"/>
                                <w:u w:val="none"/>
                                <w:lang w:val="en-US" w:eastAsia="zh-CN"/>
                              </w:rPr>
                            </m:ctrlPr>
                          </m:sub>
                        </m:sSub>
                        <m:ctrlPr>
                          <w:rPr>
                            <w:rFonts w:hint="eastAsia" w:ascii="Cambria Math" w:hAnsi="Cambria Math"/>
                            <w:sz w:val="24"/>
                            <w:highlight w:val="none"/>
                            <w:u w:val="none"/>
                            <w:lang w:val="en-US" w:eastAsia="zh-CN"/>
                          </w:rPr>
                        </m:ctrlPr>
                      </m:num>
                      <m:den>
                        <m:r>
                          <m:rPr>
                            <m:sty m:val="p"/>
                          </m:rPr>
                          <w:rPr>
                            <w:rFonts w:hint="eastAsia" w:ascii="Cambria Math" w:hAnsi="Cambria Math"/>
                            <w:sz w:val="24"/>
                            <w:highlight w:val="none"/>
                            <w:u w:val="none"/>
                            <w:lang w:val="en-US" w:eastAsia="zh-CN"/>
                          </w:rPr>
                          <m:t>100</m:t>
                        </m:r>
                        <m:ctrlPr>
                          <w:rPr>
                            <w:rFonts w:hint="eastAsia" w:ascii="Cambria Math" w:hAnsi="Cambria Math"/>
                            <w:sz w:val="24"/>
                            <w:highlight w:val="none"/>
                            <w:u w:val="none"/>
                            <w:lang w:val="en-US" w:eastAsia="zh-CN"/>
                          </w:rPr>
                        </m:ctrlPr>
                      </m:den>
                    </m:f>
                    <m:r>
                      <m:rPr>
                        <m:sty m:val="p"/>
                      </m:rPr>
                      <w:rPr>
                        <w:rFonts w:hint="eastAsia" w:ascii="Cambria Math" w:hAnsi="Cambria Math"/>
                        <w:sz w:val="24"/>
                        <w:highlight w:val="none"/>
                        <w:u w:val="none"/>
                        <w:lang w:val="en-US" w:eastAsia="zh-CN"/>
                      </w:rPr>
                      <m:t>+</m:t>
                    </m:r>
                    <m:f>
                      <m:fPr>
                        <m:ctrlPr>
                          <w:rPr>
                            <w:rFonts w:hint="eastAsia" w:ascii="Cambria Math" w:hAnsi="Cambria Math"/>
                            <w:sz w:val="24"/>
                            <w:highlight w:val="none"/>
                            <w:u w:val="none"/>
                            <w:lang w:val="en-US" w:eastAsia="zh-CN"/>
                          </w:rPr>
                        </m:ctrlPr>
                      </m:fPr>
                      <m:num>
                        <m:sSub>
                          <m:sSubPr>
                            <m:ctrlPr>
                              <w:rPr>
                                <w:rFonts w:hint="eastAsia" w:ascii="Cambria Math" w:hAnsi="Cambria Math"/>
                                <w:sz w:val="24"/>
                                <w:highlight w:val="none"/>
                                <w:u w:val="none"/>
                                <w:lang w:val="en-US" w:eastAsia="zh-CN"/>
                              </w:rPr>
                            </m:ctrlPr>
                          </m:sSubPr>
                          <m:e>
                            <m:r>
                              <m:rPr>
                                <m:sty m:val="p"/>
                              </m:rPr>
                              <w:rPr>
                                <w:rFonts w:hint="eastAsia" w:ascii="Cambria Math" w:hAnsi="Cambria Math"/>
                                <w:sz w:val="24"/>
                                <w:highlight w:val="none"/>
                                <w:u w:val="none"/>
                                <w:lang w:val="en-US" w:eastAsia="zh-CN"/>
                              </w:rPr>
                              <m:t>q</m:t>
                            </m:r>
                            <m:ctrlPr>
                              <w:rPr>
                                <w:rFonts w:hint="eastAsia" w:ascii="Cambria Math" w:hAnsi="Cambria Math"/>
                                <w:sz w:val="24"/>
                                <w:highlight w:val="none"/>
                                <w:u w:val="none"/>
                                <w:lang w:val="en-US" w:eastAsia="zh-CN"/>
                              </w:rPr>
                            </m:ctrlPr>
                          </m:e>
                          <m:sub>
                            <m:r>
                              <m:rPr>
                                <m:sty m:val="p"/>
                              </m:rPr>
                              <w:rPr>
                                <w:rFonts w:hint="eastAsia" w:ascii="Cambria Math" w:hAnsi="Cambria Math"/>
                                <w:sz w:val="24"/>
                                <w:highlight w:val="none"/>
                                <w:u w:val="none"/>
                                <w:lang w:val="en-US" w:eastAsia="zh-CN"/>
                              </w:rPr>
                              <m:t>4</m:t>
                            </m:r>
                            <m:ctrlPr>
                              <w:rPr>
                                <w:rFonts w:hint="eastAsia" w:ascii="Cambria Math" w:hAnsi="Cambria Math"/>
                                <w:sz w:val="24"/>
                                <w:highlight w:val="none"/>
                                <w:u w:val="none"/>
                                <w:lang w:val="en-US" w:eastAsia="zh-CN"/>
                              </w:rPr>
                            </m:ctrlPr>
                          </m:sub>
                        </m:sSub>
                        <m:r>
                          <m:rPr>
                            <m:sty m:val="p"/>
                          </m:rPr>
                          <w:rPr>
                            <w:rFonts w:hint="eastAsia" w:ascii="Cambria Math" w:hAnsi="Cambria Math"/>
                            <w:sz w:val="24"/>
                            <w:highlight w:val="none"/>
                            <w:u w:val="none"/>
                            <w:lang w:val="en-US" w:eastAsia="zh-CN"/>
                          </w:rPr>
                          <m:t>×</m:t>
                        </m:r>
                        <m:sSub>
                          <m:sSubPr>
                            <m:ctrlPr>
                              <w:rPr>
                                <w:rFonts w:hint="eastAsia" w:ascii="Cambria Math" w:hAnsi="Cambria Math"/>
                                <w:sz w:val="24"/>
                                <w:highlight w:val="none"/>
                                <w:u w:val="none"/>
                                <w:lang w:val="en-US" w:eastAsia="zh-CN"/>
                              </w:rPr>
                            </m:ctrlPr>
                          </m:sSubPr>
                          <m:e>
                            <m:r>
                              <m:rPr>
                                <m:sty m:val="p"/>
                              </m:rPr>
                              <w:rPr>
                                <w:rFonts w:hint="eastAsia" w:ascii="Cambria Math" w:hAnsi="Cambria Math"/>
                                <w:sz w:val="24"/>
                                <w:highlight w:val="none"/>
                                <w:u w:val="none"/>
                                <w:lang w:val="en-US" w:eastAsia="zh-CN"/>
                              </w:rPr>
                              <m:t>Q</m:t>
                            </m:r>
                            <m:ctrlPr>
                              <w:rPr>
                                <w:rFonts w:hint="eastAsia" w:ascii="Cambria Math" w:hAnsi="Cambria Math"/>
                                <w:sz w:val="24"/>
                                <w:highlight w:val="none"/>
                                <w:u w:val="none"/>
                                <w:lang w:val="en-US" w:eastAsia="zh-CN"/>
                              </w:rPr>
                            </m:ctrlPr>
                          </m:e>
                          <m:sub>
                            <m:r>
                              <m:rPr>
                                <m:sty m:val="p"/>
                              </m:rPr>
                              <w:rPr>
                                <w:rFonts w:hint="eastAsia" w:ascii="Cambria Math" w:hAnsi="Cambria Math"/>
                                <w:sz w:val="24"/>
                                <w:highlight w:val="none"/>
                                <w:u w:val="none"/>
                                <w:lang w:val="en-US" w:eastAsia="zh-CN"/>
                              </w:rPr>
                              <m:t>net，ar</m:t>
                            </m:r>
                            <m:ctrlPr>
                              <w:rPr>
                                <w:rFonts w:hint="eastAsia" w:ascii="Cambria Math" w:hAnsi="Cambria Math"/>
                                <w:sz w:val="24"/>
                                <w:highlight w:val="none"/>
                                <w:u w:val="none"/>
                                <w:lang w:val="en-US" w:eastAsia="zh-CN"/>
                              </w:rPr>
                            </m:ctrlPr>
                          </m:sub>
                        </m:sSub>
                        <m:ctrlPr>
                          <w:rPr>
                            <w:rFonts w:hint="eastAsia" w:ascii="Cambria Math" w:hAnsi="Cambria Math"/>
                            <w:sz w:val="24"/>
                            <w:highlight w:val="none"/>
                            <w:u w:val="none"/>
                            <w:lang w:val="en-US" w:eastAsia="zh-CN"/>
                          </w:rPr>
                        </m:ctrlPr>
                      </m:num>
                      <m:den>
                        <m:r>
                          <m:rPr>
                            <m:sty m:val="p"/>
                          </m:rPr>
                          <w:rPr>
                            <w:rFonts w:hint="eastAsia" w:ascii="Cambria Math" w:hAnsi="Cambria Math"/>
                            <w:sz w:val="24"/>
                            <w:highlight w:val="none"/>
                            <w:u w:val="none"/>
                            <w:lang w:val="en-US" w:eastAsia="zh-CN"/>
                          </w:rPr>
                          <m:t>100×33870</m:t>
                        </m:r>
                        <m:ctrlPr>
                          <w:rPr>
                            <w:rFonts w:hint="eastAsia" w:ascii="Cambria Math" w:hAnsi="Cambria Math"/>
                            <w:sz w:val="24"/>
                            <w:highlight w:val="none"/>
                            <w:u w:val="none"/>
                            <w:lang w:val="en-US" w:eastAsia="zh-CN"/>
                          </w:rPr>
                        </m:ctrlPr>
                      </m:den>
                    </m:f>
                    <m:ctrlPr>
                      <w:rPr>
                        <w:rFonts w:hint="eastAsia" w:ascii="Cambria Math" w:hAnsi="Cambria Math"/>
                        <w:sz w:val="24"/>
                        <w:highlight w:val="none"/>
                        <w:u w:val="none"/>
                        <w:lang w:val="en-US" w:eastAsia="zh-CN"/>
                      </w:rPr>
                    </m:ctrlPr>
                  </m:e>
                </m:d>
              </m:oMath>
            </m:oMathPara>
          </w:p>
          <w:p w14:paraId="7D2894EE">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w:r>
              <w:rPr>
                <w:rFonts w:hint="eastAsia"/>
                <w:sz w:val="24"/>
                <w:highlight w:val="none"/>
                <w:u w:val="none"/>
                <w:lang w:val="en-US" w:eastAsia="zh-CN"/>
              </w:rPr>
              <w:t>式中：Ehz——核算时段内灰渣产生量，t；</w:t>
            </w:r>
          </w:p>
          <w:p w14:paraId="0627EE1E">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w:r>
              <w:rPr>
                <w:rFonts w:hint="eastAsia"/>
                <w:sz w:val="24"/>
                <w:highlight w:val="none"/>
                <w:u w:val="none"/>
                <w:lang w:val="en-US" w:eastAsia="zh-CN"/>
              </w:rPr>
              <w:t>R——核算时段内锅炉燃料耗量，t，本项目为3396t；</w:t>
            </w:r>
          </w:p>
          <w:p w14:paraId="2747E339">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w:r>
              <w:rPr>
                <w:rFonts w:hint="eastAsia"/>
                <w:sz w:val="24"/>
                <w:highlight w:val="none"/>
                <w:u w:val="none"/>
                <w:lang w:val="en-US" w:eastAsia="zh-CN"/>
              </w:rPr>
              <w:t>Aar——收到基灰分的质量分数，%，本项目为3.48；</w:t>
            </w:r>
          </w:p>
          <w:p w14:paraId="2A5094E6">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w:r>
              <w:rPr>
                <w:rFonts w:hint="eastAsia"/>
                <w:sz w:val="24"/>
                <w:highlight w:val="none"/>
                <w:u w:val="none"/>
                <w:lang w:val="en-US" w:eastAsia="zh-CN"/>
              </w:rPr>
              <w:t>q4——锅炉机械不完全燃烧热损失，%，本项目取10；</w:t>
            </w:r>
          </w:p>
          <w:p w14:paraId="022544E5">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w:r>
              <w:rPr>
                <w:rFonts w:hint="eastAsia"/>
                <w:sz w:val="24"/>
                <w:highlight w:val="none"/>
                <w:u w:val="none"/>
                <w:lang w:val="en-US" w:eastAsia="zh-CN"/>
              </w:rPr>
              <w:t>Qnet，ar——收到基低位发热量，kJ/kg，本项目为17455。</w:t>
            </w:r>
          </w:p>
          <w:p w14:paraId="6EE7F88C">
            <w:pPr>
              <w:keepNext w:val="0"/>
              <w:keepLines w:val="0"/>
              <w:suppressLineNumbers w:val="0"/>
              <w:spacing w:before="0" w:beforeAutospacing="0" w:after="0" w:afterAutospacing="0" w:line="360" w:lineRule="auto"/>
              <w:ind w:left="0" w:right="0" w:firstLine="480" w:firstLineChars="200"/>
              <w:rPr>
                <w:rFonts w:hint="eastAsia"/>
                <w:sz w:val="24"/>
                <w:highlight w:val="none"/>
                <w:u w:val="none"/>
                <w:lang w:val="en-US" w:eastAsia="zh-CN"/>
              </w:rPr>
            </w:pPr>
            <w:r>
              <w:rPr>
                <w:rFonts w:hint="eastAsia"/>
                <w:sz w:val="24"/>
                <w:highlight w:val="none"/>
                <w:u w:val="none"/>
                <w:lang w:val="en-US" w:eastAsia="zh-CN"/>
              </w:rPr>
              <w:t>经计算，本项目锅炉燃烧的灰渣产生量为293.19t/a。</w:t>
            </w:r>
          </w:p>
          <w:p w14:paraId="6BE5D1EE">
            <w:pPr>
              <w:pStyle w:val="2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highlight w:val="yellow"/>
                <w:lang w:val="en-US" w:eastAsia="zh-CN"/>
              </w:rPr>
            </w:pPr>
            <w:r>
              <w:rPr>
                <w:rFonts w:hint="eastAsia"/>
                <w:lang w:val="en-US" w:eastAsia="zh-CN"/>
              </w:rPr>
              <w:t>除尘器收集的粉尘主要为生物质颗粒燃烧后产生的灰渣，根据表4-2可知，颗粒物产生量1.698t/a，“单管旋风除尘器+布袋除尘器”工</w:t>
            </w:r>
            <w:r>
              <w:rPr>
                <w:rFonts w:hint="eastAsia"/>
                <w:highlight w:val="none"/>
                <w:lang w:val="en-US" w:eastAsia="zh-CN"/>
              </w:rPr>
              <w:t>艺综合除尘效率为95.5%，则除尘器收集颗粒物为1.622t/a。</w:t>
            </w:r>
          </w:p>
          <w:p w14:paraId="3349EA88">
            <w:pPr>
              <w:keepNext w:val="0"/>
              <w:keepLines w:val="0"/>
              <w:suppressLineNumbers w:val="0"/>
              <w:spacing w:before="0" w:beforeAutospacing="0" w:after="0" w:afterAutospacing="0" w:line="360" w:lineRule="auto"/>
              <w:ind w:left="0" w:right="0" w:firstLine="480" w:firstLineChars="200"/>
              <w:rPr>
                <w:rFonts w:hint="default" w:eastAsia="宋体"/>
                <w:sz w:val="24"/>
                <w:highlight w:val="none"/>
                <w:u w:val="none"/>
                <w:lang w:val="en-US" w:eastAsia="zh-CN"/>
              </w:rPr>
            </w:pPr>
            <w:r>
              <w:rPr>
                <w:rFonts w:hint="eastAsia"/>
                <w:sz w:val="24"/>
                <w:highlight w:val="none"/>
                <w:u w:val="none"/>
                <w:lang w:val="en-US" w:eastAsia="zh-CN"/>
              </w:rPr>
              <w:t>锅炉渣灰</w:t>
            </w:r>
            <w:r>
              <w:rPr>
                <w:rFonts w:hint="default" w:eastAsia="宋体"/>
                <w:sz w:val="24"/>
                <w:highlight w:val="none"/>
                <w:u w:val="none"/>
                <w:lang w:val="en-US" w:eastAsia="zh-CN"/>
              </w:rPr>
              <w:t>一般固废代码为非特定行业生产过程中产生的一般固体废物锅炉渣 900-999-64（指工业和民用锅炉及其他设备燃烧煤或其他燃料所排出的废渣（灰），包括煤渣、稻壳灰等）。</w:t>
            </w:r>
          </w:p>
          <w:p w14:paraId="0F03DA5F">
            <w:pPr>
              <w:keepNext w:val="0"/>
              <w:keepLines w:val="0"/>
              <w:suppressLineNumbers w:val="0"/>
              <w:spacing w:before="0" w:beforeAutospacing="0" w:after="0" w:afterAutospacing="0" w:line="360" w:lineRule="auto"/>
              <w:ind w:left="0" w:right="0" w:firstLine="480" w:firstLineChars="200"/>
              <w:rPr>
                <w:rFonts w:hint="default" w:eastAsia="宋体"/>
                <w:sz w:val="24"/>
                <w:highlight w:val="none"/>
                <w:u w:val="none"/>
                <w:lang w:val="en-US" w:eastAsia="zh-CN"/>
              </w:rPr>
            </w:pPr>
            <w:r>
              <w:rPr>
                <w:rFonts w:hint="eastAsia"/>
                <w:sz w:val="24"/>
                <w:highlight w:val="none"/>
                <w:u w:val="none"/>
                <w:lang w:val="en-US" w:eastAsia="zh-CN"/>
              </w:rPr>
              <w:t>本</w:t>
            </w:r>
            <w:r>
              <w:rPr>
                <w:rFonts w:hint="default" w:eastAsia="宋体"/>
                <w:sz w:val="24"/>
                <w:highlight w:val="none"/>
                <w:u w:val="none"/>
                <w:lang w:val="en-US" w:eastAsia="zh-CN"/>
              </w:rPr>
              <w:t>项目生物质燃料不添加任何化学物质，燃烧后产生的灰渣与除尘灰渣均为秸秆等生物质燃烧后残留物，主要成分为钾、镁、磷和钙等无机物，与秸秆、木材等焚烧的草木灰性质成分类似，不具有毒性与环境危害，</w:t>
            </w:r>
            <w:r>
              <w:rPr>
                <w:rFonts w:hint="eastAsia"/>
                <w:sz w:val="24"/>
                <w:highlight w:val="none"/>
                <w:u w:val="none"/>
                <w:lang w:val="en-US" w:eastAsia="zh-CN"/>
              </w:rPr>
              <w:t>根据建设单位提供资料，锅炉燃烧产生的炉底渣灰水冷</w:t>
            </w:r>
            <w:r>
              <w:rPr>
                <w:rFonts w:hint="default" w:eastAsia="宋体"/>
                <w:sz w:val="24"/>
                <w:highlight w:val="none"/>
                <w:u w:val="none"/>
                <w:lang w:val="en-US" w:eastAsia="zh-CN"/>
              </w:rPr>
              <w:t>收集后</w:t>
            </w:r>
            <w:r>
              <w:rPr>
                <w:rFonts w:hint="eastAsia"/>
                <w:sz w:val="24"/>
                <w:highlight w:val="none"/>
                <w:u w:val="none"/>
                <w:lang w:val="en-US" w:eastAsia="zh-CN"/>
              </w:rPr>
              <w:t>与布袋除尘器收集的渣灰一起外运用</w:t>
            </w:r>
            <w:r>
              <w:rPr>
                <w:rFonts w:hint="default" w:eastAsia="宋体"/>
                <w:sz w:val="24"/>
                <w:highlight w:val="none"/>
                <w:u w:val="none"/>
                <w:lang w:val="en-US" w:eastAsia="zh-CN"/>
              </w:rPr>
              <w:t>于农肥</w:t>
            </w:r>
            <w:r>
              <w:rPr>
                <w:rFonts w:hint="eastAsia"/>
                <w:sz w:val="24"/>
                <w:highlight w:val="none"/>
                <w:u w:val="none"/>
                <w:lang w:val="en-US" w:eastAsia="zh-CN"/>
              </w:rPr>
              <w:t>，外运的炉底渣灰含水量为20%，即本项目外运渣灰量为353.45t/a。</w:t>
            </w:r>
          </w:p>
          <w:p w14:paraId="743CE866">
            <w:pPr>
              <w:keepNext w:val="0"/>
              <w:keepLines w:val="0"/>
              <w:widowControl/>
              <w:suppressLineNumbers w:val="0"/>
              <w:spacing w:before="0" w:beforeAutospacing="0" w:after="0" w:afterAutospacing="0" w:line="360" w:lineRule="auto"/>
              <w:ind w:left="0" w:right="0" w:firstLine="480" w:firstLineChars="200"/>
              <w:rPr>
                <w:rFonts w:hint="default" w:eastAsia="宋体"/>
                <w:sz w:val="24"/>
                <w:u w:val="none"/>
                <w:lang w:val="en-US" w:eastAsia="zh-CN"/>
              </w:rPr>
            </w:pPr>
            <w:r>
              <w:rPr>
                <w:rFonts w:hint="eastAsia" w:ascii="宋体" w:hAnsi="宋体" w:cs="宋体"/>
                <w:sz w:val="24"/>
                <w:u w:val="none"/>
              </w:rPr>
              <w:t>④</w:t>
            </w:r>
            <w:r>
              <w:rPr>
                <w:rFonts w:hint="default"/>
                <w:sz w:val="24"/>
                <w:u w:val="none"/>
              </w:rPr>
              <w:t>废</w:t>
            </w:r>
            <w:r>
              <w:rPr>
                <w:rFonts w:hint="eastAsia"/>
                <w:sz w:val="24"/>
                <w:u w:val="none"/>
                <w:lang w:val="en-US" w:eastAsia="zh-CN"/>
              </w:rPr>
              <w:t>包装袋</w:t>
            </w:r>
          </w:p>
          <w:p w14:paraId="6FBD4AE4">
            <w:pPr>
              <w:keepNext w:val="0"/>
              <w:keepLines w:val="0"/>
              <w:widowControl/>
              <w:suppressLineNumbers w:val="0"/>
              <w:spacing w:before="0" w:beforeAutospacing="0" w:after="0" w:afterAutospacing="0" w:line="360" w:lineRule="auto"/>
              <w:ind w:left="0" w:right="0" w:firstLine="480" w:firstLineChars="200"/>
              <w:rPr>
                <w:rFonts w:hint="eastAsia"/>
                <w:sz w:val="24"/>
                <w:u w:val="none"/>
                <w:lang w:val="en-US" w:eastAsia="zh-CN"/>
              </w:rPr>
            </w:pPr>
            <w:r>
              <w:rPr>
                <w:rFonts w:hint="eastAsia"/>
                <w:sz w:val="24"/>
                <w:u w:val="none"/>
                <w:lang w:val="en-US" w:eastAsia="zh-CN"/>
              </w:rPr>
              <w:t>本</w:t>
            </w:r>
            <w:r>
              <w:rPr>
                <w:rFonts w:hint="default"/>
                <w:sz w:val="24"/>
                <w:u w:val="none"/>
              </w:rPr>
              <w:t>项目</w:t>
            </w:r>
            <w:r>
              <w:rPr>
                <w:rFonts w:hint="eastAsia"/>
                <w:sz w:val="24"/>
                <w:u w:val="none"/>
                <w:lang w:val="en-US" w:eastAsia="zh-CN"/>
              </w:rPr>
              <w:t>在原料脱包、产品包装过程产生废包装材料，产生量约2t/a，分类收集后外售废品回收公司。</w:t>
            </w:r>
          </w:p>
          <w:p w14:paraId="1AD259DF">
            <w:pPr>
              <w:pStyle w:val="11"/>
              <w:keepNext w:val="0"/>
              <w:keepLines w:val="0"/>
              <w:suppressLineNumbers w:val="0"/>
              <w:spacing w:before="0" w:beforeAutospacing="0" w:after="0" w:afterAutospacing="0"/>
              <w:ind w:left="0"/>
              <w:rPr>
                <w:rFonts w:hint="eastAsia"/>
                <w:lang w:val="en-US" w:eastAsia="zh-CN"/>
              </w:rPr>
            </w:pPr>
            <w:r>
              <w:rPr>
                <w:rFonts w:hint="eastAsia"/>
                <w:lang w:val="en-US" w:eastAsia="zh-CN"/>
              </w:rPr>
              <w:t>⑤沉淀池沉渣</w:t>
            </w:r>
          </w:p>
          <w:p w14:paraId="248076C9">
            <w:pPr>
              <w:pStyle w:val="11"/>
              <w:keepNext w:val="0"/>
              <w:keepLines w:val="0"/>
              <w:suppressLineNumbers w:val="0"/>
              <w:spacing w:before="0" w:beforeAutospacing="0" w:after="0" w:afterAutospacing="0"/>
              <w:ind w:left="0"/>
              <w:rPr>
                <w:rFonts w:hint="eastAsia"/>
                <w:lang w:val="en-US" w:eastAsia="zh-CN"/>
              </w:rPr>
            </w:pPr>
            <w:r>
              <w:rPr>
                <w:rFonts w:hint="eastAsia"/>
                <w:lang w:val="en-US" w:eastAsia="zh-CN"/>
              </w:rPr>
              <w:t>本项目原辅材料用量为9110t/a，项目原料残渣量为原料量的0.02%，故沉淀池沉渣产生量为1.822t/a，根据建设方提供资料，厂区沉淀池半年清渣一次，沉渣外运处理。</w:t>
            </w:r>
          </w:p>
          <w:p w14:paraId="5279CBE6">
            <w:pPr>
              <w:pStyle w:val="11"/>
              <w:keepNext w:val="0"/>
              <w:keepLines w:val="0"/>
              <w:suppressLineNumbers w:val="0"/>
              <w:spacing w:before="0" w:beforeAutospacing="0" w:after="0" w:afterAutospacing="0"/>
              <w:ind w:left="0"/>
              <w:rPr>
                <w:rFonts w:hint="eastAsia"/>
                <w:lang w:val="en-US" w:eastAsia="zh-CN"/>
              </w:rPr>
            </w:pPr>
            <w:r>
              <w:rPr>
                <w:rFonts w:hint="eastAsia"/>
                <w:lang w:val="en-US" w:eastAsia="zh-CN"/>
              </w:rPr>
              <w:t>⑥废离子交换树脂</w:t>
            </w:r>
          </w:p>
          <w:p w14:paraId="4260029F">
            <w:pPr>
              <w:pStyle w:val="11"/>
              <w:keepNext w:val="0"/>
              <w:keepLines w:val="0"/>
              <w:suppressLineNumbers w:val="0"/>
              <w:spacing w:before="0" w:beforeAutospacing="0" w:after="0" w:afterAutospacing="0"/>
              <w:ind w:left="0"/>
              <w:rPr>
                <w:rFonts w:hint="eastAsia"/>
                <w:highlight w:val="yellow"/>
                <w:lang w:val="en-US" w:eastAsia="zh-CN"/>
              </w:rPr>
            </w:pPr>
            <w:r>
              <w:rPr>
                <w:rFonts w:hint="default"/>
                <w:lang w:val="en-US" w:eastAsia="zh-CN"/>
              </w:rPr>
              <w:t>本项目软化水系统需要定期更换其中的组件，每</w:t>
            </w:r>
            <w:r>
              <w:rPr>
                <w:rFonts w:hint="eastAsia"/>
                <w:lang w:val="en-US" w:eastAsia="zh-CN"/>
              </w:rPr>
              <w:t>两</w:t>
            </w:r>
            <w:r>
              <w:rPr>
                <w:rFonts w:hint="default"/>
                <w:lang w:val="en-US" w:eastAsia="zh-CN"/>
              </w:rPr>
              <w:t>年更换一次。根据建设单位提供资料可知，废离子交换树脂产生量为</w:t>
            </w:r>
            <w:r>
              <w:rPr>
                <w:rFonts w:hint="eastAsia"/>
                <w:lang w:val="en-US" w:eastAsia="zh-CN"/>
              </w:rPr>
              <w:t>2吨</w:t>
            </w:r>
            <w:r>
              <w:rPr>
                <w:rFonts w:hint="default"/>
                <w:lang w:val="en-US" w:eastAsia="zh-CN"/>
              </w:rPr>
              <w:t>/</w:t>
            </w:r>
            <w:r>
              <w:rPr>
                <w:rFonts w:hint="eastAsia"/>
                <w:lang w:val="en-US" w:eastAsia="zh-CN"/>
              </w:rPr>
              <w:t>次</w:t>
            </w:r>
            <w:r>
              <w:rPr>
                <w:rFonts w:hint="default"/>
                <w:lang w:val="en-US" w:eastAsia="zh-CN"/>
              </w:rPr>
              <w:t>。</w:t>
            </w:r>
            <w:r>
              <w:rPr>
                <w:rFonts w:hint="eastAsia"/>
                <w:lang w:val="en-US" w:eastAsia="zh-CN"/>
              </w:rPr>
              <w:t>暂存于一般固废暂存间，由废品回收单位回收后进行综合利用。</w:t>
            </w:r>
          </w:p>
          <w:p w14:paraId="3E6AA0E8">
            <w:pPr>
              <w:keepNext w:val="0"/>
              <w:keepLines w:val="0"/>
              <w:suppressLineNumbers w:val="0"/>
              <w:spacing w:before="0" w:beforeAutospacing="0" w:after="0" w:afterAutospacing="0" w:line="360" w:lineRule="auto"/>
              <w:ind w:left="0" w:right="0" w:firstLine="480" w:firstLineChars="200"/>
              <w:rPr>
                <w:rFonts w:hint="default"/>
                <w:sz w:val="24"/>
                <w:lang w:val="en-US" w:eastAsia="zh-CN"/>
              </w:rPr>
            </w:pPr>
            <w:r>
              <w:rPr>
                <w:rFonts w:hint="eastAsia"/>
                <w:sz w:val="24"/>
                <w:lang w:val="en-US" w:eastAsia="zh-CN"/>
              </w:rPr>
              <w:t>⑦</w:t>
            </w:r>
            <w:r>
              <w:rPr>
                <w:rFonts w:hint="default"/>
                <w:sz w:val="24"/>
                <w:lang w:val="en-US" w:eastAsia="zh-CN"/>
              </w:rPr>
              <w:t>废食用油</w:t>
            </w:r>
          </w:p>
          <w:p w14:paraId="3FCA2213">
            <w:pPr>
              <w:keepNext w:val="0"/>
              <w:keepLines w:val="0"/>
              <w:suppressLineNumbers w:val="0"/>
              <w:spacing w:before="0" w:beforeAutospacing="0" w:after="0" w:afterAutospacing="0" w:line="360" w:lineRule="auto"/>
              <w:ind w:left="0" w:right="0" w:firstLine="480" w:firstLineChars="200"/>
              <w:rPr>
                <w:rFonts w:hint="default"/>
                <w:sz w:val="24"/>
                <w:lang w:val="en-US" w:eastAsia="zh-CN"/>
              </w:rPr>
            </w:pPr>
            <w:r>
              <w:rPr>
                <w:rFonts w:hint="default"/>
                <w:sz w:val="24"/>
                <w:lang w:val="en-US" w:eastAsia="zh-CN"/>
              </w:rPr>
              <w:t>本项目肉制品油炸工序会产生废食用油，根据建设单位提供资料，肉制品油炸工序年使用食用油500t，油炸工序的食用油5天更换1次，年产生废食用油约495t，废食用油收集后由第三方公司定期收购。</w:t>
            </w:r>
          </w:p>
          <w:p w14:paraId="64EE35B1">
            <w:pPr>
              <w:keepNext w:val="0"/>
              <w:keepLines w:val="0"/>
              <w:widowControl/>
              <w:numPr>
                <w:ilvl w:val="0"/>
                <w:numId w:val="22"/>
              </w:numPr>
              <w:suppressLineNumbers w:val="0"/>
              <w:spacing w:before="0" w:beforeAutospacing="0" w:after="0" w:afterAutospacing="0" w:line="360" w:lineRule="auto"/>
              <w:ind w:left="0" w:right="0" w:firstLine="480" w:firstLineChars="200"/>
              <w:rPr>
                <w:rFonts w:hint="default"/>
                <w:lang w:val="en-US"/>
              </w:rPr>
            </w:pPr>
            <w:r>
              <w:rPr>
                <w:rFonts w:hint="eastAsia"/>
                <w:sz w:val="24"/>
                <w:u w:val="none"/>
                <w:lang w:val="en-US" w:eastAsia="zh-CN"/>
              </w:rPr>
              <w:t>危险废物</w:t>
            </w:r>
          </w:p>
          <w:p w14:paraId="66242620">
            <w:pPr>
              <w:pStyle w:val="11"/>
              <w:keepNext w:val="0"/>
              <w:keepLines w:val="0"/>
              <w:suppressLineNumbers w:val="0"/>
              <w:spacing w:before="0" w:beforeAutospacing="0" w:after="0" w:afterAutospacing="0"/>
              <w:ind w:left="0"/>
              <w:rPr>
                <w:rFonts w:hint="eastAsia"/>
                <w:sz w:val="24"/>
                <w:highlight w:val="none"/>
                <w:u w:val="none"/>
                <w:lang w:val="en-US" w:eastAsia="zh-CN"/>
              </w:rPr>
            </w:pPr>
            <w:r>
              <w:rPr>
                <w:rFonts w:hint="eastAsia"/>
                <w:sz w:val="24"/>
                <w:u w:val="none"/>
                <w:lang w:val="en-US" w:eastAsia="zh-CN"/>
              </w:rPr>
              <w:t>本项目危险废物主要包含机器设备定期维修产生的废油桶、废润滑油以及废含油抹布手套。</w:t>
            </w:r>
          </w:p>
          <w:p w14:paraId="26AB8759">
            <w:pPr>
              <w:pStyle w:val="23"/>
              <w:keepNext w:val="0"/>
              <w:keepLines w:val="0"/>
              <w:suppressLineNumbers w:val="0"/>
              <w:spacing w:before="0" w:beforeAutospacing="0" w:after="0" w:afterAutospacing="0" w:line="360" w:lineRule="auto"/>
              <w:ind w:left="0" w:leftChars="0" w:right="0" w:firstLine="480" w:firstLineChars="200"/>
              <w:rPr>
                <w:rFonts w:hint="eastAsia"/>
                <w:sz w:val="24"/>
                <w:highlight w:val="none"/>
                <w:u w:val="none"/>
                <w:lang w:val="en-US" w:eastAsia="zh-CN"/>
              </w:rPr>
            </w:pPr>
            <w:r>
              <w:rPr>
                <w:rFonts w:hint="eastAsia"/>
                <w:sz w:val="24"/>
                <w:highlight w:val="none"/>
                <w:u w:val="none"/>
                <w:lang w:val="en-US" w:eastAsia="zh-CN"/>
              </w:rPr>
              <w:t>①废润滑油</w:t>
            </w:r>
          </w:p>
          <w:p w14:paraId="4382710A">
            <w:pPr>
              <w:keepNext w:val="0"/>
              <w:keepLines w:val="0"/>
              <w:suppressLineNumbers w:val="0"/>
              <w:spacing w:before="0" w:beforeAutospacing="0" w:after="0" w:afterAutospacing="0" w:line="360" w:lineRule="auto"/>
              <w:ind w:left="0" w:right="0" w:firstLine="480" w:firstLineChars="200"/>
              <w:rPr>
                <w:rFonts w:hint="eastAsia"/>
                <w:lang w:val="en-US" w:eastAsia="zh-CN"/>
              </w:rPr>
            </w:pPr>
            <w:r>
              <w:rPr>
                <w:rFonts w:hint="eastAsia" w:ascii="Times New Roman" w:eastAsia="宋体"/>
                <w:sz w:val="24"/>
                <w:lang w:val="en-US" w:eastAsia="zh-CN"/>
              </w:rPr>
              <w:t>本项目需定期对设备进行定期维护，维护需用机械润滑油，设备维修过程中也会产生少量废润滑油，废润滑油产生量约0.1t/a。根据《国家危险废物名录》（2021年版），废润滑油固体废物类别为“HW08 900-249-08，其他生产、销售、使用过程中产生的废矿物油及沾染矿物油的废弃包装物”，收集后暂存于危废暂存间，定期交由有危废资质单位处置。</w:t>
            </w:r>
          </w:p>
          <w:p w14:paraId="1AA5C13C">
            <w:pPr>
              <w:pStyle w:val="23"/>
              <w:keepNext w:val="0"/>
              <w:keepLines w:val="0"/>
              <w:suppressLineNumbers w:val="0"/>
              <w:spacing w:before="0" w:beforeAutospacing="0" w:after="0" w:afterAutospacing="0" w:line="360" w:lineRule="auto"/>
              <w:ind w:left="0" w:leftChars="0" w:right="0" w:firstLine="480" w:firstLineChars="200"/>
              <w:rPr>
                <w:rFonts w:hint="eastAsia"/>
                <w:sz w:val="24"/>
                <w:highlight w:val="none"/>
                <w:u w:val="none"/>
                <w:lang w:val="en-US" w:eastAsia="zh-CN"/>
              </w:rPr>
            </w:pPr>
            <w:r>
              <w:rPr>
                <w:rFonts w:hint="eastAsia"/>
                <w:sz w:val="24"/>
                <w:highlight w:val="none"/>
                <w:u w:val="none"/>
                <w:lang w:val="en-US" w:eastAsia="zh-CN"/>
              </w:rPr>
              <w:t>②废含油抹布、手套</w:t>
            </w:r>
          </w:p>
          <w:p w14:paraId="61ED9B1D">
            <w:pPr>
              <w:keepNext w:val="0"/>
              <w:keepLines w:val="0"/>
              <w:suppressLineNumbers w:val="0"/>
              <w:spacing w:before="0" w:beforeAutospacing="0" w:after="0" w:afterAutospacing="0" w:line="360" w:lineRule="auto"/>
              <w:ind w:left="0" w:right="0" w:firstLine="480" w:firstLineChars="200"/>
              <w:rPr>
                <w:rFonts w:hint="eastAsia"/>
                <w:sz w:val="24"/>
                <w:lang w:val="en-US" w:eastAsia="zh-CN"/>
              </w:rPr>
            </w:pPr>
            <w:r>
              <w:rPr>
                <w:rFonts w:hint="eastAsia"/>
                <w:sz w:val="24"/>
                <w:lang w:val="en-US" w:eastAsia="zh-CN"/>
              </w:rPr>
              <w:t>项目正常生产中对生产设备进行维护保养，会产生极少量的废含油抹布、手套，产生量约0.005t/a。根据《国家危险废物名录》（2021年），废含油抹布、手套固体废物类别为“HW49 900-041-49，含有或沾染毒性、感染性危险废物的废弃包装物、容器、过滤吸附介质”，收集后暂存于危废间暂存，定期委托具有处理危险废物资质的单位进行处置。</w:t>
            </w:r>
          </w:p>
          <w:p w14:paraId="55DC06B4">
            <w:pPr>
              <w:keepNext w:val="0"/>
              <w:keepLines w:val="0"/>
              <w:suppressLineNumbers w:val="0"/>
              <w:spacing w:before="0" w:beforeAutospacing="0" w:after="0" w:afterAutospacing="0" w:line="360" w:lineRule="auto"/>
              <w:ind w:left="0" w:right="0" w:firstLine="480" w:firstLineChars="200"/>
              <w:rPr>
                <w:rFonts w:hint="default"/>
                <w:sz w:val="24"/>
                <w:lang w:val="en-US" w:eastAsia="zh-CN"/>
              </w:rPr>
            </w:pPr>
            <w:r>
              <w:rPr>
                <w:rFonts w:hint="eastAsia"/>
                <w:sz w:val="24"/>
                <w:lang w:val="en-US" w:eastAsia="zh-CN"/>
              </w:rPr>
              <w:t>③废油桶</w:t>
            </w:r>
          </w:p>
          <w:p w14:paraId="2746B8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sz w:val="24"/>
                <w:szCs w:val="24"/>
                <w:lang w:val="en-US" w:eastAsia="zh-CN"/>
              </w:rPr>
            </w:pPr>
            <w:r>
              <w:rPr>
                <w:rFonts w:hint="default"/>
                <w:sz w:val="24"/>
                <w:szCs w:val="24"/>
                <w:lang w:val="en-US" w:eastAsia="zh-CN"/>
              </w:rPr>
              <w:t>本项目需定期对设备进行定期维护，维护需用机械润滑油，会产生废油桶，废油桶产生量约3个/年，约0.06t/a。根据《国家危险废物名录》（2021年版），废油桶固体废物类别为“HW49 900-041-49，含有或沾染毒性、感染性危险废物的废弃包装物、容器、过滤吸附介质”，收集后暂存于危废暂存间，定期交由有危废资质单位处置。</w:t>
            </w:r>
          </w:p>
          <w:p w14:paraId="3444A66D">
            <w:pPr>
              <w:keepNext w:val="0"/>
              <w:keepLines w:val="0"/>
              <w:widowControl/>
              <w:suppressLineNumbers w:val="0"/>
              <w:spacing w:before="0" w:beforeAutospacing="0" w:after="0" w:afterAutospacing="0" w:line="360" w:lineRule="auto"/>
              <w:ind w:left="0" w:right="0" w:firstLine="480" w:firstLineChars="200"/>
              <w:rPr>
                <w:rFonts w:hint="default"/>
                <w:u w:val="none"/>
              </w:rPr>
            </w:pPr>
            <w:r>
              <w:rPr>
                <w:rFonts w:hint="eastAsia"/>
                <w:sz w:val="24"/>
                <w:u w:val="none"/>
                <w:lang w:val="en-US" w:eastAsia="zh-CN"/>
              </w:rPr>
              <w:t>本</w:t>
            </w:r>
            <w:r>
              <w:rPr>
                <w:rFonts w:hint="default"/>
                <w:sz w:val="24"/>
                <w:u w:val="none"/>
              </w:rPr>
              <w:t>项目固体废物产生及处置情况见下表。</w:t>
            </w:r>
          </w:p>
          <w:p w14:paraId="2B0D2C11">
            <w:pPr>
              <w:pStyle w:val="33"/>
              <w:keepNext w:val="0"/>
              <w:keepLines w:val="0"/>
              <w:numPr>
                <w:ilvl w:val="0"/>
                <w:numId w:val="19"/>
              </w:numPr>
              <w:suppressLineNumbers w:val="0"/>
              <w:spacing w:before="0" w:beforeAutospacing="0" w:after="0" w:afterAutospacing="0"/>
              <w:ind w:left="0" w:leftChars="0" w:right="0" w:rightChars="0" w:firstLine="0" w:firstLineChars="0"/>
              <w:jc w:val="center"/>
              <w:rPr>
                <w:rFonts w:hint="default"/>
                <w:b/>
                <w:sz w:val="24"/>
                <w:szCs w:val="24"/>
                <w:u w:val="none"/>
              </w:rPr>
            </w:pPr>
            <w:r>
              <w:rPr>
                <w:rFonts w:hint="eastAsia"/>
                <w:b/>
                <w:sz w:val="24"/>
                <w:szCs w:val="24"/>
                <w:u w:val="none"/>
                <w:lang w:val="en-US" w:eastAsia="zh-CN"/>
              </w:rPr>
              <w:t>固废</w:t>
            </w:r>
            <w:r>
              <w:rPr>
                <w:rFonts w:hint="default"/>
                <w:b/>
                <w:sz w:val="24"/>
                <w:szCs w:val="24"/>
                <w:u w:val="none"/>
              </w:rPr>
              <w:t>产生及处置情况表</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7"/>
              <w:gridCol w:w="1936"/>
              <w:gridCol w:w="908"/>
              <w:gridCol w:w="1667"/>
              <w:gridCol w:w="709"/>
              <w:gridCol w:w="1272"/>
              <w:gridCol w:w="1467"/>
            </w:tblGrid>
            <w:tr w14:paraId="4C30DB1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260" w:type="pct"/>
                  <w:vAlign w:val="center"/>
                </w:tcPr>
                <w:p w14:paraId="29E771DA">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序号</w:t>
                  </w:r>
                </w:p>
              </w:tc>
              <w:tc>
                <w:tcPr>
                  <w:tcW w:w="1152" w:type="pct"/>
                  <w:vAlign w:val="center"/>
                </w:tcPr>
                <w:p w14:paraId="62D998C3">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名称</w:t>
                  </w:r>
                </w:p>
              </w:tc>
              <w:tc>
                <w:tcPr>
                  <w:tcW w:w="540" w:type="pct"/>
                  <w:vAlign w:val="center"/>
                </w:tcPr>
                <w:p w14:paraId="02DDD836">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产生量</w:t>
                  </w:r>
                  <w:r>
                    <w:rPr>
                      <w:rFonts w:hint="eastAsia"/>
                      <w:b/>
                      <w:bCs/>
                      <w:szCs w:val="21"/>
                      <w:u w:val="none"/>
                    </w:rPr>
                    <w:t>（</w:t>
                  </w:r>
                  <w:r>
                    <w:rPr>
                      <w:rFonts w:hint="default"/>
                      <w:b/>
                      <w:bCs/>
                      <w:szCs w:val="21"/>
                      <w:u w:val="none"/>
                    </w:rPr>
                    <w:t>t/a)</w:t>
                  </w:r>
                </w:p>
              </w:tc>
              <w:tc>
                <w:tcPr>
                  <w:tcW w:w="992" w:type="pct"/>
                  <w:vAlign w:val="center"/>
                </w:tcPr>
                <w:p w14:paraId="11CCDE4E">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产生工序</w:t>
                  </w:r>
                </w:p>
                <w:p w14:paraId="6039B032">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及装置</w:t>
                  </w:r>
                </w:p>
              </w:tc>
              <w:tc>
                <w:tcPr>
                  <w:tcW w:w="422" w:type="pct"/>
                  <w:vAlign w:val="center"/>
                </w:tcPr>
                <w:p w14:paraId="565A9172">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形态</w:t>
                  </w:r>
                </w:p>
              </w:tc>
              <w:tc>
                <w:tcPr>
                  <w:tcW w:w="757" w:type="pct"/>
                  <w:vAlign w:val="center"/>
                </w:tcPr>
                <w:p w14:paraId="741D2199">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有害</w:t>
                  </w:r>
                </w:p>
                <w:p w14:paraId="3B519999">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成分</w:t>
                  </w:r>
                </w:p>
              </w:tc>
              <w:tc>
                <w:tcPr>
                  <w:tcW w:w="873" w:type="pct"/>
                  <w:vAlign w:val="center"/>
                </w:tcPr>
                <w:p w14:paraId="46E5CDFE">
                  <w:pPr>
                    <w:keepNext w:val="0"/>
                    <w:keepLines w:val="0"/>
                    <w:suppressLineNumbers w:val="0"/>
                    <w:adjustRightInd w:val="0"/>
                    <w:snapToGrid w:val="0"/>
                    <w:spacing w:before="0" w:beforeAutospacing="0" w:after="0" w:afterAutospacing="0"/>
                    <w:ind w:left="-105" w:leftChars="-50" w:right="-105" w:rightChars="-50"/>
                    <w:jc w:val="center"/>
                    <w:rPr>
                      <w:rFonts w:hint="default"/>
                      <w:b/>
                      <w:bCs/>
                      <w:szCs w:val="21"/>
                      <w:u w:val="none"/>
                    </w:rPr>
                  </w:pPr>
                  <w:r>
                    <w:rPr>
                      <w:rFonts w:hint="default"/>
                      <w:b/>
                      <w:bCs/>
                      <w:szCs w:val="21"/>
                      <w:u w:val="none"/>
                    </w:rPr>
                    <w:t>污染防治措施</w:t>
                  </w:r>
                </w:p>
              </w:tc>
            </w:tr>
            <w:tr w14:paraId="2AC0D0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54EBD856">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1</w:t>
                  </w:r>
                </w:p>
              </w:tc>
              <w:tc>
                <w:tcPr>
                  <w:tcW w:w="1152" w:type="pct"/>
                  <w:vAlign w:val="center"/>
                </w:tcPr>
                <w:p w14:paraId="6C5DBF3E">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不合格产品</w:t>
                  </w:r>
                </w:p>
              </w:tc>
              <w:tc>
                <w:tcPr>
                  <w:tcW w:w="540" w:type="pct"/>
                  <w:vAlign w:val="center"/>
                </w:tcPr>
                <w:p w14:paraId="6106EC33">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24</w:t>
                  </w:r>
                </w:p>
              </w:tc>
              <w:tc>
                <w:tcPr>
                  <w:tcW w:w="992" w:type="pct"/>
                  <w:vAlign w:val="center"/>
                </w:tcPr>
                <w:p w14:paraId="76ECC19A">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杀菌、金检</w:t>
                  </w:r>
                </w:p>
              </w:tc>
              <w:tc>
                <w:tcPr>
                  <w:tcW w:w="422" w:type="pct"/>
                  <w:vAlign w:val="center"/>
                </w:tcPr>
                <w:p w14:paraId="52A018CF">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固态</w:t>
                  </w:r>
                </w:p>
              </w:tc>
              <w:tc>
                <w:tcPr>
                  <w:tcW w:w="757" w:type="pct"/>
                  <w:vAlign w:val="center"/>
                </w:tcPr>
                <w:p w14:paraId="508E0D92">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Merge w:val="restart"/>
                  <w:vAlign w:val="center"/>
                </w:tcPr>
                <w:p w14:paraId="509A7CE1">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收集后由第三方公司定期收购</w:t>
                  </w:r>
                </w:p>
              </w:tc>
            </w:tr>
            <w:tr w14:paraId="28C877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47988EC9">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2</w:t>
                  </w:r>
                </w:p>
              </w:tc>
              <w:tc>
                <w:tcPr>
                  <w:tcW w:w="1152" w:type="pct"/>
                  <w:vAlign w:val="center"/>
                </w:tcPr>
                <w:p w14:paraId="46DCB6A0">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废边角料</w:t>
                  </w:r>
                </w:p>
              </w:tc>
              <w:tc>
                <w:tcPr>
                  <w:tcW w:w="540" w:type="pct"/>
                  <w:vAlign w:val="center"/>
                </w:tcPr>
                <w:p w14:paraId="44D72488">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197.3</w:t>
                  </w:r>
                </w:p>
              </w:tc>
              <w:tc>
                <w:tcPr>
                  <w:tcW w:w="992" w:type="pct"/>
                  <w:vAlign w:val="center"/>
                </w:tcPr>
                <w:p w14:paraId="664FD2F2">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原料验收、清理、裁切、去壳、挑选等</w:t>
                  </w:r>
                </w:p>
              </w:tc>
              <w:tc>
                <w:tcPr>
                  <w:tcW w:w="422" w:type="pct"/>
                  <w:vAlign w:val="center"/>
                </w:tcPr>
                <w:p w14:paraId="430F8FD9">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固态</w:t>
                  </w:r>
                </w:p>
              </w:tc>
              <w:tc>
                <w:tcPr>
                  <w:tcW w:w="757" w:type="pct"/>
                  <w:vAlign w:val="center"/>
                </w:tcPr>
                <w:p w14:paraId="2FBB3B20">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Merge w:val="continue"/>
                  <w:vAlign w:val="center"/>
                </w:tcPr>
                <w:p w14:paraId="5BA4E95E">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p>
              </w:tc>
            </w:tr>
            <w:tr w14:paraId="7AF64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65311874">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3</w:t>
                  </w:r>
                </w:p>
              </w:tc>
              <w:tc>
                <w:tcPr>
                  <w:tcW w:w="1152" w:type="pct"/>
                  <w:vAlign w:val="center"/>
                </w:tcPr>
                <w:p w14:paraId="2B8DE7F8">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油炸废物</w:t>
                  </w:r>
                </w:p>
              </w:tc>
              <w:tc>
                <w:tcPr>
                  <w:tcW w:w="540" w:type="pct"/>
                  <w:vAlign w:val="center"/>
                </w:tcPr>
                <w:p w14:paraId="77A3C9C4">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78</w:t>
                  </w:r>
                </w:p>
              </w:tc>
              <w:tc>
                <w:tcPr>
                  <w:tcW w:w="992" w:type="pct"/>
                  <w:vAlign w:val="center"/>
                </w:tcPr>
                <w:p w14:paraId="34C20AD0">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油炸</w:t>
                  </w:r>
                </w:p>
              </w:tc>
              <w:tc>
                <w:tcPr>
                  <w:tcW w:w="422" w:type="pct"/>
                  <w:vAlign w:val="center"/>
                </w:tcPr>
                <w:p w14:paraId="6CE7664B">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固态</w:t>
                  </w:r>
                </w:p>
              </w:tc>
              <w:tc>
                <w:tcPr>
                  <w:tcW w:w="757" w:type="pct"/>
                  <w:vAlign w:val="center"/>
                </w:tcPr>
                <w:p w14:paraId="667DFE3A">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Merge w:val="continue"/>
                  <w:vAlign w:val="center"/>
                </w:tcPr>
                <w:p w14:paraId="20FEEE6D">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p>
              </w:tc>
            </w:tr>
            <w:tr w14:paraId="30E303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0EF10DE2">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4</w:t>
                  </w:r>
                </w:p>
              </w:tc>
              <w:tc>
                <w:tcPr>
                  <w:tcW w:w="1152" w:type="pct"/>
                  <w:vAlign w:val="center"/>
                </w:tcPr>
                <w:p w14:paraId="22F4555C">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锅炉渣灰</w:t>
                  </w:r>
                </w:p>
              </w:tc>
              <w:tc>
                <w:tcPr>
                  <w:tcW w:w="540" w:type="pct"/>
                  <w:vAlign w:val="center"/>
                </w:tcPr>
                <w:p w14:paraId="587D6FFF">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353.45</w:t>
                  </w:r>
                </w:p>
              </w:tc>
              <w:tc>
                <w:tcPr>
                  <w:tcW w:w="992" w:type="pct"/>
                  <w:vAlign w:val="center"/>
                </w:tcPr>
                <w:p w14:paraId="19A48D24">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生物质燃料燃烧及布袋除尘器</w:t>
                  </w:r>
                </w:p>
              </w:tc>
              <w:tc>
                <w:tcPr>
                  <w:tcW w:w="422" w:type="pct"/>
                  <w:vAlign w:val="center"/>
                </w:tcPr>
                <w:p w14:paraId="59C0AA5B">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固态</w:t>
                  </w:r>
                </w:p>
              </w:tc>
              <w:tc>
                <w:tcPr>
                  <w:tcW w:w="757" w:type="pct"/>
                  <w:vAlign w:val="center"/>
                </w:tcPr>
                <w:p w14:paraId="10A988F2">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Align w:val="center"/>
                </w:tcPr>
                <w:p w14:paraId="76E5270C">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用于农田堆肥</w:t>
                  </w:r>
                </w:p>
              </w:tc>
            </w:tr>
            <w:tr w14:paraId="285281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761F078F">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5</w:t>
                  </w:r>
                </w:p>
              </w:tc>
              <w:tc>
                <w:tcPr>
                  <w:tcW w:w="1152" w:type="pct"/>
                  <w:shd w:val="clear" w:color="auto" w:fill="auto"/>
                  <w:vAlign w:val="center"/>
                </w:tcPr>
                <w:p w14:paraId="5C8BEB47">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eastAsia"/>
                      <w:szCs w:val="21"/>
                      <w:u w:val="none"/>
                      <w:lang w:val="en-US" w:eastAsia="zh-CN"/>
                    </w:rPr>
                    <w:t>沉淀池沉渣</w:t>
                  </w:r>
                </w:p>
              </w:tc>
              <w:tc>
                <w:tcPr>
                  <w:tcW w:w="540" w:type="pct"/>
                  <w:shd w:val="clear" w:color="auto" w:fill="auto"/>
                  <w:vAlign w:val="center"/>
                </w:tcPr>
                <w:p w14:paraId="1ACA03C5">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kern w:val="2"/>
                      <w:sz w:val="21"/>
                      <w:szCs w:val="21"/>
                      <w:u w:val="none"/>
                      <w:lang w:val="en-US" w:eastAsia="zh-CN" w:bidi="ar-SA"/>
                    </w:rPr>
                  </w:pPr>
                  <w:r>
                    <w:rPr>
                      <w:rFonts w:hint="eastAsia"/>
                      <w:szCs w:val="21"/>
                      <w:u w:val="none"/>
                      <w:lang w:val="en-US" w:eastAsia="zh-CN"/>
                    </w:rPr>
                    <w:t>1.822</w:t>
                  </w:r>
                </w:p>
              </w:tc>
              <w:tc>
                <w:tcPr>
                  <w:tcW w:w="992" w:type="pct"/>
                  <w:shd w:val="clear" w:color="auto" w:fill="auto"/>
                  <w:vAlign w:val="center"/>
                </w:tcPr>
                <w:p w14:paraId="7CCF5C5B">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eastAsia"/>
                      <w:szCs w:val="21"/>
                      <w:u w:val="none"/>
                      <w:lang w:val="en-US" w:eastAsia="zh-CN"/>
                    </w:rPr>
                    <w:t>沉淀池清渣</w:t>
                  </w:r>
                </w:p>
              </w:tc>
              <w:tc>
                <w:tcPr>
                  <w:tcW w:w="422" w:type="pct"/>
                  <w:shd w:val="clear" w:color="auto" w:fill="auto"/>
                  <w:vAlign w:val="center"/>
                </w:tcPr>
                <w:p w14:paraId="71F19DAA">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default"/>
                      <w:szCs w:val="21"/>
                      <w:u w:val="none"/>
                    </w:rPr>
                    <w:t>固态</w:t>
                  </w:r>
                </w:p>
              </w:tc>
              <w:tc>
                <w:tcPr>
                  <w:tcW w:w="757" w:type="pct"/>
                  <w:vAlign w:val="center"/>
                </w:tcPr>
                <w:p w14:paraId="15B9F863">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Align w:val="center"/>
                </w:tcPr>
                <w:p w14:paraId="76FDCD0F">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外运处理</w:t>
                  </w:r>
                </w:p>
              </w:tc>
            </w:tr>
            <w:tr w14:paraId="6AB3E7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3B2ECD53">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lang w:val="en-US" w:eastAsia="zh-CN"/>
                    </w:rPr>
                  </w:pPr>
                  <w:r>
                    <w:rPr>
                      <w:rFonts w:hint="eastAsia"/>
                      <w:szCs w:val="21"/>
                      <w:u w:val="none"/>
                      <w:lang w:val="en-US" w:eastAsia="zh-CN"/>
                    </w:rPr>
                    <w:t>6</w:t>
                  </w:r>
                </w:p>
              </w:tc>
              <w:tc>
                <w:tcPr>
                  <w:tcW w:w="1152" w:type="pct"/>
                  <w:shd w:val="clear" w:color="auto" w:fill="auto"/>
                  <w:vAlign w:val="center"/>
                </w:tcPr>
                <w:p w14:paraId="1A55913D">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eastAsia"/>
                      <w:szCs w:val="21"/>
                      <w:u w:val="none"/>
                      <w:lang w:val="en-US" w:eastAsia="zh-CN"/>
                    </w:rPr>
                    <w:t>废包装袋</w:t>
                  </w:r>
                </w:p>
              </w:tc>
              <w:tc>
                <w:tcPr>
                  <w:tcW w:w="540" w:type="pct"/>
                  <w:shd w:val="clear" w:color="auto" w:fill="auto"/>
                  <w:vAlign w:val="center"/>
                </w:tcPr>
                <w:p w14:paraId="08D3E5A2">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kern w:val="2"/>
                      <w:sz w:val="21"/>
                      <w:szCs w:val="21"/>
                      <w:u w:val="none"/>
                      <w:lang w:val="en-US" w:eastAsia="zh-CN" w:bidi="ar-SA"/>
                    </w:rPr>
                  </w:pPr>
                  <w:r>
                    <w:rPr>
                      <w:rFonts w:hint="eastAsia"/>
                      <w:szCs w:val="21"/>
                      <w:u w:val="none"/>
                      <w:lang w:val="en-US" w:eastAsia="zh-CN"/>
                    </w:rPr>
                    <w:t>2</w:t>
                  </w:r>
                </w:p>
              </w:tc>
              <w:tc>
                <w:tcPr>
                  <w:tcW w:w="992" w:type="pct"/>
                  <w:shd w:val="clear" w:color="auto" w:fill="auto"/>
                  <w:vAlign w:val="center"/>
                </w:tcPr>
                <w:p w14:paraId="4DF82A8F">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eastAsia"/>
                      <w:szCs w:val="21"/>
                      <w:u w:val="none"/>
                      <w:lang w:val="en-US" w:eastAsia="zh-CN"/>
                    </w:rPr>
                    <w:t>原料脱包、产品包装</w:t>
                  </w:r>
                </w:p>
              </w:tc>
              <w:tc>
                <w:tcPr>
                  <w:tcW w:w="422" w:type="pct"/>
                  <w:shd w:val="clear" w:color="auto" w:fill="auto"/>
                  <w:vAlign w:val="center"/>
                </w:tcPr>
                <w:p w14:paraId="56003524">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default"/>
                      <w:szCs w:val="21"/>
                      <w:u w:val="none"/>
                    </w:rPr>
                    <w:t>固态</w:t>
                  </w:r>
                </w:p>
              </w:tc>
              <w:tc>
                <w:tcPr>
                  <w:tcW w:w="757" w:type="pct"/>
                  <w:vAlign w:val="center"/>
                </w:tcPr>
                <w:p w14:paraId="525CBC1B">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Merge w:val="restart"/>
                  <w:vAlign w:val="center"/>
                </w:tcPr>
                <w:p w14:paraId="764E0BD8">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eastAsia="宋体"/>
                      <w:szCs w:val="21"/>
                      <w:u w:val="none"/>
                      <w:lang w:val="en-US" w:eastAsia="zh-CN"/>
                    </w:rPr>
                    <w:t>由废品回收单位回收后进行综合利用</w:t>
                  </w:r>
                </w:p>
              </w:tc>
            </w:tr>
            <w:tr w14:paraId="5E3230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0EBC186C">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7</w:t>
                  </w:r>
                </w:p>
              </w:tc>
              <w:tc>
                <w:tcPr>
                  <w:tcW w:w="1152" w:type="pct"/>
                  <w:vAlign w:val="center"/>
                </w:tcPr>
                <w:p w14:paraId="1990BBE2">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lang w:val="en-US" w:eastAsia="zh-CN"/>
                    </w:rPr>
                  </w:pPr>
                  <w:r>
                    <w:rPr>
                      <w:rFonts w:hint="eastAsia"/>
                      <w:szCs w:val="21"/>
                      <w:u w:val="none"/>
                      <w:lang w:val="en-US" w:eastAsia="zh-CN"/>
                    </w:rPr>
                    <w:t>废离子交换树脂</w:t>
                  </w:r>
                </w:p>
              </w:tc>
              <w:tc>
                <w:tcPr>
                  <w:tcW w:w="540" w:type="pct"/>
                  <w:vAlign w:val="center"/>
                </w:tcPr>
                <w:p w14:paraId="20C893C7">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2吨/次</w:t>
                  </w:r>
                </w:p>
              </w:tc>
              <w:tc>
                <w:tcPr>
                  <w:tcW w:w="992" w:type="pct"/>
                  <w:vAlign w:val="center"/>
                </w:tcPr>
                <w:p w14:paraId="59BA8AF4">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软水机更换组件</w:t>
                  </w:r>
                </w:p>
              </w:tc>
              <w:tc>
                <w:tcPr>
                  <w:tcW w:w="422" w:type="pct"/>
                  <w:vAlign w:val="center"/>
                </w:tcPr>
                <w:p w14:paraId="1805B9C0">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固态</w:t>
                  </w:r>
                </w:p>
              </w:tc>
              <w:tc>
                <w:tcPr>
                  <w:tcW w:w="757" w:type="pct"/>
                  <w:vAlign w:val="center"/>
                </w:tcPr>
                <w:p w14:paraId="22A0AF80">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Merge w:val="continue"/>
                  <w:vAlign w:val="center"/>
                </w:tcPr>
                <w:p w14:paraId="312FA0C7">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p>
              </w:tc>
            </w:tr>
            <w:tr w14:paraId="73494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5BA8CDFF">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8</w:t>
                  </w:r>
                </w:p>
              </w:tc>
              <w:tc>
                <w:tcPr>
                  <w:tcW w:w="1152" w:type="pct"/>
                  <w:vAlign w:val="center"/>
                </w:tcPr>
                <w:p w14:paraId="4E44079E">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生活垃圾</w:t>
                  </w:r>
                </w:p>
              </w:tc>
              <w:tc>
                <w:tcPr>
                  <w:tcW w:w="540" w:type="pct"/>
                  <w:vAlign w:val="center"/>
                </w:tcPr>
                <w:p w14:paraId="544A2827">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10.6</w:t>
                  </w:r>
                </w:p>
              </w:tc>
              <w:tc>
                <w:tcPr>
                  <w:tcW w:w="992" w:type="pct"/>
                  <w:vAlign w:val="center"/>
                </w:tcPr>
                <w:p w14:paraId="4636D6F7">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员工日常生活</w:t>
                  </w:r>
                </w:p>
              </w:tc>
              <w:tc>
                <w:tcPr>
                  <w:tcW w:w="422" w:type="pct"/>
                  <w:vAlign w:val="center"/>
                </w:tcPr>
                <w:p w14:paraId="319876C3">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固态</w:t>
                  </w:r>
                </w:p>
              </w:tc>
              <w:tc>
                <w:tcPr>
                  <w:tcW w:w="757" w:type="pct"/>
                  <w:vAlign w:val="center"/>
                </w:tcPr>
                <w:p w14:paraId="010552ED">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w:t>
                  </w:r>
                </w:p>
              </w:tc>
              <w:tc>
                <w:tcPr>
                  <w:tcW w:w="873" w:type="pct"/>
                  <w:vAlign w:val="center"/>
                </w:tcPr>
                <w:p w14:paraId="3070A35D">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环卫部门统一清运</w:t>
                  </w:r>
                </w:p>
              </w:tc>
            </w:tr>
            <w:tr w14:paraId="7A58D9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546C9603">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lang w:val="en-US" w:eastAsia="zh-CN"/>
                    </w:rPr>
                  </w:pPr>
                  <w:r>
                    <w:rPr>
                      <w:rFonts w:hint="eastAsia"/>
                      <w:szCs w:val="21"/>
                      <w:u w:val="none"/>
                      <w:lang w:val="en-US" w:eastAsia="zh-CN"/>
                    </w:rPr>
                    <w:t>9</w:t>
                  </w:r>
                </w:p>
              </w:tc>
              <w:tc>
                <w:tcPr>
                  <w:tcW w:w="1152" w:type="pct"/>
                  <w:vAlign w:val="center"/>
                </w:tcPr>
                <w:p w14:paraId="0EA59497">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lang w:val="en-US" w:eastAsia="zh-CN"/>
                    </w:rPr>
                  </w:pPr>
                  <w:r>
                    <w:rPr>
                      <w:rFonts w:hint="eastAsia"/>
                      <w:szCs w:val="21"/>
                      <w:u w:val="none"/>
                      <w:lang w:val="en-US" w:eastAsia="zh-CN"/>
                    </w:rPr>
                    <w:t>废食用油</w:t>
                  </w:r>
                </w:p>
              </w:tc>
              <w:tc>
                <w:tcPr>
                  <w:tcW w:w="540" w:type="pct"/>
                  <w:vAlign w:val="center"/>
                </w:tcPr>
                <w:p w14:paraId="5E09A850">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lang w:val="en-US" w:eastAsia="zh-CN"/>
                    </w:rPr>
                  </w:pPr>
                  <w:r>
                    <w:rPr>
                      <w:rFonts w:hint="eastAsia"/>
                      <w:szCs w:val="21"/>
                      <w:u w:val="none"/>
                      <w:lang w:val="en-US" w:eastAsia="zh-CN"/>
                    </w:rPr>
                    <w:t>495</w:t>
                  </w:r>
                </w:p>
              </w:tc>
              <w:tc>
                <w:tcPr>
                  <w:tcW w:w="992" w:type="pct"/>
                  <w:vAlign w:val="center"/>
                </w:tcPr>
                <w:p w14:paraId="3DF05E29">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lang w:val="en-US" w:eastAsia="zh-CN"/>
                    </w:rPr>
                  </w:pPr>
                  <w:r>
                    <w:rPr>
                      <w:rFonts w:hint="eastAsia"/>
                      <w:szCs w:val="21"/>
                      <w:u w:val="none"/>
                      <w:lang w:val="en-US" w:eastAsia="zh-CN"/>
                    </w:rPr>
                    <w:t>油炸</w:t>
                  </w:r>
                </w:p>
              </w:tc>
              <w:tc>
                <w:tcPr>
                  <w:tcW w:w="422" w:type="pct"/>
                  <w:shd w:val="clear" w:color="auto" w:fill="auto"/>
                  <w:vAlign w:val="center"/>
                </w:tcPr>
                <w:p w14:paraId="6FF8930D">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default"/>
                      <w:szCs w:val="21"/>
                      <w:u w:val="none"/>
                    </w:rPr>
                    <w:t>液态</w:t>
                  </w:r>
                </w:p>
              </w:tc>
              <w:tc>
                <w:tcPr>
                  <w:tcW w:w="757" w:type="pct"/>
                  <w:vAlign w:val="center"/>
                </w:tcPr>
                <w:p w14:paraId="630A6957">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w:t>
                  </w:r>
                </w:p>
              </w:tc>
              <w:tc>
                <w:tcPr>
                  <w:tcW w:w="873" w:type="pct"/>
                  <w:vAlign w:val="center"/>
                </w:tcPr>
                <w:p w14:paraId="099D964C">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default"/>
                      <w:szCs w:val="21"/>
                      <w:u w:val="none"/>
                    </w:rPr>
                    <w:t>暂存于</w:t>
                  </w:r>
                  <w:r>
                    <w:rPr>
                      <w:rFonts w:hint="eastAsia"/>
                      <w:szCs w:val="21"/>
                      <w:u w:val="none"/>
                      <w:lang w:val="en-US" w:eastAsia="zh-CN"/>
                    </w:rPr>
                    <w:t>废食用油收集罐，</w:t>
                  </w:r>
                  <w:r>
                    <w:rPr>
                      <w:rFonts w:hint="default"/>
                      <w:szCs w:val="21"/>
                      <w:u w:val="none"/>
                    </w:rPr>
                    <w:t>由</w:t>
                  </w:r>
                  <w:r>
                    <w:rPr>
                      <w:rFonts w:hint="eastAsia"/>
                      <w:szCs w:val="21"/>
                      <w:u w:val="none"/>
                      <w:lang w:val="en-US" w:eastAsia="zh-CN"/>
                    </w:rPr>
                    <w:t>第三方公司定期收购</w:t>
                  </w:r>
                </w:p>
              </w:tc>
            </w:tr>
            <w:tr w14:paraId="353303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260" w:type="pct"/>
                  <w:vAlign w:val="center"/>
                </w:tcPr>
                <w:p w14:paraId="164419A0">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10</w:t>
                  </w:r>
                </w:p>
              </w:tc>
              <w:tc>
                <w:tcPr>
                  <w:tcW w:w="1152" w:type="pct"/>
                  <w:vAlign w:val="center"/>
                </w:tcPr>
                <w:p w14:paraId="38C30F47">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废润滑油</w:t>
                  </w:r>
                </w:p>
              </w:tc>
              <w:tc>
                <w:tcPr>
                  <w:tcW w:w="540" w:type="pct"/>
                  <w:vAlign w:val="center"/>
                </w:tcPr>
                <w:p w14:paraId="0807D620">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0.1</w:t>
                  </w:r>
                </w:p>
              </w:tc>
              <w:tc>
                <w:tcPr>
                  <w:tcW w:w="992" w:type="pct"/>
                  <w:vAlign w:val="center"/>
                </w:tcPr>
                <w:p w14:paraId="513AAF96">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维修养护</w:t>
                  </w:r>
                </w:p>
              </w:tc>
              <w:tc>
                <w:tcPr>
                  <w:tcW w:w="422" w:type="pct"/>
                  <w:vAlign w:val="center"/>
                </w:tcPr>
                <w:p w14:paraId="49A583EE">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液态</w:t>
                  </w:r>
                </w:p>
              </w:tc>
              <w:tc>
                <w:tcPr>
                  <w:tcW w:w="757" w:type="pct"/>
                  <w:vAlign w:val="center"/>
                </w:tcPr>
                <w:p w14:paraId="196A7623">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eastAsia"/>
                      <w:szCs w:val="21"/>
                      <w:u w:val="none"/>
                      <w:lang w:val="en-US" w:eastAsia="zh-CN"/>
                    </w:rPr>
                    <w:t>废</w:t>
                  </w:r>
                  <w:r>
                    <w:rPr>
                      <w:rFonts w:hint="default"/>
                      <w:szCs w:val="21"/>
                      <w:u w:val="none"/>
                    </w:rPr>
                    <w:t>矿物油</w:t>
                  </w:r>
                </w:p>
              </w:tc>
              <w:tc>
                <w:tcPr>
                  <w:tcW w:w="873" w:type="pct"/>
                  <w:vMerge w:val="restart"/>
                  <w:shd w:val="clear" w:color="auto" w:fill="auto"/>
                  <w:vAlign w:val="center"/>
                </w:tcPr>
                <w:p w14:paraId="7BD4827C">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default"/>
                      <w:szCs w:val="21"/>
                      <w:u w:val="none"/>
                    </w:rPr>
                    <w:t>暂存于危废暂存间后交由</w:t>
                  </w:r>
                  <w:r>
                    <w:rPr>
                      <w:rFonts w:hint="eastAsia"/>
                      <w:szCs w:val="21"/>
                      <w:u w:val="none"/>
                      <w:lang w:val="en-US" w:eastAsia="zh-CN"/>
                    </w:rPr>
                    <w:t>第三方</w:t>
                  </w:r>
                  <w:r>
                    <w:rPr>
                      <w:rFonts w:hint="default"/>
                      <w:szCs w:val="21"/>
                      <w:u w:val="none"/>
                    </w:rPr>
                    <w:t>有资质单位处理</w:t>
                  </w:r>
                </w:p>
              </w:tc>
            </w:tr>
            <w:tr w14:paraId="3228EC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749F4D19">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11</w:t>
                  </w:r>
                </w:p>
              </w:tc>
              <w:tc>
                <w:tcPr>
                  <w:tcW w:w="1152" w:type="pct"/>
                  <w:vAlign w:val="center"/>
                </w:tcPr>
                <w:p w14:paraId="0F743990">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废含油抹布</w:t>
                  </w:r>
                  <w:r>
                    <w:rPr>
                      <w:rFonts w:hint="eastAsia"/>
                      <w:szCs w:val="21"/>
                      <w:u w:val="none"/>
                      <w:lang w:eastAsia="zh-CN"/>
                    </w:rPr>
                    <w:t>、</w:t>
                  </w:r>
                  <w:r>
                    <w:rPr>
                      <w:rFonts w:hint="default"/>
                      <w:szCs w:val="21"/>
                      <w:u w:val="none"/>
                    </w:rPr>
                    <w:t>手套</w:t>
                  </w:r>
                </w:p>
              </w:tc>
              <w:tc>
                <w:tcPr>
                  <w:tcW w:w="540" w:type="pct"/>
                  <w:vAlign w:val="center"/>
                </w:tcPr>
                <w:p w14:paraId="3627E344">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0.005</w:t>
                  </w:r>
                </w:p>
              </w:tc>
              <w:tc>
                <w:tcPr>
                  <w:tcW w:w="992" w:type="pct"/>
                  <w:vAlign w:val="center"/>
                </w:tcPr>
                <w:p w14:paraId="79C9E1AD">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维修养护</w:t>
                  </w:r>
                </w:p>
              </w:tc>
              <w:tc>
                <w:tcPr>
                  <w:tcW w:w="422" w:type="pct"/>
                  <w:vAlign w:val="center"/>
                </w:tcPr>
                <w:p w14:paraId="7477E55A">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default"/>
                      <w:szCs w:val="21"/>
                      <w:u w:val="none"/>
                    </w:rPr>
                    <w:t>固态</w:t>
                  </w:r>
                </w:p>
              </w:tc>
              <w:tc>
                <w:tcPr>
                  <w:tcW w:w="757" w:type="pct"/>
                  <w:vAlign w:val="center"/>
                </w:tcPr>
                <w:p w14:paraId="4DEF58D9">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r>
                    <w:rPr>
                      <w:rFonts w:hint="eastAsia"/>
                      <w:szCs w:val="21"/>
                      <w:u w:val="none"/>
                      <w:lang w:val="en-US" w:eastAsia="zh-CN"/>
                    </w:rPr>
                    <w:t>废</w:t>
                  </w:r>
                  <w:r>
                    <w:rPr>
                      <w:rFonts w:hint="default"/>
                      <w:szCs w:val="21"/>
                      <w:u w:val="none"/>
                    </w:rPr>
                    <w:t>矿物油</w:t>
                  </w:r>
                </w:p>
              </w:tc>
              <w:tc>
                <w:tcPr>
                  <w:tcW w:w="873" w:type="pct"/>
                  <w:vMerge w:val="continue"/>
                  <w:vAlign w:val="center"/>
                </w:tcPr>
                <w:p w14:paraId="632AE119">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p>
              </w:tc>
            </w:tr>
            <w:tr w14:paraId="3CAC33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260" w:type="pct"/>
                  <w:vAlign w:val="center"/>
                </w:tcPr>
                <w:p w14:paraId="40C72E59">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lang w:val="en-US" w:eastAsia="zh-CN"/>
                    </w:rPr>
                  </w:pPr>
                  <w:r>
                    <w:rPr>
                      <w:rFonts w:hint="eastAsia"/>
                      <w:szCs w:val="21"/>
                      <w:u w:val="none"/>
                      <w:lang w:val="en-US" w:eastAsia="zh-CN"/>
                    </w:rPr>
                    <w:t>12</w:t>
                  </w:r>
                </w:p>
              </w:tc>
              <w:tc>
                <w:tcPr>
                  <w:tcW w:w="1152" w:type="pct"/>
                  <w:vAlign w:val="center"/>
                </w:tcPr>
                <w:p w14:paraId="6C87F01D">
                  <w:pPr>
                    <w:keepNext w:val="0"/>
                    <w:keepLines w:val="0"/>
                    <w:suppressLineNumbers w:val="0"/>
                    <w:adjustRightInd w:val="0"/>
                    <w:snapToGrid w:val="0"/>
                    <w:spacing w:before="0" w:beforeAutospacing="0" w:after="0" w:afterAutospacing="0"/>
                    <w:ind w:left="-105" w:leftChars="-50" w:right="-105" w:rightChars="-50"/>
                    <w:jc w:val="center"/>
                    <w:rPr>
                      <w:rFonts w:hint="eastAsia" w:eastAsia="宋体"/>
                      <w:szCs w:val="21"/>
                      <w:u w:val="none"/>
                      <w:lang w:val="en-US" w:eastAsia="zh-CN"/>
                    </w:rPr>
                  </w:pPr>
                  <w:r>
                    <w:rPr>
                      <w:rFonts w:hint="eastAsia"/>
                      <w:szCs w:val="21"/>
                      <w:u w:val="none"/>
                      <w:lang w:val="en-US" w:eastAsia="zh-CN"/>
                    </w:rPr>
                    <w:t>废油桶</w:t>
                  </w:r>
                </w:p>
              </w:tc>
              <w:tc>
                <w:tcPr>
                  <w:tcW w:w="540" w:type="pct"/>
                  <w:vAlign w:val="center"/>
                </w:tcPr>
                <w:p w14:paraId="04BACCE7">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szCs w:val="21"/>
                      <w:u w:val="none"/>
                      <w:lang w:val="en-US" w:eastAsia="zh-CN"/>
                    </w:rPr>
                  </w:pPr>
                  <w:r>
                    <w:rPr>
                      <w:rFonts w:hint="eastAsia"/>
                      <w:szCs w:val="21"/>
                      <w:u w:val="none"/>
                      <w:lang w:val="en-US" w:eastAsia="zh-CN"/>
                    </w:rPr>
                    <w:t>0.06</w:t>
                  </w:r>
                </w:p>
              </w:tc>
              <w:tc>
                <w:tcPr>
                  <w:tcW w:w="992" w:type="pct"/>
                  <w:shd w:val="clear" w:color="auto" w:fill="auto"/>
                  <w:vAlign w:val="center"/>
                </w:tcPr>
                <w:p w14:paraId="5770C498">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default"/>
                      <w:szCs w:val="21"/>
                      <w:u w:val="none"/>
                    </w:rPr>
                    <w:t>维修养护</w:t>
                  </w:r>
                </w:p>
              </w:tc>
              <w:tc>
                <w:tcPr>
                  <w:tcW w:w="422" w:type="pct"/>
                  <w:shd w:val="clear" w:color="auto" w:fill="auto"/>
                  <w:vAlign w:val="center"/>
                </w:tcPr>
                <w:p w14:paraId="3C3FA6A0">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default"/>
                      <w:szCs w:val="21"/>
                      <w:u w:val="none"/>
                    </w:rPr>
                    <w:t>固态</w:t>
                  </w:r>
                </w:p>
              </w:tc>
              <w:tc>
                <w:tcPr>
                  <w:tcW w:w="757" w:type="pct"/>
                  <w:shd w:val="clear" w:color="auto" w:fill="auto"/>
                  <w:vAlign w:val="center"/>
                </w:tcPr>
                <w:p w14:paraId="1A900CFB">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kern w:val="2"/>
                      <w:sz w:val="21"/>
                      <w:szCs w:val="21"/>
                      <w:u w:val="none"/>
                      <w:lang w:val="en-US" w:eastAsia="zh-CN" w:bidi="ar-SA"/>
                    </w:rPr>
                  </w:pPr>
                  <w:r>
                    <w:rPr>
                      <w:rFonts w:hint="eastAsia"/>
                      <w:szCs w:val="21"/>
                      <w:u w:val="none"/>
                      <w:lang w:val="en-US" w:eastAsia="zh-CN"/>
                    </w:rPr>
                    <w:t>废</w:t>
                  </w:r>
                  <w:r>
                    <w:rPr>
                      <w:rFonts w:hint="default"/>
                      <w:szCs w:val="21"/>
                      <w:u w:val="none"/>
                    </w:rPr>
                    <w:t>矿物油</w:t>
                  </w:r>
                </w:p>
              </w:tc>
              <w:tc>
                <w:tcPr>
                  <w:tcW w:w="873" w:type="pct"/>
                  <w:vMerge w:val="continue"/>
                  <w:vAlign w:val="center"/>
                </w:tcPr>
                <w:p w14:paraId="371E5605">
                  <w:pPr>
                    <w:keepNext w:val="0"/>
                    <w:keepLines w:val="0"/>
                    <w:suppressLineNumbers w:val="0"/>
                    <w:adjustRightInd w:val="0"/>
                    <w:snapToGrid w:val="0"/>
                    <w:spacing w:before="0" w:beforeAutospacing="0" w:after="0" w:afterAutospacing="0"/>
                    <w:ind w:left="-105" w:leftChars="-50" w:right="-105" w:rightChars="-50"/>
                    <w:jc w:val="center"/>
                    <w:rPr>
                      <w:rFonts w:hint="default"/>
                      <w:szCs w:val="21"/>
                      <w:u w:val="none"/>
                    </w:rPr>
                  </w:pPr>
                </w:p>
              </w:tc>
            </w:tr>
          </w:tbl>
          <w:p w14:paraId="1E16A1AD">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522" w:firstLineChars="200"/>
              <w:jc w:val="left"/>
              <w:textAlignment w:val="auto"/>
              <w:rPr>
                <w:rFonts w:hint="default"/>
                <w:b/>
                <w:spacing w:val="-10"/>
                <w:sz w:val="28"/>
                <w:szCs w:val="28"/>
                <w:u w:val="none"/>
              </w:rPr>
            </w:pPr>
            <w:r>
              <w:rPr>
                <w:rFonts w:hint="default"/>
                <w:b/>
                <w:spacing w:val="-10"/>
                <w:sz w:val="28"/>
                <w:szCs w:val="28"/>
                <w:u w:val="none"/>
              </w:rPr>
              <w:t>环境管理要求</w:t>
            </w:r>
          </w:p>
          <w:p w14:paraId="3B4185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sz w:val="24"/>
                <w:u w:val="none"/>
                <w:shd w:val="clear" w:color="auto" w:fill="FFFFFF"/>
              </w:rPr>
            </w:pPr>
            <w:r>
              <w:rPr>
                <w:rFonts w:hint="default"/>
                <w:sz w:val="24"/>
                <w:u w:val="none"/>
                <w:shd w:val="clear" w:color="auto" w:fill="FFFFFF"/>
              </w:rPr>
              <w:t>现有一般固废暂存间能满足《一般工业固体废物贮存和填埋污染控制标准》（GB18599-2020）要求，</w:t>
            </w:r>
            <w:r>
              <w:rPr>
                <w:rFonts w:hint="eastAsia"/>
                <w:sz w:val="24"/>
                <w:u w:val="none"/>
                <w:shd w:val="clear" w:color="auto" w:fill="FFFFFF"/>
                <w:lang w:val="en-US" w:eastAsia="zh-CN"/>
              </w:rPr>
              <w:t>占地面积22m</w:t>
            </w:r>
            <w:r>
              <w:rPr>
                <w:rFonts w:hint="eastAsia"/>
                <w:sz w:val="24"/>
                <w:u w:val="none"/>
                <w:shd w:val="clear" w:color="auto" w:fill="FFFFFF"/>
                <w:vertAlign w:val="superscript"/>
                <w:lang w:val="en-US" w:eastAsia="zh-CN"/>
              </w:rPr>
              <w:t>2</w:t>
            </w:r>
            <w:r>
              <w:rPr>
                <w:rFonts w:hint="eastAsia"/>
                <w:sz w:val="24"/>
                <w:u w:val="none"/>
                <w:shd w:val="clear" w:color="auto" w:fill="FFFFFF"/>
                <w:lang w:val="en-US" w:eastAsia="zh-CN"/>
              </w:rPr>
              <w:t>，锅炉渣灰暂存于收集一般固废暂存间后用于农田堆肥；废包装袋及废离子交换树脂交由废品回收单位进行处置；不合格产品、废边角料及油炸废物均收集后由第三方公司进行收购；</w:t>
            </w:r>
            <w:r>
              <w:rPr>
                <w:rFonts w:hint="default"/>
                <w:sz w:val="24"/>
                <w:u w:val="none"/>
                <w:shd w:val="clear" w:color="auto" w:fill="FFFFFF"/>
              </w:rPr>
              <w:t>现有危废暂存间管理和建设能满足《危险废物贮存污染控制标准》（GB18597-2023）的要求，</w:t>
            </w:r>
            <w:r>
              <w:rPr>
                <w:rFonts w:hint="eastAsia"/>
                <w:sz w:val="24"/>
                <w:u w:val="none"/>
                <w:shd w:val="clear" w:color="auto" w:fill="FFFFFF"/>
                <w:lang w:val="en-US" w:eastAsia="zh-CN"/>
              </w:rPr>
              <w:t>占地面积22m</w:t>
            </w:r>
            <w:r>
              <w:rPr>
                <w:rFonts w:hint="eastAsia"/>
                <w:sz w:val="24"/>
                <w:u w:val="none"/>
                <w:shd w:val="clear" w:color="auto" w:fill="FFFFFF"/>
                <w:vertAlign w:val="superscript"/>
                <w:lang w:val="en-US" w:eastAsia="zh-CN"/>
              </w:rPr>
              <w:t>2</w:t>
            </w:r>
            <w:r>
              <w:rPr>
                <w:rFonts w:hint="eastAsia"/>
                <w:sz w:val="24"/>
                <w:u w:val="none"/>
                <w:shd w:val="clear" w:color="auto" w:fill="FFFFFF"/>
                <w:lang w:val="en-US" w:eastAsia="zh-CN"/>
              </w:rPr>
              <w:t>，本项目产生的废润滑油、废含油抹布手套及废油桶收集后暂存于危废暂存间，交由第三方有资质单位进行处置，危废间</w:t>
            </w:r>
            <w:r>
              <w:rPr>
                <w:rFonts w:hint="default"/>
                <w:sz w:val="24"/>
                <w:u w:val="none"/>
                <w:shd w:val="clear" w:color="auto" w:fill="FFFFFF"/>
              </w:rPr>
              <w:t>地面已进行基础防腐防渗处理，建设单位应按照《危险废物收集、贮存、运输技术规范》（HJ 2025-2012）的相关要求进行危险废物收集、贮存和运输，并委托有资质单位进行处置，避免危险废物对环境的二次污染风险。</w:t>
            </w:r>
          </w:p>
          <w:p w14:paraId="5E0731F8">
            <w:pPr>
              <w:keepNext w:val="0"/>
              <w:keepLines w:val="0"/>
              <w:widowControl/>
              <w:suppressLineNumbers w:val="0"/>
              <w:adjustRightInd w:val="0"/>
              <w:snapToGrid w:val="0"/>
              <w:spacing w:before="0" w:beforeAutospacing="0" w:after="0" w:afterAutospacing="0" w:line="360" w:lineRule="auto"/>
              <w:ind w:left="0" w:right="0"/>
              <w:rPr>
                <w:rFonts w:hint="default"/>
                <w:b/>
                <w:bCs/>
                <w:spacing w:val="-10"/>
                <w:sz w:val="28"/>
                <w:szCs w:val="28"/>
              </w:rPr>
            </w:pPr>
            <w:r>
              <w:rPr>
                <w:rFonts w:hint="default"/>
                <w:b/>
                <w:bCs/>
                <w:spacing w:val="-10"/>
                <w:sz w:val="28"/>
                <w:szCs w:val="28"/>
              </w:rPr>
              <w:t>5 、土壤和地下水</w:t>
            </w:r>
          </w:p>
          <w:p w14:paraId="79312ED0">
            <w:pPr>
              <w:pStyle w:val="50"/>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根据工程分析，本项目土壤和地下水污染主要风险源为</w:t>
            </w:r>
            <w:r>
              <w:rPr>
                <w:rFonts w:hint="eastAsia" w:ascii="Times New Roman" w:hAnsi="Times New Roman" w:eastAsia="宋体" w:cs="Times New Roman"/>
                <w:color w:val="auto"/>
                <w:lang w:val="en-US" w:eastAsia="zh-CN"/>
              </w:rPr>
              <w:t>食用油储罐</w:t>
            </w:r>
            <w:r>
              <w:rPr>
                <w:rFonts w:hint="default" w:ascii="Times New Roman" w:hAnsi="Times New Roman" w:eastAsia="宋体" w:cs="Times New Roman"/>
                <w:color w:val="auto"/>
              </w:rPr>
              <w:t>发生泄露火灾事故，企业已采取源头控制和分区防治的措施进行土壤和地下水污染防治。</w:t>
            </w:r>
          </w:p>
          <w:p w14:paraId="69D1E9F6">
            <w:pPr>
              <w:pStyle w:val="50"/>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①源头控制措施：</w:t>
            </w:r>
            <w:r>
              <w:rPr>
                <w:rFonts w:hint="eastAsia" w:ascii="Times New Roman" w:hAnsi="Times New Roman" w:eastAsia="宋体" w:cs="Times New Roman"/>
                <w:color w:val="auto"/>
                <w:lang w:val="en-US" w:eastAsia="zh-CN"/>
              </w:rPr>
              <w:t>食用油储罐区已设置围堰，泄露食用油不会发生漫流事故，能将</w:t>
            </w:r>
            <w:r>
              <w:rPr>
                <w:rFonts w:hint="default" w:ascii="Times New Roman" w:hAnsi="Times New Roman" w:eastAsia="宋体" w:cs="Times New Roman"/>
                <w:color w:val="auto"/>
              </w:rPr>
              <w:t>泄漏失火的环境风险事故降到最低限度。</w:t>
            </w:r>
          </w:p>
          <w:p w14:paraId="728C01AC">
            <w:pPr>
              <w:pStyle w:val="50"/>
              <w:keepNext w:val="0"/>
              <w:keepLines w:val="0"/>
              <w:suppressLineNumbers w:val="0"/>
              <w:snapToGrid w:val="0"/>
              <w:spacing w:before="0" w:beforeAutospacing="0" w:after="0" w:afterAutospacing="0" w:line="360" w:lineRule="auto"/>
              <w:ind w:left="0" w:right="0" w:firstLine="480" w:firstLineChars="200"/>
              <w:rPr>
                <w:rFonts w:hint="eastAsia" w:ascii="Times New Roman" w:hAnsi="Times New Roman" w:eastAsia="宋体" w:cs="Times New Roman"/>
                <w:color w:val="auto"/>
                <w:lang w:eastAsia="zh-CN"/>
              </w:rPr>
            </w:pPr>
            <w:r>
              <w:rPr>
                <w:rFonts w:hint="default" w:ascii="Times New Roman" w:hAnsi="Times New Roman" w:eastAsia="宋体" w:cs="Times New Roman"/>
                <w:color w:val="auto"/>
              </w:rPr>
              <w:t>②防渗控制措施：厂区地面</w:t>
            </w:r>
            <w:r>
              <w:rPr>
                <w:rFonts w:hint="eastAsia" w:ascii="Times New Roman" w:hAnsi="Times New Roman" w:eastAsia="宋体" w:cs="Times New Roman"/>
                <w:color w:val="auto"/>
                <w:lang w:val="en-US" w:eastAsia="zh-CN"/>
              </w:rPr>
              <w:t>均</w:t>
            </w:r>
            <w:r>
              <w:rPr>
                <w:rFonts w:hint="default" w:ascii="Times New Roman" w:hAnsi="Times New Roman" w:eastAsia="宋体" w:cs="Times New Roman"/>
                <w:color w:val="auto"/>
              </w:rPr>
              <w:t>已进行基础防腐防渗处理</w:t>
            </w:r>
            <w:r>
              <w:rPr>
                <w:rFonts w:hint="eastAsia" w:ascii="Times New Roman" w:hAnsi="Times New Roman" w:eastAsia="宋体" w:cs="Times New Roman"/>
                <w:color w:val="auto"/>
                <w:lang w:eastAsia="zh-CN"/>
              </w:rPr>
              <w:t>。</w:t>
            </w:r>
          </w:p>
          <w:p w14:paraId="0F543F2D">
            <w:pPr>
              <w:pStyle w:val="50"/>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综上所述，企业各项防渗措施按照要求落实，并在后续生产中通过加强维护和厂区环境管理，</w:t>
            </w:r>
            <w:r>
              <w:rPr>
                <w:rFonts w:hint="eastAsia" w:ascii="Times New Roman" w:hAnsi="Times New Roman" w:eastAsia="宋体" w:cs="Times New Roman"/>
                <w:color w:val="auto"/>
                <w:lang w:val="en-US" w:eastAsia="zh-CN"/>
              </w:rPr>
              <w:t>本</w:t>
            </w:r>
            <w:r>
              <w:rPr>
                <w:rFonts w:hint="default" w:ascii="Times New Roman" w:hAnsi="Times New Roman" w:eastAsia="宋体" w:cs="Times New Roman"/>
                <w:color w:val="auto"/>
              </w:rPr>
              <w:t>项目对地下水、土壤环境影响可接受。</w:t>
            </w:r>
          </w:p>
          <w:p w14:paraId="6CFBB3F0">
            <w:pPr>
              <w:keepNext w:val="0"/>
              <w:keepLines w:val="0"/>
              <w:widowControl/>
              <w:suppressLineNumbers w:val="0"/>
              <w:adjustRightInd w:val="0"/>
              <w:snapToGrid w:val="0"/>
              <w:spacing w:before="0" w:beforeAutospacing="0" w:after="0" w:afterAutospacing="0" w:line="360" w:lineRule="auto"/>
              <w:ind w:left="0" w:right="0"/>
              <w:rPr>
                <w:rFonts w:hint="default"/>
                <w:b/>
                <w:bCs/>
                <w:spacing w:val="-10"/>
                <w:sz w:val="28"/>
                <w:szCs w:val="28"/>
              </w:rPr>
            </w:pPr>
            <w:r>
              <w:rPr>
                <w:rFonts w:hint="default"/>
                <w:b/>
                <w:bCs/>
                <w:spacing w:val="-10"/>
                <w:sz w:val="28"/>
                <w:szCs w:val="28"/>
              </w:rPr>
              <w:t>6、环境风险</w:t>
            </w:r>
          </w:p>
          <w:p w14:paraId="54B9B14A">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（1）风险源调查</w:t>
            </w:r>
          </w:p>
          <w:p w14:paraId="1933066C">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项目所涉及的主要危险物质</w:t>
            </w:r>
            <w:r>
              <w:rPr>
                <w:rFonts w:hint="eastAsia" w:ascii="Times New Roman"/>
                <w:sz w:val="24"/>
                <w:szCs w:val="24"/>
                <w:lang w:val="en-US" w:eastAsia="zh-CN"/>
              </w:rPr>
              <w:t>为</w:t>
            </w:r>
            <w:r>
              <w:rPr>
                <w:rFonts w:hint="default" w:ascii="Times New Roman"/>
                <w:sz w:val="24"/>
                <w:szCs w:val="24"/>
              </w:rPr>
              <w:t>废润滑油、废油桶等；根据《建设项目环境风险评价技术导则》（HJ169-2018）附录B中风险物质及临界量，项目风险物质储存情况及风险临界量比值情况如下表所示：</w:t>
            </w:r>
          </w:p>
          <w:p w14:paraId="6196E514">
            <w:pPr>
              <w:pStyle w:val="33"/>
              <w:keepNext w:val="0"/>
              <w:keepLines w:val="0"/>
              <w:numPr>
                <w:ilvl w:val="0"/>
                <w:numId w:val="19"/>
              </w:numPr>
              <w:suppressLineNumbers w:val="0"/>
              <w:spacing w:before="0" w:beforeAutospacing="0" w:after="0" w:afterAutospacing="0"/>
              <w:ind w:right="0" w:firstLineChars="0"/>
              <w:jc w:val="center"/>
              <w:rPr>
                <w:rFonts w:hint="default" w:ascii="Times New Roman"/>
                <w:b/>
                <w:bCs/>
                <w:sz w:val="24"/>
                <w:szCs w:val="24"/>
              </w:rPr>
            </w:pPr>
            <w:r>
              <w:rPr>
                <w:rFonts w:hint="eastAsia"/>
                <w:b/>
                <w:bCs/>
                <w:sz w:val="24"/>
                <w:szCs w:val="24"/>
                <w:lang w:val="en-US" w:eastAsia="zh-CN"/>
              </w:rPr>
              <w:t>本</w:t>
            </w:r>
            <w:r>
              <w:rPr>
                <w:rFonts w:hint="default" w:ascii="Times New Roman"/>
                <w:b/>
                <w:bCs/>
                <w:sz w:val="24"/>
                <w:szCs w:val="24"/>
              </w:rPr>
              <w:t>项目风险物质数量及分布情况一览表</w:t>
            </w:r>
          </w:p>
          <w:tbl>
            <w:tblPr>
              <w:tblStyle w:val="24"/>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23"/>
              <w:gridCol w:w="959"/>
              <w:gridCol w:w="1302"/>
              <w:gridCol w:w="776"/>
              <w:gridCol w:w="1528"/>
              <w:gridCol w:w="1067"/>
              <w:gridCol w:w="1278"/>
              <w:gridCol w:w="863"/>
            </w:tblGrid>
            <w:tr w14:paraId="5CC1AC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vAlign w:val="center"/>
                </w:tcPr>
                <w:p w14:paraId="4E78E244">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序号</w:t>
                  </w:r>
                </w:p>
              </w:tc>
              <w:tc>
                <w:tcPr>
                  <w:tcW w:w="571" w:type="pct"/>
                  <w:vAlign w:val="center"/>
                </w:tcPr>
                <w:p w14:paraId="43D70852">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风险源</w:t>
                  </w:r>
                </w:p>
              </w:tc>
              <w:tc>
                <w:tcPr>
                  <w:tcW w:w="775" w:type="pct"/>
                  <w:vAlign w:val="center"/>
                </w:tcPr>
                <w:p w14:paraId="0ADCACB4">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风险物质</w:t>
                  </w:r>
                </w:p>
              </w:tc>
              <w:tc>
                <w:tcPr>
                  <w:tcW w:w="462" w:type="pct"/>
                  <w:vAlign w:val="center"/>
                </w:tcPr>
                <w:p w14:paraId="44948756">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形态</w:t>
                  </w:r>
                </w:p>
              </w:tc>
              <w:tc>
                <w:tcPr>
                  <w:tcW w:w="910" w:type="pct"/>
                  <w:vAlign w:val="center"/>
                </w:tcPr>
                <w:p w14:paraId="4C4C5A04">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最大储存量</w:t>
                  </w:r>
                </w:p>
                <w:p w14:paraId="2F8CB675">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qn/t</w:t>
                  </w:r>
                </w:p>
              </w:tc>
              <w:tc>
                <w:tcPr>
                  <w:tcW w:w="633" w:type="pct"/>
                  <w:vAlign w:val="center"/>
                </w:tcPr>
                <w:p w14:paraId="2EE74B1E">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临界量qn/t</w:t>
                  </w:r>
                </w:p>
              </w:tc>
              <w:tc>
                <w:tcPr>
                  <w:tcW w:w="761" w:type="pct"/>
                  <w:vAlign w:val="center"/>
                </w:tcPr>
                <w:p w14:paraId="45D95580">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Q值</w:t>
                  </w:r>
                </w:p>
              </w:tc>
              <w:tc>
                <w:tcPr>
                  <w:tcW w:w="514" w:type="pct"/>
                  <w:vAlign w:val="center"/>
                </w:tcPr>
                <w:p w14:paraId="54F445BB">
                  <w:pPr>
                    <w:keepNext w:val="0"/>
                    <w:keepLines w:val="0"/>
                    <w:suppressLineNumbers w:val="0"/>
                    <w:spacing w:before="0" w:beforeAutospacing="0" w:after="0" w:afterAutospacing="0"/>
                    <w:ind w:left="0" w:right="0"/>
                    <w:jc w:val="center"/>
                    <w:rPr>
                      <w:rFonts w:hint="default"/>
                      <w:b/>
                      <w:bCs/>
                      <w:szCs w:val="21"/>
                    </w:rPr>
                  </w:pPr>
                  <w:r>
                    <w:rPr>
                      <w:rFonts w:hint="default"/>
                      <w:b/>
                      <w:bCs/>
                      <w:szCs w:val="21"/>
                    </w:rPr>
                    <w:t>备注</w:t>
                  </w:r>
                </w:p>
              </w:tc>
            </w:tr>
            <w:tr w14:paraId="075031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vAlign w:val="center"/>
                </w:tcPr>
                <w:p w14:paraId="681545DF">
                  <w:pPr>
                    <w:keepNext w:val="0"/>
                    <w:keepLines w:val="0"/>
                    <w:suppressLineNumbers w:val="0"/>
                    <w:spacing w:before="0" w:beforeAutospacing="0" w:after="0" w:afterAutospacing="0"/>
                    <w:ind w:left="0" w:right="0"/>
                    <w:jc w:val="center"/>
                    <w:rPr>
                      <w:rFonts w:hint="default"/>
                      <w:szCs w:val="21"/>
                    </w:rPr>
                  </w:pPr>
                  <w:r>
                    <w:rPr>
                      <w:rFonts w:hint="default"/>
                      <w:szCs w:val="21"/>
                    </w:rPr>
                    <w:t>1</w:t>
                  </w:r>
                </w:p>
              </w:tc>
              <w:tc>
                <w:tcPr>
                  <w:tcW w:w="571" w:type="pct"/>
                  <w:vMerge w:val="restart"/>
                  <w:vAlign w:val="center"/>
                </w:tcPr>
                <w:p w14:paraId="3CC160BB">
                  <w:pPr>
                    <w:keepNext w:val="0"/>
                    <w:keepLines w:val="0"/>
                    <w:suppressLineNumbers w:val="0"/>
                    <w:spacing w:before="0" w:beforeAutospacing="0" w:after="0" w:afterAutospacing="0"/>
                    <w:ind w:left="0" w:right="0"/>
                    <w:jc w:val="center"/>
                    <w:rPr>
                      <w:rFonts w:hint="default"/>
                      <w:szCs w:val="21"/>
                    </w:rPr>
                  </w:pPr>
                  <w:r>
                    <w:rPr>
                      <w:rFonts w:hint="default"/>
                      <w:szCs w:val="21"/>
                    </w:rPr>
                    <w:t>危废暂存间</w:t>
                  </w:r>
                </w:p>
              </w:tc>
              <w:tc>
                <w:tcPr>
                  <w:tcW w:w="775" w:type="pct"/>
                  <w:vAlign w:val="center"/>
                </w:tcPr>
                <w:p w14:paraId="582350F9">
                  <w:pPr>
                    <w:keepNext w:val="0"/>
                    <w:keepLines w:val="0"/>
                    <w:suppressLineNumbers w:val="0"/>
                    <w:spacing w:before="0" w:beforeAutospacing="0" w:after="0" w:afterAutospacing="0"/>
                    <w:ind w:left="0" w:right="0"/>
                    <w:jc w:val="center"/>
                    <w:rPr>
                      <w:rFonts w:hint="default"/>
                      <w:szCs w:val="21"/>
                    </w:rPr>
                  </w:pPr>
                  <w:r>
                    <w:rPr>
                      <w:rFonts w:hint="default"/>
                      <w:szCs w:val="21"/>
                    </w:rPr>
                    <w:t>废润滑油</w:t>
                  </w:r>
                </w:p>
              </w:tc>
              <w:tc>
                <w:tcPr>
                  <w:tcW w:w="462" w:type="pct"/>
                  <w:vAlign w:val="center"/>
                </w:tcPr>
                <w:p w14:paraId="18CAC059">
                  <w:pPr>
                    <w:keepNext w:val="0"/>
                    <w:keepLines w:val="0"/>
                    <w:suppressLineNumbers w:val="0"/>
                    <w:spacing w:before="0" w:beforeAutospacing="0" w:after="0" w:afterAutospacing="0"/>
                    <w:ind w:left="0" w:right="0"/>
                    <w:jc w:val="center"/>
                    <w:rPr>
                      <w:rFonts w:hint="default"/>
                      <w:szCs w:val="21"/>
                    </w:rPr>
                  </w:pPr>
                  <w:r>
                    <w:rPr>
                      <w:rFonts w:hint="default"/>
                      <w:szCs w:val="21"/>
                    </w:rPr>
                    <w:t>液态</w:t>
                  </w:r>
                </w:p>
              </w:tc>
              <w:tc>
                <w:tcPr>
                  <w:tcW w:w="910" w:type="pct"/>
                  <w:vAlign w:val="center"/>
                </w:tcPr>
                <w:p w14:paraId="2BD1AB92">
                  <w:pPr>
                    <w:keepNext w:val="0"/>
                    <w:keepLines w:val="0"/>
                    <w:suppressLineNumbers w:val="0"/>
                    <w:spacing w:before="0" w:beforeAutospacing="0" w:after="0" w:afterAutospacing="0"/>
                    <w:ind w:left="0" w:right="0"/>
                    <w:jc w:val="center"/>
                    <w:rPr>
                      <w:rFonts w:hint="default"/>
                      <w:szCs w:val="21"/>
                    </w:rPr>
                  </w:pPr>
                  <w:r>
                    <w:rPr>
                      <w:rFonts w:hint="default"/>
                      <w:szCs w:val="21"/>
                    </w:rPr>
                    <w:t>0.1</w:t>
                  </w:r>
                </w:p>
              </w:tc>
              <w:tc>
                <w:tcPr>
                  <w:tcW w:w="633" w:type="pct"/>
                  <w:vAlign w:val="center"/>
                </w:tcPr>
                <w:p w14:paraId="70043168">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50</w:t>
                  </w:r>
                </w:p>
              </w:tc>
              <w:tc>
                <w:tcPr>
                  <w:tcW w:w="761" w:type="pct"/>
                  <w:vAlign w:val="center"/>
                </w:tcPr>
                <w:p w14:paraId="36C5DD42">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0.002</w:t>
                  </w:r>
                </w:p>
              </w:tc>
              <w:tc>
                <w:tcPr>
                  <w:tcW w:w="514" w:type="pct"/>
                  <w:vAlign w:val="center"/>
                </w:tcPr>
                <w:p w14:paraId="73E5E1B1">
                  <w:pPr>
                    <w:keepNext w:val="0"/>
                    <w:keepLines w:val="0"/>
                    <w:suppressLineNumbers w:val="0"/>
                    <w:spacing w:before="0" w:beforeAutospacing="0" w:after="0" w:afterAutospacing="0"/>
                    <w:ind w:left="0" w:right="0"/>
                    <w:jc w:val="center"/>
                    <w:rPr>
                      <w:rFonts w:hint="default"/>
                      <w:szCs w:val="21"/>
                    </w:rPr>
                  </w:pPr>
                  <w:r>
                    <w:rPr>
                      <w:rFonts w:hint="default"/>
                      <w:szCs w:val="21"/>
                    </w:rPr>
                    <w:t>桶装</w:t>
                  </w:r>
                </w:p>
              </w:tc>
            </w:tr>
            <w:tr w14:paraId="4EDEED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vAlign w:val="center"/>
                </w:tcPr>
                <w:p w14:paraId="2268DFDE">
                  <w:pPr>
                    <w:keepNext w:val="0"/>
                    <w:keepLines w:val="0"/>
                    <w:suppressLineNumbers w:val="0"/>
                    <w:spacing w:before="0" w:beforeAutospacing="0" w:after="0" w:afterAutospacing="0"/>
                    <w:ind w:left="0" w:right="0"/>
                    <w:jc w:val="center"/>
                    <w:rPr>
                      <w:rFonts w:hint="default"/>
                      <w:szCs w:val="21"/>
                    </w:rPr>
                  </w:pPr>
                  <w:r>
                    <w:rPr>
                      <w:rFonts w:hint="default"/>
                      <w:szCs w:val="21"/>
                    </w:rPr>
                    <w:t>2</w:t>
                  </w:r>
                </w:p>
              </w:tc>
              <w:tc>
                <w:tcPr>
                  <w:tcW w:w="571" w:type="pct"/>
                  <w:vMerge w:val="continue"/>
                  <w:vAlign w:val="center"/>
                </w:tcPr>
                <w:p w14:paraId="267A7CBD">
                  <w:pPr>
                    <w:keepNext w:val="0"/>
                    <w:keepLines w:val="0"/>
                    <w:suppressLineNumbers w:val="0"/>
                    <w:spacing w:before="0" w:beforeAutospacing="0" w:after="0" w:afterAutospacing="0"/>
                    <w:ind w:left="0" w:right="0"/>
                    <w:jc w:val="center"/>
                    <w:rPr>
                      <w:rFonts w:hint="default"/>
                      <w:szCs w:val="21"/>
                    </w:rPr>
                  </w:pPr>
                </w:p>
              </w:tc>
              <w:tc>
                <w:tcPr>
                  <w:tcW w:w="775" w:type="pct"/>
                  <w:shd w:val="clear" w:color="auto" w:fill="auto"/>
                  <w:vAlign w:val="center"/>
                </w:tcPr>
                <w:p w14:paraId="305DB087">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Cs w:val="21"/>
                    </w:rPr>
                    <w:t>废含油抹布、手套</w:t>
                  </w:r>
                </w:p>
              </w:tc>
              <w:tc>
                <w:tcPr>
                  <w:tcW w:w="462" w:type="pct"/>
                  <w:shd w:val="clear" w:color="auto" w:fill="auto"/>
                  <w:vAlign w:val="center"/>
                </w:tcPr>
                <w:p w14:paraId="1B35360A">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Cs w:val="21"/>
                    </w:rPr>
                    <w:t>固态</w:t>
                  </w:r>
                </w:p>
              </w:tc>
              <w:tc>
                <w:tcPr>
                  <w:tcW w:w="910" w:type="pct"/>
                  <w:shd w:val="clear" w:color="auto" w:fill="auto"/>
                  <w:vAlign w:val="center"/>
                </w:tcPr>
                <w:p w14:paraId="40558D2B">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Cs w:val="21"/>
                    </w:rPr>
                    <w:t>0.005</w:t>
                  </w:r>
                </w:p>
              </w:tc>
              <w:tc>
                <w:tcPr>
                  <w:tcW w:w="633" w:type="pct"/>
                  <w:shd w:val="clear" w:color="auto" w:fill="auto"/>
                  <w:vAlign w:val="center"/>
                </w:tcPr>
                <w:p w14:paraId="071CD053">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Cs w:val="21"/>
                    </w:rPr>
                    <w:t>50</w:t>
                  </w:r>
                </w:p>
              </w:tc>
              <w:tc>
                <w:tcPr>
                  <w:tcW w:w="761" w:type="pct"/>
                  <w:shd w:val="clear" w:color="auto" w:fill="auto"/>
                  <w:vAlign w:val="center"/>
                </w:tcPr>
                <w:p w14:paraId="1DB370CC">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Cs w:val="21"/>
                    </w:rPr>
                    <w:t>0.0001</w:t>
                  </w:r>
                </w:p>
              </w:tc>
              <w:tc>
                <w:tcPr>
                  <w:tcW w:w="514" w:type="pct"/>
                  <w:shd w:val="clear" w:color="auto" w:fill="auto"/>
                  <w:vAlign w:val="center"/>
                </w:tcPr>
                <w:p w14:paraId="35FEC932">
                  <w:pPr>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bidi="ar-SA"/>
                    </w:rPr>
                  </w:pPr>
                  <w:r>
                    <w:rPr>
                      <w:rFonts w:hint="default"/>
                      <w:szCs w:val="21"/>
                    </w:rPr>
                    <w:t>袋装</w:t>
                  </w:r>
                </w:p>
              </w:tc>
            </w:tr>
            <w:tr w14:paraId="002235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1" w:type="pct"/>
                  <w:vAlign w:val="center"/>
                </w:tcPr>
                <w:p w14:paraId="129E5851">
                  <w:pPr>
                    <w:keepNext w:val="0"/>
                    <w:keepLines w:val="0"/>
                    <w:suppressLineNumbers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3</w:t>
                  </w:r>
                </w:p>
              </w:tc>
              <w:tc>
                <w:tcPr>
                  <w:tcW w:w="571" w:type="pct"/>
                  <w:vMerge w:val="continue"/>
                  <w:vAlign w:val="center"/>
                </w:tcPr>
                <w:p w14:paraId="747E991F">
                  <w:pPr>
                    <w:keepNext w:val="0"/>
                    <w:keepLines w:val="0"/>
                    <w:suppressLineNumbers w:val="0"/>
                    <w:spacing w:before="0" w:beforeAutospacing="0" w:after="0" w:afterAutospacing="0"/>
                    <w:ind w:left="0" w:right="0"/>
                    <w:jc w:val="center"/>
                    <w:rPr>
                      <w:rFonts w:hint="default"/>
                      <w:szCs w:val="21"/>
                    </w:rPr>
                  </w:pPr>
                </w:p>
              </w:tc>
              <w:tc>
                <w:tcPr>
                  <w:tcW w:w="775" w:type="pct"/>
                  <w:shd w:val="clear" w:color="auto" w:fill="auto"/>
                  <w:vAlign w:val="center"/>
                </w:tcPr>
                <w:p w14:paraId="78A3F885">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废油桶</w:t>
                  </w:r>
                </w:p>
              </w:tc>
              <w:tc>
                <w:tcPr>
                  <w:tcW w:w="462" w:type="pct"/>
                  <w:shd w:val="clear" w:color="auto" w:fill="auto"/>
                  <w:vAlign w:val="center"/>
                </w:tcPr>
                <w:p w14:paraId="17EA2188">
                  <w:pPr>
                    <w:keepNext w:val="0"/>
                    <w:keepLines w:val="0"/>
                    <w:suppressLineNumbers w:val="0"/>
                    <w:spacing w:before="0" w:beforeAutospacing="0" w:after="0" w:afterAutospacing="0"/>
                    <w:ind w:left="0" w:right="0"/>
                    <w:jc w:val="center"/>
                    <w:rPr>
                      <w:rFonts w:hint="default"/>
                      <w:szCs w:val="21"/>
                    </w:rPr>
                  </w:pPr>
                  <w:r>
                    <w:rPr>
                      <w:rFonts w:hint="default"/>
                      <w:szCs w:val="21"/>
                    </w:rPr>
                    <w:t>固态</w:t>
                  </w:r>
                </w:p>
              </w:tc>
              <w:tc>
                <w:tcPr>
                  <w:tcW w:w="910" w:type="pct"/>
                  <w:shd w:val="clear" w:color="auto" w:fill="auto"/>
                  <w:vAlign w:val="center"/>
                </w:tcPr>
                <w:p w14:paraId="17B8E3D1">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0.06</w:t>
                  </w:r>
                </w:p>
              </w:tc>
              <w:tc>
                <w:tcPr>
                  <w:tcW w:w="633" w:type="pct"/>
                  <w:shd w:val="clear" w:color="auto" w:fill="auto"/>
                  <w:vAlign w:val="center"/>
                </w:tcPr>
                <w:p w14:paraId="36A30646">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50</w:t>
                  </w:r>
                </w:p>
              </w:tc>
              <w:tc>
                <w:tcPr>
                  <w:tcW w:w="761" w:type="pct"/>
                  <w:shd w:val="clear" w:color="auto" w:fill="auto"/>
                  <w:vAlign w:val="center"/>
                </w:tcPr>
                <w:p w14:paraId="019E7DB7">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0.0012</w:t>
                  </w:r>
                </w:p>
              </w:tc>
              <w:tc>
                <w:tcPr>
                  <w:tcW w:w="514" w:type="pct"/>
                  <w:shd w:val="clear" w:color="auto" w:fill="auto"/>
                  <w:vAlign w:val="center"/>
                </w:tcPr>
                <w:p w14:paraId="4B9830D7">
                  <w:pPr>
                    <w:keepNext w:val="0"/>
                    <w:keepLines w:val="0"/>
                    <w:suppressLineNumbers w:val="0"/>
                    <w:spacing w:before="0" w:beforeAutospacing="0" w:after="0" w:afterAutospacing="0"/>
                    <w:ind w:left="0" w:right="0"/>
                    <w:jc w:val="center"/>
                    <w:rPr>
                      <w:rFonts w:hint="default"/>
                      <w:szCs w:val="21"/>
                    </w:rPr>
                  </w:pPr>
                  <w:r>
                    <w:rPr>
                      <w:rFonts w:hint="default"/>
                      <w:szCs w:val="21"/>
                    </w:rPr>
                    <w:t>桶装</w:t>
                  </w:r>
                </w:p>
              </w:tc>
            </w:tr>
            <w:tr w14:paraId="0D467E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3724" w:type="pct"/>
                  <w:gridSpan w:val="6"/>
                  <w:vAlign w:val="center"/>
                </w:tcPr>
                <w:p w14:paraId="3C4DED71">
                  <w:pPr>
                    <w:keepNext w:val="0"/>
                    <w:keepLines w:val="0"/>
                    <w:suppressLineNumbers w:val="0"/>
                    <w:spacing w:before="0" w:beforeAutospacing="0" w:after="0" w:afterAutospacing="0"/>
                    <w:ind w:left="0" w:right="0"/>
                    <w:jc w:val="center"/>
                    <w:rPr>
                      <w:rFonts w:hint="default"/>
                      <w:szCs w:val="21"/>
                    </w:rPr>
                  </w:pPr>
                  <w:r>
                    <w:rPr>
                      <w:rFonts w:hint="default"/>
                      <w:szCs w:val="21"/>
                    </w:rPr>
                    <w:t>合计</w:t>
                  </w:r>
                </w:p>
              </w:tc>
              <w:tc>
                <w:tcPr>
                  <w:tcW w:w="761" w:type="pct"/>
                  <w:vAlign w:val="center"/>
                </w:tcPr>
                <w:p w14:paraId="05041640">
                  <w:pPr>
                    <w:keepNext w:val="0"/>
                    <w:keepLines w:val="0"/>
                    <w:suppressLineNumbers w:val="0"/>
                    <w:spacing w:before="0" w:beforeAutospacing="0" w:after="0" w:afterAutospacing="0"/>
                    <w:ind w:left="0" w:right="0"/>
                    <w:jc w:val="center"/>
                    <w:rPr>
                      <w:rFonts w:hint="default" w:eastAsia="宋体"/>
                      <w:szCs w:val="21"/>
                      <w:lang w:val="en-US" w:eastAsia="zh-CN"/>
                    </w:rPr>
                  </w:pPr>
                  <w:r>
                    <w:rPr>
                      <w:rFonts w:hint="default"/>
                      <w:szCs w:val="21"/>
                    </w:rPr>
                    <w:t>0.</w:t>
                  </w:r>
                  <w:r>
                    <w:rPr>
                      <w:rFonts w:hint="eastAsia"/>
                      <w:szCs w:val="21"/>
                      <w:lang w:val="en-US" w:eastAsia="zh-CN"/>
                    </w:rPr>
                    <w:t>0033</w:t>
                  </w:r>
                </w:p>
              </w:tc>
              <w:tc>
                <w:tcPr>
                  <w:tcW w:w="514" w:type="pct"/>
                  <w:vAlign w:val="center"/>
                </w:tcPr>
                <w:p w14:paraId="4786D00E">
                  <w:pPr>
                    <w:keepNext w:val="0"/>
                    <w:keepLines w:val="0"/>
                    <w:suppressLineNumbers w:val="0"/>
                    <w:spacing w:before="0" w:beforeAutospacing="0" w:after="0" w:afterAutospacing="0"/>
                    <w:ind w:left="0" w:right="0"/>
                    <w:jc w:val="center"/>
                    <w:rPr>
                      <w:rFonts w:hint="default"/>
                      <w:szCs w:val="21"/>
                    </w:rPr>
                  </w:pPr>
                  <w:r>
                    <w:rPr>
                      <w:rFonts w:hint="default"/>
                      <w:szCs w:val="21"/>
                    </w:rPr>
                    <w:t>＜1</w:t>
                  </w:r>
                </w:p>
              </w:tc>
            </w:tr>
          </w:tbl>
          <w:p w14:paraId="214BBCD3">
            <w:pPr>
              <w:keepNext w:val="0"/>
              <w:keepLines w:val="0"/>
              <w:suppressLineNumbers w:val="0"/>
              <w:snapToGrid w:val="0"/>
              <w:spacing w:before="157" w:beforeLines="50" w:beforeAutospacing="0" w:after="0" w:afterAutospacing="0" w:line="360" w:lineRule="auto"/>
              <w:ind w:left="0" w:right="0" w:firstLine="504" w:firstLineChars="200"/>
              <w:rPr>
                <w:rFonts w:hint="default"/>
                <w:bCs/>
                <w:spacing w:val="6"/>
                <w:sz w:val="24"/>
              </w:rPr>
            </w:pPr>
            <w:r>
              <w:rPr>
                <w:rFonts w:hint="default"/>
                <w:bCs/>
                <w:spacing w:val="6"/>
                <w:sz w:val="24"/>
              </w:rPr>
              <w:t>由上表可知，项目环境风险物质的Q值=0.</w:t>
            </w:r>
            <w:r>
              <w:rPr>
                <w:rFonts w:hint="eastAsia"/>
                <w:bCs/>
                <w:spacing w:val="6"/>
                <w:sz w:val="24"/>
                <w:lang w:val="en-US" w:eastAsia="zh-CN"/>
              </w:rPr>
              <w:t>0033</w:t>
            </w:r>
            <w:r>
              <w:rPr>
                <w:rFonts w:hint="default"/>
                <w:bCs/>
                <w:spacing w:val="6"/>
                <w:sz w:val="24"/>
              </w:rPr>
              <w:t>＜1，故环境风险潜势为Ⅰ，本项目风险评价为开展简单分析。</w:t>
            </w:r>
          </w:p>
          <w:p w14:paraId="2132C458">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（2）环境风险分析</w:t>
            </w:r>
          </w:p>
          <w:p w14:paraId="03D566DD">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项目主要环境风险</w:t>
            </w:r>
            <w:r>
              <w:rPr>
                <w:rFonts w:hint="eastAsia" w:ascii="Times New Roman"/>
                <w:sz w:val="24"/>
                <w:szCs w:val="24"/>
                <w:lang w:val="en-US" w:eastAsia="zh-CN"/>
              </w:rPr>
              <w:t>为</w:t>
            </w:r>
            <w:r>
              <w:rPr>
                <w:rFonts w:hint="default" w:ascii="Times New Roman"/>
                <w:sz w:val="24"/>
                <w:szCs w:val="24"/>
              </w:rPr>
              <w:t>废润滑油及由于废气处理设施故障造成的环境风险。</w:t>
            </w:r>
          </w:p>
          <w:p w14:paraId="68BED6A9">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（3）环境风险防范措施</w:t>
            </w:r>
          </w:p>
          <w:p w14:paraId="47F5B015">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eastAsia" w:hAnsi="宋体" w:cs="宋体"/>
                <w:sz w:val="24"/>
                <w:szCs w:val="24"/>
              </w:rPr>
              <w:t>①</w:t>
            </w:r>
            <w:r>
              <w:rPr>
                <w:rFonts w:hint="default" w:ascii="Times New Roman"/>
                <w:sz w:val="24"/>
                <w:szCs w:val="24"/>
              </w:rPr>
              <w:t>废气事故排放风险防范措施</w:t>
            </w:r>
          </w:p>
          <w:p w14:paraId="0764AE0B">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为了避免挤出废气出现事故排放的极端情况，企业应定期检查厂区内废气处理设施，规范操作，防止周边大气环境因为环保设备故障而受到较大影响。一旦环保设备出现故障，必须立即停止生产，使生产废气对周围环境的影响降到最低。</w:t>
            </w:r>
          </w:p>
          <w:p w14:paraId="60265B01">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eastAsia" w:ascii="Times New Roman"/>
                <w:sz w:val="24"/>
                <w:szCs w:val="24"/>
                <w:lang w:val="en-US" w:eastAsia="zh-CN"/>
              </w:rPr>
              <w:t>②</w:t>
            </w:r>
            <w:r>
              <w:rPr>
                <w:rFonts w:hint="default" w:ascii="Times New Roman"/>
                <w:sz w:val="24"/>
                <w:szCs w:val="24"/>
              </w:rPr>
              <w:t>废润滑油泄漏风险防范措施</w:t>
            </w:r>
          </w:p>
          <w:p w14:paraId="359C842C">
            <w:pPr>
              <w:pStyle w:val="51"/>
              <w:keepNext w:val="0"/>
              <w:keepLines w:val="0"/>
              <w:widowControl/>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当泄漏的油品量较少时，当班领导组织现场处置组对现场已泄漏的油品用沙土覆盖，待被充分吸收后将附有废润滑油的沙土暂存在危废暂存间，委托有资质单位进行处置。</w:t>
            </w:r>
          </w:p>
          <w:p w14:paraId="5CA0D010">
            <w:pPr>
              <w:pStyle w:val="51"/>
              <w:keepNext w:val="0"/>
              <w:keepLines w:val="0"/>
              <w:suppressLineNumbers w:val="0"/>
              <w:spacing w:before="0" w:beforeAutospacing="0" w:after="0" w:afterAutospacing="0" w:line="360" w:lineRule="auto"/>
              <w:ind w:left="0" w:right="0" w:firstLine="480" w:firstLineChars="200"/>
              <w:rPr>
                <w:rFonts w:hint="default" w:ascii="Times New Roman"/>
                <w:sz w:val="24"/>
                <w:szCs w:val="24"/>
              </w:rPr>
            </w:pPr>
            <w:r>
              <w:rPr>
                <w:rFonts w:hint="default" w:ascii="Times New Roman"/>
                <w:sz w:val="24"/>
                <w:szCs w:val="24"/>
              </w:rPr>
              <w:t>危废废物必须与其他物质分开收集，并设立相应的标识和警示牌，危废间应做好防渗、防漏措施，并配备灭火器，指定专人进行严格管理，并建立相关档案。车间内设置有火灾自动报警系统，车间内外配置完善的消防设施，包括泡沫消防设施和水泡消防设施，制定严格的作业制度。</w:t>
            </w:r>
          </w:p>
          <w:p w14:paraId="2AB68E03">
            <w:pPr>
              <w:pStyle w:val="51"/>
              <w:keepNext w:val="0"/>
              <w:keepLines w:val="0"/>
              <w:suppressLineNumbers w:val="0"/>
              <w:spacing w:before="0" w:beforeAutospacing="0" w:after="0" w:afterAutospacing="0" w:line="360" w:lineRule="auto"/>
              <w:ind w:left="0" w:right="0" w:firstLine="504" w:firstLineChars="200"/>
              <w:rPr>
                <w:rFonts w:hint="default" w:ascii="Times New Roman"/>
                <w:bCs/>
                <w:spacing w:val="6"/>
                <w:sz w:val="24"/>
                <w:szCs w:val="24"/>
              </w:rPr>
            </w:pPr>
            <w:r>
              <w:rPr>
                <w:rFonts w:hint="default" w:ascii="Times New Roman"/>
                <w:bCs/>
                <w:spacing w:val="6"/>
                <w:sz w:val="24"/>
                <w:szCs w:val="24"/>
              </w:rPr>
              <w:t>综上所述，本项目在落实报告中提出的各项防治措施、加强管理、制定应急预案的条件下，其环境风险是较小的，风险可接受。</w:t>
            </w:r>
          </w:p>
          <w:p w14:paraId="52AD189D">
            <w:pPr>
              <w:keepNext w:val="0"/>
              <w:keepLines w:val="0"/>
              <w:widowControl/>
              <w:suppressLineNumbers w:val="0"/>
              <w:adjustRightInd w:val="0"/>
              <w:snapToGrid w:val="0"/>
              <w:spacing w:before="0" w:beforeLines="0" w:beforeAutospacing="0" w:after="0" w:afterAutospacing="0" w:line="360" w:lineRule="auto"/>
              <w:ind w:left="0" w:right="0"/>
              <w:rPr>
                <w:rFonts w:hint="default"/>
                <w:b/>
                <w:bCs/>
                <w:spacing w:val="-10"/>
                <w:sz w:val="28"/>
                <w:szCs w:val="28"/>
              </w:rPr>
            </w:pPr>
            <w:r>
              <w:rPr>
                <w:rFonts w:hint="default"/>
                <w:b/>
                <w:bCs/>
                <w:spacing w:val="-10"/>
                <w:sz w:val="28"/>
                <w:szCs w:val="28"/>
                <w:u w:val="none"/>
              </w:rPr>
              <w:t>7、</w:t>
            </w:r>
            <w:r>
              <w:rPr>
                <w:rFonts w:hint="default"/>
                <w:b/>
                <w:bCs/>
                <w:spacing w:val="-10"/>
                <w:sz w:val="28"/>
                <w:szCs w:val="28"/>
                <w:u w:val="single"/>
              </w:rPr>
              <w:t>环保投资</w:t>
            </w:r>
          </w:p>
          <w:p w14:paraId="2E38199F">
            <w:pPr>
              <w:pStyle w:val="45"/>
              <w:keepNext w:val="0"/>
              <w:keepLines w:val="0"/>
              <w:suppressLineNumbers w:val="0"/>
              <w:snapToGrid w:val="0"/>
              <w:spacing w:before="0" w:beforeAutospacing="0" w:after="0" w:afterAutospacing="0" w:line="360" w:lineRule="auto"/>
              <w:ind w:left="0" w:right="0" w:firstLine="480" w:firstLineChars="200"/>
              <w:rPr>
                <w:rFonts w:hint="default" w:ascii="Times New Roman"/>
                <w:color w:val="auto"/>
                <w:szCs w:val="24"/>
                <w:u w:val="single"/>
                <w:lang w:bidi="ar"/>
              </w:rPr>
            </w:pPr>
            <w:r>
              <w:rPr>
                <w:rFonts w:hint="default" w:ascii="Times New Roman"/>
                <w:color w:val="auto"/>
                <w:szCs w:val="24"/>
                <w:u w:val="single"/>
                <w:lang w:bidi="ar"/>
              </w:rPr>
              <w:t>项目总投资</w:t>
            </w:r>
            <w:r>
              <w:rPr>
                <w:rFonts w:hint="eastAsia" w:ascii="Times New Roman"/>
                <w:color w:val="auto"/>
                <w:szCs w:val="24"/>
                <w:u w:val="single"/>
                <w:lang w:val="en-US" w:eastAsia="zh-CN"/>
              </w:rPr>
              <w:t>4500</w:t>
            </w:r>
            <w:r>
              <w:rPr>
                <w:rFonts w:hint="default" w:ascii="Times New Roman"/>
                <w:color w:val="auto"/>
                <w:szCs w:val="24"/>
                <w:u w:val="single"/>
                <w:lang w:bidi="ar"/>
              </w:rPr>
              <w:t>万元</w:t>
            </w:r>
            <w:r>
              <w:rPr>
                <w:rFonts w:hint="eastAsia" w:ascii="Times New Roman"/>
                <w:color w:val="auto"/>
                <w:szCs w:val="24"/>
                <w:u w:val="single"/>
                <w:lang w:val="en-US" w:eastAsia="zh-CN" w:bidi="ar"/>
              </w:rPr>
              <w:t>，锅炉及配套设施设备总投资131万，本项目</w:t>
            </w:r>
            <w:r>
              <w:rPr>
                <w:rFonts w:hint="default" w:ascii="Times New Roman"/>
                <w:color w:val="auto"/>
                <w:szCs w:val="24"/>
                <w:u w:val="single"/>
                <w:lang w:bidi="ar"/>
              </w:rPr>
              <w:t>环保投资</w:t>
            </w:r>
            <w:r>
              <w:rPr>
                <w:rFonts w:hint="eastAsia" w:ascii="Times New Roman"/>
                <w:color w:val="auto"/>
                <w:szCs w:val="24"/>
                <w:highlight w:val="none"/>
                <w:u w:val="single"/>
                <w:lang w:val="en-US" w:eastAsia="zh-CN" w:bidi="ar"/>
              </w:rPr>
              <w:t>59.2</w:t>
            </w:r>
            <w:r>
              <w:rPr>
                <w:rFonts w:hint="default" w:ascii="Times New Roman"/>
                <w:color w:val="auto"/>
                <w:szCs w:val="24"/>
                <w:u w:val="single"/>
                <w:lang w:bidi="ar"/>
              </w:rPr>
              <w:t>万元，占总投资的</w:t>
            </w:r>
            <w:r>
              <w:rPr>
                <w:rFonts w:hint="eastAsia" w:ascii="Times New Roman"/>
                <w:color w:val="auto"/>
                <w:szCs w:val="24"/>
                <w:highlight w:val="none"/>
                <w:u w:val="single"/>
                <w:lang w:val="en-US" w:eastAsia="zh-CN" w:bidi="ar"/>
              </w:rPr>
              <w:t>1.32</w:t>
            </w:r>
            <w:r>
              <w:rPr>
                <w:rFonts w:hint="default" w:ascii="Times New Roman"/>
                <w:color w:val="auto"/>
                <w:szCs w:val="24"/>
                <w:highlight w:val="none"/>
                <w:u w:val="single"/>
                <w:lang w:bidi="ar"/>
              </w:rPr>
              <w:t>%</w:t>
            </w:r>
            <w:r>
              <w:rPr>
                <w:rFonts w:hint="default" w:ascii="Times New Roman"/>
                <w:color w:val="auto"/>
                <w:szCs w:val="24"/>
                <w:u w:val="single"/>
                <w:lang w:bidi="ar"/>
              </w:rPr>
              <w:t>。</w:t>
            </w:r>
            <w:r>
              <w:rPr>
                <w:rFonts w:hint="default" w:ascii="Times New Roman"/>
                <w:color w:val="auto"/>
                <w:szCs w:val="24"/>
                <w:u w:val="single"/>
              </w:rPr>
              <w:t>本项目环保投资估算见下表。</w:t>
            </w:r>
          </w:p>
          <w:p w14:paraId="50920C43">
            <w:pPr>
              <w:pStyle w:val="33"/>
              <w:keepNext w:val="0"/>
              <w:keepLines w:val="0"/>
              <w:numPr>
                <w:ilvl w:val="0"/>
                <w:numId w:val="19"/>
              </w:numPr>
              <w:suppressLineNumbers w:val="0"/>
              <w:spacing w:before="0" w:beforeAutospacing="0" w:after="0" w:afterAutospacing="0"/>
              <w:ind w:left="0" w:leftChars="0" w:right="0" w:rightChars="0" w:firstLine="0" w:firstLineChars="0"/>
              <w:jc w:val="center"/>
              <w:rPr>
                <w:rFonts w:hint="default"/>
                <w:b/>
                <w:sz w:val="24"/>
                <w:szCs w:val="24"/>
                <w:u w:val="single"/>
              </w:rPr>
            </w:pPr>
            <w:bookmarkStart w:id="36" w:name="_Toc13617_WPSOffice_Level1"/>
            <w:bookmarkStart w:id="37" w:name="_Toc3679_WPSOffice_Level1"/>
            <w:bookmarkStart w:id="38" w:name="_Toc9015_WPSOffice_Level1"/>
            <w:r>
              <w:rPr>
                <w:rFonts w:hint="eastAsia"/>
                <w:b/>
                <w:sz w:val="24"/>
                <w:szCs w:val="24"/>
                <w:u w:val="single"/>
                <w:lang w:val="en-US" w:eastAsia="zh-CN"/>
              </w:rPr>
              <w:t>本</w:t>
            </w:r>
            <w:r>
              <w:rPr>
                <w:rFonts w:hint="default"/>
                <w:b/>
                <w:sz w:val="24"/>
                <w:szCs w:val="24"/>
                <w:u w:val="single"/>
              </w:rPr>
              <w:t>项目主要污染防治措施及环保投资一览表</w:t>
            </w:r>
            <w:bookmarkEnd w:id="36"/>
            <w:bookmarkEnd w:id="37"/>
            <w:bookmarkEnd w:id="38"/>
          </w:p>
          <w:tbl>
            <w:tblPr>
              <w:tblStyle w:val="24"/>
              <w:tblW w:w="4997"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214"/>
              <w:gridCol w:w="4223"/>
              <w:gridCol w:w="1717"/>
              <w:gridCol w:w="1242"/>
            </w:tblGrid>
            <w:tr w14:paraId="3900B0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3" w:type="pct"/>
                  <w:vAlign w:val="center"/>
                </w:tcPr>
                <w:p w14:paraId="7A5771B2">
                  <w:pPr>
                    <w:keepNext w:val="0"/>
                    <w:keepLines w:val="0"/>
                    <w:widowControl/>
                    <w:suppressLineNumbers w:val="0"/>
                    <w:adjustRightInd w:val="0"/>
                    <w:snapToGrid w:val="0"/>
                    <w:spacing w:before="0" w:beforeAutospacing="0" w:after="0" w:afterAutospacing="0"/>
                    <w:ind w:left="0" w:right="0"/>
                    <w:jc w:val="center"/>
                    <w:rPr>
                      <w:rFonts w:hint="default"/>
                      <w:b/>
                      <w:bCs/>
                      <w:kern w:val="0"/>
                      <w:szCs w:val="21"/>
                      <w:u w:val="single"/>
                    </w:rPr>
                  </w:pPr>
                  <w:r>
                    <w:rPr>
                      <w:rFonts w:hint="default"/>
                      <w:b/>
                      <w:bCs/>
                      <w:kern w:val="0"/>
                      <w:szCs w:val="21"/>
                      <w:u w:val="single"/>
                    </w:rPr>
                    <w:t>治理项目</w:t>
                  </w:r>
                </w:p>
              </w:tc>
              <w:tc>
                <w:tcPr>
                  <w:tcW w:w="2514" w:type="pct"/>
                  <w:vAlign w:val="center"/>
                </w:tcPr>
                <w:p w14:paraId="6A1AD731">
                  <w:pPr>
                    <w:keepNext w:val="0"/>
                    <w:keepLines w:val="0"/>
                    <w:widowControl/>
                    <w:suppressLineNumbers w:val="0"/>
                    <w:adjustRightInd w:val="0"/>
                    <w:snapToGrid w:val="0"/>
                    <w:spacing w:before="0" w:beforeAutospacing="0" w:after="0" w:afterAutospacing="0"/>
                    <w:ind w:left="0" w:right="0"/>
                    <w:jc w:val="center"/>
                    <w:rPr>
                      <w:rFonts w:hint="default"/>
                      <w:b/>
                      <w:bCs/>
                      <w:kern w:val="0"/>
                      <w:szCs w:val="21"/>
                      <w:u w:val="single"/>
                    </w:rPr>
                  </w:pPr>
                  <w:r>
                    <w:rPr>
                      <w:rFonts w:hint="default"/>
                      <w:b/>
                      <w:bCs/>
                      <w:kern w:val="0"/>
                      <w:szCs w:val="21"/>
                      <w:u w:val="single"/>
                    </w:rPr>
                    <w:t>环保措施</w:t>
                  </w:r>
                </w:p>
              </w:tc>
              <w:tc>
                <w:tcPr>
                  <w:tcW w:w="1022" w:type="pct"/>
                  <w:vAlign w:val="center"/>
                </w:tcPr>
                <w:p w14:paraId="69A73C6B">
                  <w:pPr>
                    <w:keepNext w:val="0"/>
                    <w:keepLines w:val="0"/>
                    <w:widowControl/>
                    <w:suppressLineNumbers w:val="0"/>
                    <w:adjustRightInd w:val="0"/>
                    <w:snapToGrid w:val="0"/>
                    <w:spacing w:before="0" w:beforeAutospacing="0" w:after="0" w:afterAutospacing="0"/>
                    <w:ind w:left="0" w:right="0"/>
                    <w:jc w:val="center"/>
                    <w:rPr>
                      <w:rFonts w:hint="default"/>
                      <w:b/>
                      <w:bCs/>
                      <w:kern w:val="0"/>
                      <w:szCs w:val="21"/>
                      <w:u w:val="single"/>
                    </w:rPr>
                  </w:pPr>
                  <w:r>
                    <w:rPr>
                      <w:rFonts w:hint="default"/>
                      <w:b/>
                      <w:bCs/>
                      <w:kern w:val="0"/>
                      <w:szCs w:val="21"/>
                      <w:u w:val="single"/>
                    </w:rPr>
                    <w:t>投资额（万元）</w:t>
                  </w:r>
                </w:p>
              </w:tc>
              <w:tc>
                <w:tcPr>
                  <w:tcW w:w="739" w:type="pct"/>
                  <w:vAlign w:val="center"/>
                </w:tcPr>
                <w:p w14:paraId="6AD282F3">
                  <w:pPr>
                    <w:keepNext w:val="0"/>
                    <w:keepLines w:val="0"/>
                    <w:widowControl/>
                    <w:suppressLineNumbers w:val="0"/>
                    <w:adjustRightInd w:val="0"/>
                    <w:snapToGrid w:val="0"/>
                    <w:spacing w:before="0" w:beforeAutospacing="0" w:after="0" w:afterAutospacing="0"/>
                    <w:ind w:left="0" w:right="0"/>
                    <w:jc w:val="center"/>
                    <w:rPr>
                      <w:rFonts w:hint="default"/>
                      <w:b/>
                      <w:bCs/>
                      <w:kern w:val="0"/>
                      <w:szCs w:val="21"/>
                      <w:u w:val="single"/>
                    </w:rPr>
                  </w:pPr>
                  <w:r>
                    <w:rPr>
                      <w:rFonts w:hint="default"/>
                      <w:b/>
                      <w:bCs/>
                      <w:kern w:val="0"/>
                      <w:szCs w:val="21"/>
                      <w:u w:val="single"/>
                    </w:rPr>
                    <w:t>备注</w:t>
                  </w:r>
                </w:p>
              </w:tc>
            </w:tr>
            <w:tr w14:paraId="17D043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3" w:type="pct"/>
                  <w:vMerge w:val="restart"/>
                  <w:vAlign w:val="center"/>
                </w:tcPr>
                <w:p w14:paraId="3EC80874">
                  <w:pPr>
                    <w:keepNext w:val="0"/>
                    <w:keepLines w:val="0"/>
                    <w:widowControl/>
                    <w:suppressLineNumbers w:val="0"/>
                    <w:adjustRightInd w:val="0"/>
                    <w:snapToGrid w:val="0"/>
                    <w:spacing w:before="0" w:beforeAutospacing="0" w:after="0" w:afterAutospacing="0"/>
                    <w:ind w:left="0" w:right="0"/>
                    <w:jc w:val="center"/>
                    <w:rPr>
                      <w:rFonts w:hint="eastAsia" w:eastAsia="宋体"/>
                      <w:kern w:val="0"/>
                      <w:szCs w:val="21"/>
                      <w:u w:val="single"/>
                      <w:lang w:val="en-US" w:eastAsia="zh-CN"/>
                    </w:rPr>
                  </w:pPr>
                  <w:r>
                    <w:rPr>
                      <w:rFonts w:hint="eastAsia"/>
                      <w:kern w:val="0"/>
                      <w:szCs w:val="21"/>
                      <w:u w:val="single"/>
                      <w:lang w:val="en-US" w:eastAsia="zh-CN"/>
                    </w:rPr>
                    <w:t>废气</w:t>
                  </w:r>
                </w:p>
              </w:tc>
              <w:tc>
                <w:tcPr>
                  <w:tcW w:w="2514" w:type="pct"/>
                  <w:vAlign w:val="center"/>
                </w:tcPr>
                <w:p w14:paraId="1B84F5B0">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布袋除尘器</w:t>
                  </w:r>
                </w:p>
              </w:tc>
              <w:tc>
                <w:tcPr>
                  <w:tcW w:w="1022" w:type="pct"/>
                  <w:vMerge w:val="restart"/>
                  <w:vAlign w:val="center"/>
                </w:tcPr>
                <w:p w14:paraId="696FA268">
                  <w:pPr>
                    <w:keepNext w:val="0"/>
                    <w:keepLines w:val="0"/>
                    <w:widowControl/>
                    <w:suppressLineNumbers w:val="0"/>
                    <w:adjustRightInd w:val="0"/>
                    <w:snapToGrid w:val="0"/>
                    <w:spacing w:before="0" w:beforeAutospacing="0" w:after="0" w:afterAutospacing="0"/>
                    <w:ind w:left="0" w:right="0"/>
                    <w:jc w:val="center"/>
                    <w:rPr>
                      <w:rFonts w:hint="default" w:eastAsia="宋体"/>
                      <w:kern w:val="0"/>
                      <w:szCs w:val="21"/>
                      <w:u w:val="single"/>
                      <w:lang w:val="en-US" w:eastAsia="zh-CN"/>
                    </w:rPr>
                  </w:pPr>
                  <w:r>
                    <w:rPr>
                      <w:rFonts w:hint="eastAsia"/>
                      <w:kern w:val="0"/>
                      <w:szCs w:val="21"/>
                      <w:u w:val="single"/>
                      <w:lang w:val="en-US" w:eastAsia="zh-CN"/>
                    </w:rPr>
                    <w:t>26.2</w:t>
                  </w:r>
                </w:p>
              </w:tc>
              <w:tc>
                <w:tcPr>
                  <w:tcW w:w="739" w:type="pct"/>
                  <w:vMerge w:val="restart"/>
                  <w:vAlign w:val="center"/>
                </w:tcPr>
                <w:p w14:paraId="6184F33D">
                  <w:pPr>
                    <w:keepNext w:val="0"/>
                    <w:keepLines w:val="0"/>
                    <w:widowControl/>
                    <w:suppressLineNumbers w:val="0"/>
                    <w:adjustRightInd w:val="0"/>
                    <w:snapToGrid w:val="0"/>
                    <w:spacing w:before="0" w:beforeAutospacing="0" w:after="0" w:afterAutospacing="0"/>
                    <w:ind w:left="0" w:right="0"/>
                    <w:jc w:val="center"/>
                    <w:rPr>
                      <w:rFonts w:hint="default" w:eastAsia="宋体"/>
                      <w:kern w:val="0"/>
                      <w:szCs w:val="21"/>
                      <w:u w:val="single"/>
                      <w:lang w:val="en-US" w:eastAsia="zh-CN"/>
                    </w:rPr>
                  </w:pPr>
                  <w:r>
                    <w:rPr>
                      <w:rFonts w:hint="eastAsia"/>
                      <w:kern w:val="0"/>
                      <w:szCs w:val="21"/>
                      <w:u w:val="single"/>
                      <w:lang w:val="en-US" w:eastAsia="zh-CN"/>
                    </w:rPr>
                    <w:t>新增</w:t>
                  </w:r>
                </w:p>
              </w:tc>
            </w:tr>
            <w:tr w14:paraId="636EE85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3" w:type="pct"/>
                  <w:vMerge w:val="continue"/>
                  <w:vAlign w:val="center"/>
                </w:tcPr>
                <w:p w14:paraId="4FCD7092">
                  <w:pPr>
                    <w:keepNext w:val="0"/>
                    <w:keepLines w:val="0"/>
                    <w:widowControl/>
                    <w:suppressLineNumbers w:val="0"/>
                    <w:adjustRightInd w:val="0"/>
                    <w:snapToGrid w:val="0"/>
                    <w:spacing w:before="0" w:beforeAutospacing="0" w:after="0" w:afterAutospacing="0"/>
                    <w:ind w:left="0" w:right="0"/>
                    <w:jc w:val="center"/>
                    <w:rPr>
                      <w:rFonts w:hint="default"/>
                      <w:u w:val="single"/>
                    </w:rPr>
                  </w:pPr>
                </w:p>
              </w:tc>
              <w:tc>
                <w:tcPr>
                  <w:tcW w:w="2514" w:type="pct"/>
                  <w:vAlign w:val="center"/>
                </w:tcPr>
                <w:p w14:paraId="0C54A166">
                  <w:pPr>
                    <w:keepNext w:val="0"/>
                    <w:keepLines w:val="0"/>
                    <w:widowControl/>
                    <w:suppressLineNumbers w:val="0"/>
                    <w:adjustRightInd w:val="0"/>
                    <w:snapToGrid w:val="0"/>
                    <w:spacing w:before="0" w:beforeAutospacing="0" w:after="0" w:afterAutospacing="0"/>
                    <w:ind w:left="0" w:right="0"/>
                    <w:jc w:val="center"/>
                    <w:rPr>
                      <w:rFonts w:hint="eastAsia" w:eastAsia="宋体"/>
                      <w:kern w:val="0"/>
                      <w:szCs w:val="21"/>
                      <w:u w:val="single"/>
                      <w:lang w:val="en-US" w:eastAsia="zh-CN"/>
                    </w:rPr>
                  </w:pPr>
                  <w:r>
                    <w:rPr>
                      <w:rFonts w:hint="eastAsia"/>
                      <w:kern w:val="0"/>
                      <w:szCs w:val="21"/>
                      <w:u w:val="single"/>
                      <w:lang w:val="en-US" w:eastAsia="zh-CN"/>
                    </w:rPr>
                    <w:t>旋风除尘器</w:t>
                  </w:r>
                </w:p>
              </w:tc>
              <w:tc>
                <w:tcPr>
                  <w:tcW w:w="1022" w:type="pct"/>
                  <w:vMerge w:val="continue"/>
                  <w:vAlign w:val="center"/>
                </w:tcPr>
                <w:p w14:paraId="42AA1A01">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p>
              </w:tc>
              <w:tc>
                <w:tcPr>
                  <w:tcW w:w="739" w:type="pct"/>
                  <w:vMerge w:val="continue"/>
                  <w:vAlign w:val="center"/>
                </w:tcPr>
                <w:p w14:paraId="2D7C0AEA">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p>
              </w:tc>
            </w:tr>
            <w:tr w14:paraId="6BB0A5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3" w:type="pct"/>
                  <w:vMerge w:val="continue"/>
                  <w:vAlign w:val="center"/>
                </w:tcPr>
                <w:p w14:paraId="51C14B86">
                  <w:pPr>
                    <w:keepNext w:val="0"/>
                    <w:keepLines w:val="0"/>
                    <w:widowControl/>
                    <w:suppressLineNumbers w:val="0"/>
                    <w:adjustRightInd w:val="0"/>
                    <w:snapToGrid w:val="0"/>
                    <w:spacing w:before="0" w:beforeAutospacing="0" w:after="0" w:afterAutospacing="0"/>
                    <w:ind w:left="0" w:right="0"/>
                    <w:jc w:val="center"/>
                    <w:rPr>
                      <w:rFonts w:hint="default"/>
                      <w:u w:val="single"/>
                    </w:rPr>
                  </w:pPr>
                </w:p>
              </w:tc>
              <w:tc>
                <w:tcPr>
                  <w:tcW w:w="2514" w:type="pct"/>
                  <w:vAlign w:val="center"/>
                </w:tcPr>
                <w:p w14:paraId="26A8F8F6">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lang w:val="en-US" w:eastAsia="zh-CN"/>
                    </w:rPr>
                  </w:pPr>
                  <w:r>
                    <w:rPr>
                      <w:rFonts w:hint="eastAsia"/>
                      <w:kern w:val="0"/>
                      <w:szCs w:val="21"/>
                      <w:u w:val="single"/>
                      <w:lang w:val="en-US" w:eastAsia="zh-CN"/>
                    </w:rPr>
                    <w:t>油烟净化处理设备</w:t>
                  </w:r>
                </w:p>
              </w:tc>
              <w:tc>
                <w:tcPr>
                  <w:tcW w:w="1022" w:type="pct"/>
                  <w:vAlign w:val="center"/>
                </w:tcPr>
                <w:p w14:paraId="5B1E3571">
                  <w:pPr>
                    <w:keepNext w:val="0"/>
                    <w:keepLines w:val="0"/>
                    <w:widowControl/>
                    <w:suppressLineNumbers w:val="0"/>
                    <w:adjustRightInd w:val="0"/>
                    <w:snapToGrid w:val="0"/>
                    <w:spacing w:before="0" w:beforeAutospacing="0" w:after="0" w:afterAutospacing="0"/>
                    <w:ind w:left="0" w:right="0"/>
                    <w:jc w:val="center"/>
                    <w:rPr>
                      <w:rFonts w:hint="default" w:eastAsia="宋体"/>
                      <w:kern w:val="0"/>
                      <w:szCs w:val="21"/>
                      <w:u w:val="single"/>
                      <w:lang w:val="en-US" w:eastAsia="zh-CN"/>
                    </w:rPr>
                  </w:pPr>
                  <w:r>
                    <w:rPr>
                      <w:rFonts w:hint="eastAsia"/>
                      <w:kern w:val="0"/>
                      <w:szCs w:val="21"/>
                      <w:u w:val="single"/>
                      <w:lang w:val="en-US" w:eastAsia="zh-CN"/>
                    </w:rPr>
                    <w:t>30</w:t>
                  </w:r>
                </w:p>
              </w:tc>
              <w:tc>
                <w:tcPr>
                  <w:tcW w:w="739" w:type="pct"/>
                  <w:vAlign w:val="center"/>
                </w:tcPr>
                <w:p w14:paraId="3F41A719">
                  <w:pPr>
                    <w:keepNext w:val="0"/>
                    <w:keepLines w:val="0"/>
                    <w:widowControl/>
                    <w:suppressLineNumbers w:val="0"/>
                    <w:adjustRightInd w:val="0"/>
                    <w:snapToGrid w:val="0"/>
                    <w:spacing w:before="0" w:beforeAutospacing="0" w:after="0" w:afterAutospacing="0"/>
                    <w:ind w:left="0" w:right="0"/>
                    <w:jc w:val="center"/>
                    <w:rPr>
                      <w:rFonts w:hint="default" w:eastAsia="宋体"/>
                      <w:kern w:val="0"/>
                      <w:szCs w:val="21"/>
                      <w:u w:val="single"/>
                      <w:lang w:val="en-US" w:eastAsia="zh-CN"/>
                    </w:rPr>
                  </w:pPr>
                  <w:r>
                    <w:rPr>
                      <w:rFonts w:hint="eastAsia"/>
                      <w:kern w:val="0"/>
                      <w:szCs w:val="21"/>
                      <w:u w:val="single"/>
                      <w:lang w:val="en-US" w:eastAsia="zh-CN"/>
                    </w:rPr>
                    <w:t>新增</w:t>
                  </w:r>
                </w:p>
              </w:tc>
            </w:tr>
            <w:tr w14:paraId="3067DB3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3" w:type="pct"/>
                  <w:vAlign w:val="center"/>
                </w:tcPr>
                <w:p w14:paraId="1FCB09F4">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废水治理</w:t>
                  </w:r>
                </w:p>
              </w:tc>
              <w:tc>
                <w:tcPr>
                  <w:tcW w:w="2514" w:type="pct"/>
                  <w:vAlign w:val="center"/>
                </w:tcPr>
                <w:p w14:paraId="107AA945">
                  <w:pPr>
                    <w:keepNext w:val="0"/>
                    <w:keepLines w:val="0"/>
                    <w:widowControl/>
                    <w:suppressLineNumbers w:val="0"/>
                    <w:adjustRightInd w:val="0"/>
                    <w:snapToGrid w:val="0"/>
                    <w:spacing w:before="0" w:beforeAutospacing="0" w:after="0" w:afterAutospacing="0"/>
                    <w:ind w:left="0" w:right="0"/>
                    <w:jc w:val="center"/>
                    <w:rPr>
                      <w:rFonts w:hint="default" w:eastAsia="宋体"/>
                      <w:kern w:val="0"/>
                      <w:szCs w:val="21"/>
                      <w:u w:val="single"/>
                      <w:lang w:val="en-US" w:eastAsia="zh-CN"/>
                    </w:rPr>
                  </w:pPr>
                  <w:r>
                    <w:rPr>
                      <w:rFonts w:hint="eastAsia"/>
                      <w:kern w:val="0"/>
                      <w:szCs w:val="21"/>
                      <w:u w:val="single"/>
                      <w:lang w:val="en-US" w:eastAsia="zh-CN"/>
                    </w:rPr>
                    <w:t>隔油沉淀池</w:t>
                  </w:r>
                </w:p>
              </w:tc>
              <w:tc>
                <w:tcPr>
                  <w:tcW w:w="1022" w:type="pct"/>
                  <w:vAlign w:val="center"/>
                </w:tcPr>
                <w:p w14:paraId="53D99901">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0</w:t>
                  </w:r>
                </w:p>
              </w:tc>
              <w:tc>
                <w:tcPr>
                  <w:tcW w:w="739" w:type="pct"/>
                  <w:vAlign w:val="center"/>
                </w:tcPr>
                <w:p w14:paraId="35DCD856">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szCs w:val="21"/>
                      <w:u w:val="single"/>
                    </w:rPr>
                    <w:t>依托现有</w:t>
                  </w:r>
                </w:p>
              </w:tc>
            </w:tr>
            <w:tr w14:paraId="1882033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3" w:type="pct"/>
                  <w:vAlign w:val="center"/>
                </w:tcPr>
                <w:p w14:paraId="5F0FC7DB">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噪声防治</w:t>
                  </w:r>
                </w:p>
              </w:tc>
              <w:tc>
                <w:tcPr>
                  <w:tcW w:w="2514" w:type="pct"/>
                  <w:vAlign w:val="center"/>
                </w:tcPr>
                <w:p w14:paraId="4F61AB3F">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选用低噪声设备，采取减振及降噪等设施</w:t>
                  </w:r>
                </w:p>
              </w:tc>
              <w:tc>
                <w:tcPr>
                  <w:tcW w:w="1022" w:type="pct"/>
                  <w:vAlign w:val="center"/>
                </w:tcPr>
                <w:p w14:paraId="60EA0885">
                  <w:pPr>
                    <w:keepNext w:val="0"/>
                    <w:keepLines w:val="0"/>
                    <w:widowControl/>
                    <w:suppressLineNumbers w:val="0"/>
                    <w:adjustRightInd w:val="0"/>
                    <w:snapToGrid w:val="0"/>
                    <w:spacing w:before="0" w:beforeAutospacing="0" w:after="0" w:afterAutospacing="0"/>
                    <w:ind w:left="0" w:right="0"/>
                    <w:jc w:val="center"/>
                    <w:rPr>
                      <w:rFonts w:hint="eastAsia" w:eastAsia="宋体"/>
                      <w:kern w:val="0"/>
                      <w:szCs w:val="21"/>
                      <w:u w:val="single"/>
                      <w:lang w:eastAsia="zh-CN"/>
                    </w:rPr>
                  </w:pPr>
                  <w:r>
                    <w:rPr>
                      <w:rFonts w:hint="eastAsia"/>
                      <w:kern w:val="0"/>
                      <w:szCs w:val="21"/>
                      <w:u w:val="single"/>
                      <w:lang w:val="en-US" w:eastAsia="zh-CN"/>
                    </w:rPr>
                    <w:t>3</w:t>
                  </w:r>
                </w:p>
              </w:tc>
              <w:tc>
                <w:tcPr>
                  <w:tcW w:w="739" w:type="pct"/>
                  <w:vAlign w:val="center"/>
                </w:tcPr>
                <w:p w14:paraId="3C3B5E1B">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新增</w:t>
                  </w:r>
                </w:p>
              </w:tc>
            </w:tr>
            <w:tr w14:paraId="0448E5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723" w:type="pct"/>
                  <w:vAlign w:val="center"/>
                </w:tcPr>
                <w:p w14:paraId="7ED8FF59">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固废治理</w:t>
                  </w:r>
                </w:p>
              </w:tc>
              <w:tc>
                <w:tcPr>
                  <w:tcW w:w="2514" w:type="pct"/>
                  <w:vAlign w:val="center"/>
                </w:tcPr>
                <w:p w14:paraId="66A0C443">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危废暂存间、一般固废暂存间</w:t>
                  </w:r>
                </w:p>
              </w:tc>
              <w:tc>
                <w:tcPr>
                  <w:tcW w:w="1022" w:type="pct"/>
                  <w:vAlign w:val="center"/>
                </w:tcPr>
                <w:p w14:paraId="01CC8E6C">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0</w:t>
                  </w:r>
                </w:p>
              </w:tc>
              <w:tc>
                <w:tcPr>
                  <w:tcW w:w="739" w:type="pct"/>
                  <w:vAlign w:val="center"/>
                </w:tcPr>
                <w:p w14:paraId="0EEC0860">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szCs w:val="21"/>
                      <w:u w:val="single"/>
                    </w:rPr>
                    <w:t>依托现有</w:t>
                  </w:r>
                </w:p>
              </w:tc>
            </w:tr>
            <w:tr w14:paraId="7D417FD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3237" w:type="pct"/>
                  <w:gridSpan w:val="2"/>
                  <w:vAlign w:val="center"/>
                </w:tcPr>
                <w:p w14:paraId="0D39BE30">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合计</w:t>
                  </w:r>
                </w:p>
              </w:tc>
              <w:tc>
                <w:tcPr>
                  <w:tcW w:w="1022" w:type="pct"/>
                  <w:vAlign w:val="center"/>
                </w:tcPr>
                <w:p w14:paraId="3223A094">
                  <w:pPr>
                    <w:keepNext w:val="0"/>
                    <w:keepLines w:val="0"/>
                    <w:widowControl/>
                    <w:suppressLineNumbers w:val="0"/>
                    <w:adjustRightInd w:val="0"/>
                    <w:snapToGrid w:val="0"/>
                    <w:spacing w:before="0" w:beforeAutospacing="0" w:after="0" w:afterAutospacing="0"/>
                    <w:ind w:left="0" w:right="0"/>
                    <w:jc w:val="center"/>
                    <w:rPr>
                      <w:rFonts w:hint="default" w:eastAsia="宋体"/>
                      <w:kern w:val="0"/>
                      <w:szCs w:val="21"/>
                      <w:u w:val="single"/>
                      <w:lang w:val="en-US" w:eastAsia="zh-CN"/>
                    </w:rPr>
                  </w:pPr>
                  <w:r>
                    <w:rPr>
                      <w:rFonts w:hint="eastAsia"/>
                      <w:kern w:val="0"/>
                      <w:szCs w:val="21"/>
                      <w:u w:val="single"/>
                      <w:lang w:val="en-US" w:eastAsia="zh-CN"/>
                    </w:rPr>
                    <w:t>59.2</w:t>
                  </w:r>
                </w:p>
              </w:tc>
              <w:tc>
                <w:tcPr>
                  <w:tcW w:w="739" w:type="pct"/>
                  <w:vAlign w:val="center"/>
                </w:tcPr>
                <w:p w14:paraId="750B607C">
                  <w:pPr>
                    <w:keepNext w:val="0"/>
                    <w:keepLines w:val="0"/>
                    <w:widowControl/>
                    <w:suppressLineNumbers w:val="0"/>
                    <w:adjustRightInd w:val="0"/>
                    <w:snapToGrid w:val="0"/>
                    <w:spacing w:before="0" w:beforeAutospacing="0" w:after="0" w:afterAutospacing="0"/>
                    <w:ind w:left="0" w:right="0"/>
                    <w:jc w:val="center"/>
                    <w:rPr>
                      <w:rFonts w:hint="default"/>
                      <w:kern w:val="0"/>
                      <w:szCs w:val="21"/>
                      <w:u w:val="single"/>
                    </w:rPr>
                  </w:pPr>
                  <w:r>
                    <w:rPr>
                      <w:rFonts w:hint="default"/>
                      <w:kern w:val="0"/>
                      <w:szCs w:val="21"/>
                      <w:u w:val="single"/>
                    </w:rPr>
                    <w:t>/</w:t>
                  </w:r>
                </w:p>
              </w:tc>
            </w:tr>
          </w:tbl>
          <w:p w14:paraId="563CC105">
            <w:pPr>
              <w:keepNext w:val="0"/>
              <w:keepLines w:val="0"/>
              <w:suppressLineNumbers w:val="0"/>
              <w:adjustRightInd w:val="0"/>
              <w:snapToGrid w:val="0"/>
              <w:spacing w:before="0" w:beforeAutospacing="0" w:after="0" w:afterAutospacing="0"/>
              <w:ind w:left="0" w:right="0"/>
              <w:rPr>
                <w:rFonts w:hint="default"/>
                <w:bCs/>
                <w:spacing w:val="-10"/>
                <w:sz w:val="24"/>
              </w:rPr>
            </w:pPr>
          </w:p>
        </w:tc>
      </w:tr>
    </w:tbl>
    <w:p w14:paraId="65673C22">
      <w:pPr>
        <w:adjustRightInd w:val="0"/>
        <w:snapToGrid w:val="0"/>
        <w:spacing w:line="360" w:lineRule="auto"/>
        <w:rPr>
          <w:b/>
          <w:kern w:val="0"/>
          <w:sz w:val="28"/>
          <w:szCs w:val="28"/>
        </w:rPr>
        <w:sectPr>
          <w:pgSz w:w="11907" w:h="16840"/>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p>
    <w:p w14:paraId="3DB16C7C">
      <w:pPr>
        <w:pStyle w:val="20"/>
        <w:spacing w:before="0" w:beforeAutospacing="0" w:after="0" w:afterAutospacing="0" w:line="360" w:lineRule="auto"/>
        <w:jc w:val="center"/>
        <w:outlineLvl w:val="0"/>
        <w:rPr>
          <w:rFonts w:ascii="Times New Roman" w:hAnsi="Times New Roman"/>
          <w:snapToGrid w:val="0"/>
          <w:sz w:val="30"/>
          <w:szCs w:val="30"/>
        </w:rPr>
      </w:pPr>
      <w:bookmarkStart w:id="39" w:name="_Toc15859"/>
      <w:bookmarkStart w:id="40" w:name="_Toc29898"/>
      <w:bookmarkStart w:id="41" w:name="_Toc28238"/>
      <w:bookmarkStart w:id="42" w:name="_Toc27072"/>
      <w:bookmarkStart w:id="43" w:name="_Toc25196"/>
      <w:bookmarkStart w:id="44" w:name="_Toc31573"/>
      <w:r>
        <w:rPr>
          <w:rFonts w:ascii="Times New Roman" w:hAnsi="Times New Roman"/>
          <w:b/>
          <w:bCs/>
          <w:snapToGrid w:val="0"/>
          <w:sz w:val="30"/>
          <w:szCs w:val="30"/>
        </w:rPr>
        <w:t>五、</w:t>
      </w:r>
      <w:bookmarkStart w:id="45" w:name="_Hlk54167917"/>
      <w:r>
        <w:rPr>
          <w:rFonts w:ascii="Times New Roman" w:hAnsi="Times New Roman"/>
          <w:b/>
          <w:bCs/>
          <w:snapToGrid w:val="0"/>
          <w:sz w:val="30"/>
          <w:szCs w:val="30"/>
        </w:rPr>
        <w:t>环境保护措施监督检查清单</w:t>
      </w:r>
      <w:bookmarkEnd w:id="39"/>
      <w:bookmarkEnd w:id="40"/>
      <w:bookmarkEnd w:id="41"/>
      <w:bookmarkEnd w:id="42"/>
      <w:bookmarkEnd w:id="43"/>
      <w:bookmarkEnd w:id="44"/>
      <w:bookmarkEnd w:id="45"/>
    </w:p>
    <w:tbl>
      <w:tblPr>
        <w:tblStyle w:val="24"/>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85"/>
        <w:gridCol w:w="1608"/>
        <w:gridCol w:w="1316"/>
        <w:gridCol w:w="1950"/>
        <w:gridCol w:w="2540"/>
      </w:tblGrid>
      <w:tr w14:paraId="71E5AC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1" w:type="pct"/>
            <w:tcBorders>
              <w:tl2br w:val="single" w:color="auto" w:sz="4" w:space="0"/>
            </w:tcBorders>
          </w:tcPr>
          <w:p w14:paraId="6791650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840"/>
              <w:textAlignment w:val="auto"/>
              <w:rPr>
                <w:rFonts w:hint="default"/>
                <w:sz w:val="21"/>
                <w:szCs w:val="21"/>
                <w:u w:val="single"/>
              </w:rPr>
            </w:pPr>
            <w:r>
              <w:rPr>
                <w:rFonts w:hint="default"/>
                <w:sz w:val="21"/>
                <w:szCs w:val="21"/>
                <w:u w:val="single"/>
              </w:rPr>
              <w:t>内容</w:t>
            </w:r>
          </w:p>
          <w:p w14:paraId="00C373E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sz w:val="21"/>
                <w:szCs w:val="21"/>
                <w:u w:val="single"/>
              </w:rPr>
            </w:pPr>
            <w:r>
              <w:rPr>
                <w:rFonts w:hint="default"/>
                <w:sz w:val="21"/>
                <w:szCs w:val="21"/>
                <w:u w:val="single"/>
              </w:rPr>
              <w:t>要素</w:t>
            </w:r>
          </w:p>
        </w:tc>
        <w:tc>
          <w:tcPr>
            <w:tcW w:w="893" w:type="pct"/>
            <w:vAlign w:val="center"/>
          </w:tcPr>
          <w:p w14:paraId="56AD6F0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排放口</w:t>
            </w:r>
            <w:r>
              <w:rPr>
                <w:rFonts w:hint="eastAsia"/>
                <w:sz w:val="21"/>
                <w:szCs w:val="21"/>
                <w:u w:val="single"/>
              </w:rPr>
              <w:t>（</w:t>
            </w:r>
            <w:r>
              <w:rPr>
                <w:rFonts w:hint="default"/>
                <w:sz w:val="21"/>
                <w:szCs w:val="21"/>
                <w:u w:val="single"/>
              </w:rPr>
              <w:t>编号、名称</w:t>
            </w:r>
            <w:r>
              <w:rPr>
                <w:rFonts w:hint="eastAsia"/>
                <w:sz w:val="21"/>
                <w:szCs w:val="21"/>
                <w:u w:val="single"/>
              </w:rPr>
              <w:t>）</w:t>
            </w:r>
            <w:r>
              <w:rPr>
                <w:rFonts w:hint="default"/>
                <w:sz w:val="21"/>
                <w:szCs w:val="21"/>
                <w:u w:val="single"/>
              </w:rPr>
              <w:t>/污染源</w:t>
            </w:r>
          </w:p>
        </w:tc>
        <w:tc>
          <w:tcPr>
            <w:tcW w:w="731" w:type="pct"/>
            <w:vAlign w:val="center"/>
          </w:tcPr>
          <w:p w14:paraId="72AA870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污染物</w:t>
            </w:r>
          </w:p>
          <w:p w14:paraId="6823A7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项目</w:t>
            </w:r>
          </w:p>
        </w:tc>
        <w:tc>
          <w:tcPr>
            <w:tcW w:w="1083" w:type="pct"/>
            <w:vAlign w:val="center"/>
          </w:tcPr>
          <w:p w14:paraId="4733B6A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环境保</w:t>
            </w:r>
          </w:p>
          <w:p w14:paraId="2BAE4DD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护措施</w:t>
            </w:r>
          </w:p>
        </w:tc>
        <w:tc>
          <w:tcPr>
            <w:tcW w:w="1410" w:type="pct"/>
            <w:vAlign w:val="center"/>
          </w:tcPr>
          <w:p w14:paraId="1079A3B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执行标准</w:t>
            </w:r>
          </w:p>
        </w:tc>
      </w:tr>
      <w:tr w14:paraId="6A027D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881" w:type="pct"/>
            <w:vMerge w:val="restart"/>
            <w:vAlign w:val="center"/>
          </w:tcPr>
          <w:p w14:paraId="0FD8B40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大气环境</w:t>
            </w:r>
          </w:p>
        </w:tc>
        <w:tc>
          <w:tcPr>
            <w:tcW w:w="893" w:type="pct"/>
            <w:vMerge w:val="restart"/>
            <w:vAlign w:val="center"/>
          </w:tcPr>
          <w:p w14:paraId="0B490EC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sz w:val="21"/>
                <w:szCs w:val="21"/>
                <w:u w:val="single"/>
                <w:lang w:val="en-US" w:eastAsia="zh-CN"/>
              </w:rPr>
            </w:pPr>
            <w:r>
              <w:rPr>
                <w:rFonts w:hint="eastAsia"/>
                <w:sz w:val="21"/>
                <w:szCs w:val="21"/>
                <w:u w:val="single"/>
                <w:lang w:val="en-US" w:eastAsia="zh-CN"/>
              </w:rPr>
              <w:t>DA001</w:t>
            </w:r>
          </w:p>
        </w:tc>
        <w:tc>
          <w:tcPr>
            <w:tcW w:w="731" w:type="pct"/>
            <w:vAlign w:val="center"/>
          </w:tcPr>
          <w:p w14:paraId="761591B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颗粒物</w:t>
            </w:r>
          </w:p>
        </w:tc>
        <w:tc>
          <w:tcPr>
            <w:tcW w:w="1083" w:type="pct"/>
            <w:vMerge w:val="restart"/>
            <w:vAlign w:val="center"/>
          </w:tcPr>
          <w:p w14:paraId="7B211E5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sz w:val="21"/>
                <w:szCs w:val="21"/>
                <w:u w:val="single"/>
              </w:rPr>
            </w:pPr>
            <w:r>
              <w:rPr>
                <w:rFonts w:hint="eastAsia"/>
                <w:sz w:val="21"/>
                <w:szCs w:val="21"/>
                <w:u w:val="single"/>
                <w:lang w:val="en-US" w:eastAsia="zh-CN"/>
              </w:rPr>
              <w:t>旋风除尘器+布袋除尘器处理后</w:t>
            </w:r>
            <w:r>
              <w:rPr>
                <w:rFonts w:hint="default"/>
                <w:sz w:val="21"/>
                <w:szCs w:val="21"/>
                <w:u w:val="single"/>
              </w:rPr>
              <w:t>经</w:t>
            </w:r>
            <w:r>
              <w:rPr>
                <w:rFonts w:hint="eastAsia"/>
                <w:sz w:val="21"/>
                <w:szCs w:val="21"/>
                <w:u w:val="single"/>
                <w:lang w:val="en-US" w:eastAsia="zh-CN"/>
              </w:rPr>
              <w:t>35</w:t>
            </w:r>
            <w:r>
              <w:rPr>
                <w:rFonts w:hint="default"/>
                <w:sz w:val="21"/>
                <w:szCs w:val="21"/>
                <w:u w:val="single"/>
              </w:rPr>
              <w:t>m高</w:t>
            </w:r>
            <w:r>
              <w:rPr>
                <w:rFonts w:hint="eastAsia"/>
                <w:sz w:val="21"/>
                <w:szCs w:val="21"/>
                <w:u w:val="single"/>
                <w:lang w:val="en-US" w:eastAsia="zh-CN"/>
              </w:rPr>
              <w:t>DA001排气筒</w:t>
            </w:r>
            <w:r>
              <w:rPr>
                <w:rFonts w:hint="default"/>
                <w:sz w:val="21"/>
                <w:szCs w:val="21"/>
                <w:u w:val="single"/>
              </w:rPr>
              <w:t>排放</w:t>
            </w:r>
          </w:p>
        </w:tc>
        <w:tc>
          <w:tcPr>
            <w:tcW w:w="1410" w:type="pct"/>
            <w:vMerge w:val="restart"/>
            <w:vAlign w:val="center"/>
          </w:tcPr>
          <w:p w14:paraId="68D54CB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lang w:val="zh-CN" w:bidi="ar"/>
              </w:rPr>
              <w:t>《</w:t>
            </w:r>
            <w:r>
              <w:rPr>
                <w:rFonts w:hint="eastAsia"/>
                <w:sz w:val="21"/>
                <w:szCs w:val="21"/>
                <w:u w:val="single"/>
                <w:lang w:val="en-US" w:eastAsia="zh-CN" w:bidi="ar"/>
              </w:rPr>
              <w:t>锅炉大气污染物</w:t>
            </w:r>
            <w:r>
              <w:rPr>
                <w:rFonts w:hint="default"/>
                <w:sz w:val="21"/>
                <w:szCs w:val="21"/>
                <w:u w:val="single"/>
                <w:lang w:val="zh-CN" w:bidi="ar"/>
              </w:rPr>
              <w:t>排放标准》</w:t>
            </w:r>
            <w:r>
              <w:rPr>
                <w:rFonts w:hint="eastAsia"/>
                <w:sz w:val="21"/>
                <w:szCs w:val="21"/>
                <w:u w:val="single"/>
                <w:lang w:val="zh-CN" w:eastAsia="zh-CN" w:bidi="ar"/>
              </w:rPr>
              <w:t>（GB13271-2014）表3大气污染物特别排放限值中燃煤锅炉标准要求</w:t>
            </w:r>
          </w:p>
        </w:tc>
      </w:tr>
      <w:tr w14:paraId="534FE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881" w:type="pct"/>
            <w:vMerge w:val="continue"/>
            <w:vAlign w:val="center"/>
          </w:tcPr>
          <w:p w14:paraId="1F105FD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893" w:type="pct"/>
            <w:vMerge w:val="continue"/>
            <w:vAlign w:val="center"/>
          </w:tcPr>
          <w:p w14:paraId="020649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731" w:type="pct"/>
            <w:vAlign w:val="center"/>
          </w:tcPr>
          <w:p w14:paraId="3986C28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sz w:val="21"/>
                <w:szCs w:val="21"/>
                <w:u w:val="single"/>
                <w:lang w:val="en-US" w:eastAsia="zh-CN"/>
              </w:rPr>
            </w:pPr>
            <w:r>
              <w:rPr>
                <w:rFonts w:hint="eastAsia"/>
                <w:sz w:val="21"/>
                <w:szCs w:val="21"/>
                <w:u w:val="single"/>
                <w:lang w:val="en-US" w:eastAsia="zh-CN"/>
              </w:rPr>
              <w:t>二氧化硫</w:t>
            </w:r>
          </w:p>
        </w:tc>
        <w:tc>
          <w:tcPr>
            <w:tcW w:w="1083" w:type="pct"/>
            <w:vMerge w:val="continue"/>
            <w:vAlign w:val="center"/>
          </w:tcPr>
          <w:p w14:paraId="606CCF4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1410" w:type="pct"/>
            <w:vMerge w:val="continue"/>
            <w:vAlign w:val="center"/>
          </w:tcPr>
          <w:p w14:paraId="1E55C8D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r>
      <w:tr w14:paraId="17B578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881" w:type="pct"/>
            <w:vMerge w:val="continue"/>
            <w:vAlign w:val="center"/>
          </w:tcPr>
          <w:p w14:paraId="0A27834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893" w:type="pct"/>
            <w:vMerge w:val="continue"/>
            <w:vAlign w:val="center"/>
          </w:tcPr>
          <w:p w14:paraId="56074B9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731" w:type="pct"/>
            <w:vAlign w:val="center"/>
          </w:tcPr>
          <w:p w14:paraId="4649F99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sz w:val="21"/>
                <w:szCs w:val="21"/>
                <w:u w:val="single"/>
                <w:lang w:val="en-US" w:eastAsia="zh-CN"/>
              </w:rPr>
            </w:pPr>
            <w:r>
              <w:rPr>
                <w:rFonts w:hint="eastAsia"/>
                <w:sz w:val="21"/>
                <w:szCs w:val="21"/>
                <w:u w:val="single"/>
                <w:lang w:val="en-US" w:eastAsia="zh-CN"/>
              </w:rPr>
              <w:t>氮氧化物</w:t>
            </w:r>
          </w:p>
        </w:tc>
        <w:tc>
          <w:tcPr>
            <w:tcW w:w="1083" w:type="pct"/>
            <w:vMerge w:val="continue"/>
            <w:vAlign w:val="center"/>
          </w:tcPr>
          <w:p w14:paraId="7357DEA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1410" w:type="pct"/>
            <w:vMerge w:val="continue"/>
            <w:vAlign w:val="center"/>
          </w:tcPr>
          <w:p w14:paraId="1FE82E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r>
      <w:tr w14:paraId="7BDDA1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881" w:type="pct"/>
            <w:vMerge w:val="continue"/>
            <w:vAlign w:val="center"/>
          </w:tcPr>
          <w:p w14:paraId="4974CE1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sz w:val="21"/>
                <w:szCs w:val="21"/>
                <w:u w:val="single"/>
              </w:rPr>
            </w:pPr>
          </w:p>
        </w:tc>
        <w:tc>
          <w:tcPr>
            <w:tcW w:w="893" w:type="pct"/>
            <w:vAlign w:val="center"/>
          </w:tcPr>
          <w:p w14:paraId="13D8AA55">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eastAsia="宋体"/>
                <w:sz w:val="21"/>
                <w:szCs w:val="21"/>
                <w:u w:val="single"/>
                <w:lang w:val="en-US" w:eastAsia="zh-CN"/>
              </w:rPr>
            </w:pPr>
            <w:r>
              <w:rPr>
                <w:rFonts w:hint="eastAsia"/>
                <w:sz w:val="21"/>
                <w:szCs w:val="21"/>
                <w:u w:val="single"/>
                <w:lang w:val="en-US" w:eastAsia="zh-CN"/>
              </w:rPr>
              <w:t>DA002</w:t>
            </w:r>
          </w:p>
        </w:tc>
        <w:tc>
          <w:tcPr>
            <w:tcW w:w="731" w:type="pct"/>
            <w:vAlign w:val="center"/>
          </w:tcPr>
          <w:p w14:paraId="425983D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eastAsia" w:eastAsia="宋体"/>
                <w:sz w:val="21"/>
                <w:szCs w:val="21"/>
                <w:u w:val="single"/>
                <w:lang w:val="en-US" w:eastAsia="zh-CN"/>
              </w:rPr>
            </w:pPr>
            <w:r>
              <w:rPr>
                <w:rFonts w:hint="eastAsia"/>
                <w:sz w:val="21"/>
                <w:szCs w:val="21"/>
                <w:u w:val="single"/>
                <w:lang w:val="en-US" w:eastAsia="zh-CN"/>
              </w:rPr>
              <w:t>油烟</w:t>
            </w:r>
          </w:p>
        </w:tc>
        <w:tc>
          <w:tcPr>
            <w:tcW w:w="1083" w:type="pct"/>
            <w:vAlign w:val="center"/>
          </w:tcPr>
          <w:p w14:paraId="4E4E71A0">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eastAsia="宋体"/>
                <w:sz w:val="21"/>
                <w:szCs w:val="21"/>
                <w:u w:val="single"/>
                <w:lang w:val="en-US" w:eastAsia="zh-CN"/>
              </w:rPr>
            </w:pPr>
            <w:r>
              <w:rPr>
                <w:rFonts w:hint="eastAsia"/>
                <w:sz w:val="21"/>
                <w:szCs w:val="21"/>
                <w:u w:val="single"/>
                <w:lang w:val="en-US" w:eastAsia="zh-CN"/>
              </w:rPr>
              <w:t>工业静电油烟处理设备处理后经21m高DA002排气筒排放</w:t>
            </w:r>
          </w:p>
        </w:tc>
        <w:tc>
          <w:tcPr>
            <w:tcW w:w="1410" w:type="pct"/>
            <w:vAlign w:val="center"/>
          </w:tcPr>
          <w:p w14:paraId="08FE458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sz w:val="21"/>
                <w:szCs w:val="21"/>
                <w:u w:val="single"/>
              </w:rPr>
            </w:pPr>
            <w:r>
              <w:rPr>
                <w:rFonts w:hint="eastAsia"/>
                <w:sz w:val="21"/>
                <w:szCs w:val="21"/>
                <w:u w:val="single"/>
                <w:lang w:val="en-US" w:eastAsia="zh-CN"/>
              </w:rPr>
              <w:t>《饮食业油烟排放标准》（GB8483-2001）中表2的要求</w:t>
            </w:r>
          </w:p>
        </w:tc>
      </w:tr>
      <w:tr w14:paraId="05FE31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881" w:type="pct"/>
            <w:vMerge w:val="continue"/>
            <w:vAlign w:val="center"/>
          </w:tcPr>
          <w:p w14:paraId="0C16915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893" w:type="pct"/>
            <w:vMerge w:val="restart"/>
            <w:vAlign w:val="center"/>
          </w:tcPr>
          <w:p w14:paraId="35C2FE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厂界无组织</w:t>
            </w:r>
          </w:p>
        </w:tc>
        <w:tc>
          <w:tcPr>
            <w:tcW w:w="731" w:type="pct"/>
            <w:vAlign w:val="center"/>
          </w:tcPr>
          <w:p w14:paraId="1BF748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sz w:val="21"/>
                <w:szCs w:val="21"/>
                <w:u w:val="single"/>
                <w:lang w:val="en-US" w:eastAsia="zh-CN"/>
              </w:rPr>
            </w:pPr>
            <w:r>
              <w:rPr>
                <w:rFonts w:hint="eastAsia"/>
                <w:sz w:val="21"/>
                <w:szCs w:val="21"/>
                <w:u w:val="single"/>
                <w:lang w:val="en-US" w:eastAsia="zh-CN"/>
              </w:rPr>
              <w:t>氨</w:t>
            </w:r>
          </w:p>
        </w:tc>
        <w:tc>
          <w:tcPr>
            <w:tcW w:w="1083" w:type="pct"/>
            <w:vMerge w:val="restart"/>
            <w:vAlign w:val="center"/>
          </w:tcPr>
          <w:p w14:paraId="5EE22E0D">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rPr>
                <w:rFonts w:hint="default" w:eastAsia="宋体"/>
                <w:sz w:val="21"/>
                <w:szCs w:val="21"/>
                <w:u w:val="single"/>
                <w:lang w:val="en-US" w:eastAsia="zh-CN"/>
              </w:rPr>
            </w:pPr>
            <w:r>
              <w:rPr>
                <w:rFonts w:hint="eastAsia"/>
                <w:sz w:val="21"/>
                <w:szCs w:val="21"/>
                <w:u w:val="single"/>
                <w:lang w:val="en-US" w:eastAsia="zh-CN"/>
              </w:rPr>
              <w:t>加强车间机械通风、及时清理台面、加强厂区绿化</w:t>
            </w:r>
          </w:p>
        </w:tc>
        <w:tc>
          <w:tcPr>
            <w:tcW w:w="1410" w:type="pct"/>
            <w:vMerge w:val="restart"/>
            <w:vAlign w:val="center"/>
          </w:tcPr>
          <w:p w14:paraId="7B7CC6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eastAsia"/>
                <w:sz w:val="21"/>
                <w:szCs w:val="21"/>
                <w:u w:val="single"/>
                <w:lang w:val="en-US" w:eastAsia="zh-CN"/>
              </w:rPr>
              <w:t>恶臭污染物排放标准》（GB14554-93）表1中二级新改扩建标准</w:t>
            </w:r>
          </w:p>
        </w:tc>
      </w:tr>
      <w:tr w14:paraId="13F047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881" w:type="pct"/>
            <w:vMerge w:val="continue"/>
            <w:vAlign w:val="center"/>
          </w:tcPr>
          <w:p w14:paraId="0B9EB02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893" w:type="pct"/>
            <w:vMerge w:val="continue"/>
            <w:vAlign w:val="center"/>
          </w:tcPr>
          <w:p w14:paraId="3E84C0E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731" w:type="pct"/>
            <w:vAlign w:val="center"/>
          </w:tcPr>
          <w:p w14:paraId="5C411D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sz w:val="21"/>
                <w:szCs w:val="21"/>
                <w:u w:val="single"/>
                <w:lang w:val="en-US" w:eastAsia="zh-CN"/>
              </w:rPr>
            </w:pPr>
            <w:r>
              <w:rPr>
                <w:rFonts w:hint="eastAsia"/>
                <w:sz w:val="21"/>
                <w:szCs w:val="21"/>
                <w:u w:val="single"/>
                <w:lang w:val="en-US" w:eastAsia="zh-CN"/>
              </w:rPr>
              <w:t>硫化氢</w:t>
            </w:r>
          </w:p>
        </w:tc>
        <w:tc>
          <w:tcPr>
            <w:tcW w:w="1083" w:type="pct"/>
            <w:vMerge w:val="continue"/>
            <w:vAlign w:val="center"/>
          </w:tcPr>
          <w:p w14:paraId="1A8158B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1410" w:type="pct"/>
            <w:vMerge w:val="continue"/>
            <w:vAlign w:val="center"/>
          </w:tcPr>
          <w:p w14:paraId="35DB05A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r>
      <w:tr w14:paraId="53C800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881" w:type="pct"/>
            <w:vMerge w:val="continue"/>
            <w:vAlign w:val="center"/>
          </w:tcPr>
          <w:p w14:paraId="1CF9DD6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893" w:type="pct"/>
            <w:vMerge w:val="continue"/>
            <w:vAlign w:val="center"/>
          </w:tcPr>
          <w:p w14:paraId="14808A6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731" w:type="pct"/>
            <w:vAlign w:val="center"/>
          </w:tcPr>
          <w:p w14:paraId="206FDD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lang w:val="en-US" w:eastAsia="zh-CN"/>
              </w:rPr>
            </w:pPr>
            <w:r>
              <w:rPr>
                <w:rFonts w:hint="eastAsia"/>
                <w:sz w:val="21"/>
                <w:szCs w:val="21"/>
                <w:u w:val="single"/>
                <w:lang w:val="en-US" w:eastAsia="zh-CN"/>
              </w:rPr>
              <w:t>臭气浓度</w:t>
            </w:r>
          </w:p>
        </w:tc>
        <w:tc>
          <w:tcPr>
            <w:tcW w:w="1083" w:type="pct"/>
            <w:vMerge w:val="continue"/>
            <w:vAlign w:val="center"/>
          </w:tcPr>
          <w:p w14:paraId="0F6139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1410" w:type="pct"/>
            <w:vMerge w:val="continue"/>
            <w:vAlign w:val="center"/>
          </w:tcPr>
          <w:p w14:paraId="3A5B451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r>
      <w:tr w14:paraId="150759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881" w:type="pct"/>
            <w:vMerge w:val="continue"/>
            <w:vAlign w:val="center"/>
          </w:tcPr>
          <w:p w14:paraId="31F32AA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893" w:type="pct"/>
            <w:vMerge w:val="continue"/>
            <w:vAlign w:val="center"/>
          </w:tcPr>
          <w:p w14:paraId="57E47C1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p>
        </w:tc>
        <w:tc>
          <w:tcPr>
            <w:tcW w:w="731" w:type="pct"/>
            <w:vAlign w:val="center"/>
          </w:tcPr>
          <w:p w14:paraId="1482AB0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lang w:val="en-US" w:eastAsia="zh-CN"/>
              </w:rPr>
            </w:pPr>
            <w:r>
              <w:rPr>
                <w:rFonts w:hint="eastAsia"/>
                <w:sz w:val="21"/>
                <w:szCs w:val="21"/>
                <w:u w:val="single"/>
                <w:lang w:val="en-US" w:eastAsia="zh-CN"/>
              </w:rPr>
              <w:t>颗粒物</w:t>
            </w:r>
          </w:p>
        </w:tc>
        <w:tc>
          <w:tcPr>
            <w:tcW w:w="1083" w:type="pct"/>
            <w:vAlign w:val="center"/>
          </w:tcPr>
          <w:p w14:paraId="7E4D105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sz w:val="21"/>
                <w:szCs w:val="21"/>
                <w:u w:val="single"/>
                <w:lang w:val="en-US" w:eastAsia="zh-CN"/>
              </w:rPr>
            </w:pPr>
            <w:r>
              <w:rPr>
                <w:rFonts w:hint="eastAsia"/>
                <w:sz w:val="21"/>
                <w:szCs w:val="21"/>
                <w:u w:val="single"/>
                <w:lang w:val="en-US" w:eastAsia="zh-CN"/>
              </w:rPr>
              <w:t>/</w:t>
            </w:r>
          </w:p>
        </w:tc>
        <w:tc>
          <w:tcPr>
            <w:tcW w:w="1410" w:type="pct"/>
            <w:vAlign w:val="center"/>
          </w:tcPr>
          <w:p w14:paraId="45B798F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lang w:val="en-US" w:eastAsia="zh-CN"/>
              </w:rPr>
              <w:t>《大气污染物综合排放标准》（GB16297-1996）中表2无组织排放限值</w:t>
            </w:r>
          </w:p>
        </w:tc>
      </w:tr>
      <w:tr w14:paraId="33212A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3" w:hRule="atLeast"/>
          <w:jc w:val="center"/>
        </w:trPr>
        <w:tc>
          <w:tcPr>
            <w:tcW w:w="881" w:type="pct"/>
            <w:vAlign w:val="center"/>
          </w:tcPr>
          <w:p w14:paraId="5B1B6A9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地表水环境</w:t>
            </w:r>
          </w:p>
        </w:tc>
        <w:tc>
          <w:tcPr>
            <w:tcW w:w="893" w:type="pct"/>
            <w:vAlign w:val="center"/>
          </w:tcPr>
          <w:p w14:paraId="6D1A064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废水总排口</w:t>
            </w:r>
          </w:p>
        </w:tc>
        <w:tc>
          <w:tcPr>
            <w:tcW w:w="731" w:type="pct"/>
            <w:vAlign w:val="center"/>
          </w:tcPr>
          <w:p w14:paraId="3568A57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sz w:val="21"/>
                <w:szCs w:val="21"/>
                <w:u w:val="single"/>
                <w:lang w:val="en-US" w:eastAsia="zh-CN"/>
              </w:rPr>
            </w:pPr>
            <w:r>
              <w:rPr>
                <w:rFonts w:hint="default"/>
                <w:sz w:val="21"/>
                <w:szCs w:val="21"/>
                <w:u w:val="single"/>
              </w:rPr>
              <w:t>pH、COD、氨氮、</w:t>
            </w:r>
            <w:r>
              <w:rPr>
                <w:rFonts w:hint="default"/>
                <w:sz w:val="21"/>
                <w:szCs w:val="21"/>
                <w:u w:val="single"/>
                <w:lang w:val="en-US" w:eastAsia="zh-CN"/>
              </w:rPr>
              <w:t>总氮</w:t>
            </w:r>
            <w:r>
              <w:rPr>
                <w:rFonts w:hint="eastAsia"/>
                <w:sz w:val="21"/>
                <w:szCs w:val="21"/>
                <w:u w:val="single"/>
                <w:lang w:val="en-US" w:eastAsia="zh-CN"/>
              </w:rPr>
              <w:t>、总磷、</w:t>
            </w:r>
            <w:r>
              <w:rPr>
                <w:rFonts w:hint="default"/>
                <w:sz w:val="21"/>
                <w:szCs w:val="21"/>
                <w:u w:val="single"/>
              </w:rPr>
              <w:t>SS</w:t>
            </w:r>
            <w:r>
              <w:rPr>
                <w:rFonts w:hint="eastAsia"/>
                <w:sz w:val="21"/>
                <w:szCs w:val="21"/>
                <w:u w:val="single"/>
                <w:lang w:eastAsia="zh-CN"/>
              </w:rPr>
              <w:t>、</w:t>
            </w:r>
            <w:r>
              <w:rPr>
                <w:rFonts w:hint="eastAsia"/>
                <w:sz w:val="21"/>
                <w:szCs w:val="21"/>
                <w:u w:val="single"/>
                <w:lang w:val="en-US" w:eastAsia="zh-CN"/>
              </w:rPr>
              <w:t>动植物油</w:t>
            </w:r>
          </w:p>
        </w:tc>
        <w:tc>
          <w:tcPr>
            <w:tcW w:w="1083" w:type="pct"/>
            <w:vAlign w:val="center"/>
          </w:tcPr>
          <w:p w14:paraId="0BF4912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sz w:val="21"/>
                <w:szCs w:val="21"/>
                <w:u w:val="single"/>
                <w:lang w:val="en-US" w:eastAsia="zh-CN"/>
              </w:rPr>
            </w:pPr>
            <w:r>
              <w:rPr>
                <w:rFonts w:hint="eastAsia"/>
                <w:sz w:val="21"/>
                <w:szCs w:val="21"/>
                <w:u w:val="single"/>
                <w:lang w:val="en-US" w:eastAsia="zh-CN"/>
              </w:rPr>
              <w:t>生产废水经隔油沉淀池处理后和经化粪池处理后的生活污水一起经由园区污水管网排入君山区第二污水处理厂预处理中心</w:t>
            </w:r>
          </w:p>
        </w:tc>
        <w:tc>
          <w:tcPr>
            <w:tcW w:w="1410" w:type="pct"/>
            <w:vAlign w:val="center"/>
          </w:tcPr>
          <w:p w14:paraId="2104A56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jc w:val="both"/>
              <w:textAlignment w:val="auto"/>
              <w:rPr>
                <w:rFonts w:hint="default"/>
                <w:sz w:val="21"/>
                <w:szCs w:val="21"/>
                <w:u w:val="single"/>
              </w:rPr>
            </w:pPr>
            <w:r>
              <w:rPr>
                <w:rFonts w:hint="eastAsia"/>
                <w:sz w:val="21"/>
                <w:szCs w:val="21"/>
                <w:u w:val="single"/>
                <w:lang w:val="en-US" w:eastAsia="zh-CN"/>
              </w:rPr>
              <w:t>本项目废水执行君山区第二污水处理厂前端预处理工程进水水质标准；君山区第二污水处理厂出水水质执行《城镇污水处理厂污染物排放标准》（GB18918-2002）表1中一级A标准</w:t>
            </w:r>
          </w:p>
        </w:tc>
      </w:tr>
      <w:tr w14:paraId="6198D8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81" w:type="pct"/>
            <w:vAlign w:val="center"/>
          </w:tcPr>
          <w:p w14:paraId="1745AE7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声环境</w:t>
            </w:r>
          </w:p>
        </w:tc>
        <w:tc>
          <w:tcPr>
            <w:tcW w:w="893" w:type="pct"/>
            <w:vAlign w:val="center"/>
          </w:tcPr>
          <w:p w14:paraId="025880C3">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厂界噪声</w:t>
            </w:r>
          </w:p>
        </w:tc>
        <w:tc>
          <w:tcPr>
            <w:tcW w:w="731" w:type="pct"/>
            <w:vAlign w:val="center"/>
          </w:tcPr>
          <w:p w14:paraId="6075BA9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等效连续A声级</w:t>
            </w:r>
          </w:p>
        </w:tc>
        <w:tc>
          <w:tcPr>
            <w:tcW w:w="1083" w:type="pct"/>
            <w:vAlign w:val="center"/>
          </w:tcPr>
          <w:p w14:paraId="1FCD9EE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eastAsia="宋体"/>
                <w:sz w:val="21"/>
                <w:szCs w:val="21"/>
                <w:u w:val="single"/>
                <w:lang w:val="en-US" w:eastAsia="zh-CN"/>
              </w:rPr>
            </w:pPr>
            <w:r>
              <w:rPr>
                <w:rFonts w:hint="eastAsia"/>
                <w:sz w:val="21"/>
                <w:szCs w:val="21"/>
                <w:u w:val="single"/>
                <w:lang w:val="en-US" w:eastAsia="zh-CN"/>
              </w:rPr>
              <w:t>厂房</w:t>
            </w:r>
            <w:r>
              <w:rPr>
                <w:rFonts w:hint="default"/>
                <w:sz w:val="21"/>
                <w:szCs w:val="21"/>
                <w:u w:val="single"/>
              </w:rPr>
              <w:t>隔声</w:t>
            </w:r>
            <w:r>
              <w:rPr>
                <w:rFonts w:hint="eastAsia"/>
                <w:sz w:val="21"/>
                <w:szCs w:val="21"/>
                <w:u w:val="single"/>
                <w:lang w:eastAsia="zh-CN"/>
              </w:rPr>
              <w:t>、</w:t>
            </w:r>
            <w:r>
              <w:rPr>
                <w:rFonts w:hint="default"/>
                <w:sz w:val="21"/>
                <w:szCs w:val="21"/>
                <w:u w:val="single"/>
              </w:rPr>
              <w:t>减振降噪</w:t>
            </w:r>
            <w:r>
              <w:rPr>
                <w:rFonts w:hint="eastAsia"/>
                <w:sz w:val="21"/>
                <w:szCs w:val="21"/>
                <w:u w:val="single"/>
                <w:lang w:val="en-US" w:eastAsia="zh-CN"/>
              </w:rPr>
              <w:t>等</w:t>
            </w:r>
          </w:p>
        </w:tc>
        <w:tc>
          <w:tcPr>
            <w:tcW w:w="1410" w:type="pct"/>
            <w:vAlign w:val="center"/>
          </w:tcPr>
          <w:p w14:paraId="6A1BB787">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lang w:eastAsia="zh-CN"/>
              </w:rPr>
            </w:pPr>
            <w:r>
              <w:rPr>
                <w:rFonts w:hint="default"/>
                <w:sz w:val="21"/>
                <w:szCs w:val="21"/>
                <w:u w:val="single"/>
              </w:rPr>
              <w:t>《工业企业厂界环境噪声排放标准》</w:t>
            </w:r>
            <w:r>
              <w:rPr>
                <w:rFonts w:hint="eastAsia"/>
                <w:sz w:val="21"/>
                <w:szCs w:val="21"/>
                <w:u w:val="single"/>
                <w:lang w:eastAsia="zh-CN"/>
              </w:rPr>
              <w:t>（</w:t>
            </w:r>
            <w:r>
              <w:rPr>
                <w:rFonts w:hint="default"/>
                <w:sz w:val="21"/>
                <w:szCs w:val="21"/>
                <w:u w:val="single"/>
              </w:rPr>
              <w:t>GB12348-2008</w:t>
            </w:r>
            <w:r>
              <w:rPr>
                <w:rFonts w:hint="eastAsia"/>
                <w:sz w:val="21"/>
                <w:szCs w:val="21"/>
                <w:u w:val="single"/>
                <w:lang w:eastAsia="zh-CN"/>
              </w:rPr>
              <w:t>）</w:t>
            </w:r>
          </w:p>
        </w:tc>
      </w:tr>
      <w:tr w14:paraId="4A02B8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881" w:type="pct"/>
            <w:vAlign w:val="center"/>
          </w:tcPr>
          <w:p w14:paraId="0EF3DF8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固体废物</w:t>
            </w:r>
          </w:p>
        </w:tc>
        <w:tc>
          <w:tcPr>
            <w:tcW w:w="4118" w:type="pct"/>
            <w:gridSpan w:val="4"/>
            <w:vAlign w:val="center"/>
          </w:tcPr>
          <w:p w14:paraId="286B335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default" w:eastAsia="宋体"/>
                <w:sz w:val="21"/>
                <w:szCs w:val="21"/>
                <w:u w:val="single"/>
                <w:lang w:val="en-US" w:eastAsia="zh-CN"/>
              </w:rPr>
            </w:pPr>
            <w:r>
              <w:rPr>
                <w:rFonts w:hint="default"/>
                <w:kern w:val="0"/>
                <w:sz w:val="21"/>
                <w:szCs w:val="21"/>
                <w:u w:val="single"/>
              </w:rPr>
              <w:t>本项目</w:t>
            </w:r>
            <w:r>
              <w:rPr>
                <w:rFonts w:hint="eastAsia"/>
                <w:kern w:val="0"/>
                <w:sz w:val="21"/>
                <w:szCs w:val="21"/>
                <w:u w:val="single"/>
                <w:lang w:val="en-US" w:eastAsia="zh-CN"/>
              </w:rPr>
              <w:t>不合格产品、油炸废物、废边角料、废食用油</w:t>
            </w:r>
            <w:r>
              <w:rPr>
                <w:rFonts w:hint="default"/>
                <w:sz w:val="21"/>
                <w:szCs w:val="21"/>
                <w:u w:val="single"/>
              </w:rPr>
              <w:t>等一般固废</w:t>
            </w:r>
            <w:r>
              <w:rPr>
                <w:rFonts w:hint="default"/>
                <w:kern w:val="0"/>
                <w:sz w:val="21"/>
                <w:szCs w:val="21"/>
                <w:u w:val="single"/>
              </w:rPr>
              <w:t>，收集后</w:t>
            </w:r>
            <w:r>
              <w:rPr>
                <w:rFonts w:hint="eastAsia"/>
                <w:kern w:val="0"/>
                <w:sz w:val="21"/>
                <w:szCs w:val="21"/>
                <w:u w:val="single"/>
                <w:lang w:val="en-US" w:eastAsia="zh-CN"/>
              </w:rPr>
              <w:t>由第三方公司定期收购，废包装材料、废离子交换树脂等一般固废外售废品回收公司，锅炉渣灰用于农田堆肥，生活垃圾由环卫部门统一清运；</w:t>
            </w:r>
            <w:r>
              <w:rPr>
                <w:rFonts w:hint="default"/>
                <w:kern w:val="0"/>
                <w:sz w:val="21"/>
                <w:szCs w:val="21"/>
                <w:u w:val="single"/>
              </w:rPr>
              <w:t>废润滑油、废</w:t>
            </w:r>
            <w:r>
              <w:rPr>
                <w:rFonts w:hint="eastAsia"/>
                <w:kern w:val="0"/>
                <w:sz w:val="21"/>
                <w:szCs w:val="21"/>
                <w:u w:val="single"/>
                <w:lang w:val="en-US" w:eastAsia="zh-CN"/>
              </w:rPr>
              <w:t>含油抹布手套、废油桶</w:t>
            </w:r>
            <w:r>
              <w:rPr>
                <w:rFonts w:hint="default"/>
                <w:kern w:val="0"/>
                <w:sz w:val="21"/>
                <w:szCs w:val="21"/>
                <w:u w:val="single"/>
              </w:rPr>
              <w:t>等属于危险废物，收集后交由危废资质单位处置。本项目危废暂存间</w:t>
            </w:r>
            <w:r>
              <w:rPr>
                <w:rFonts w:hint="eastAsia"/>
                <w:kern w:val="0"/>
                <w:sz w:val="21"/>
                <w:szCs w:val="21"/>
                <w:u w:val="single"/>
                <w:lang w:val="en-US" w:eastAsia="zh-CN"/>
              </w:rPr>
              <w:t>占地面积22</w:t>
            </w:r>
            <w:r>
              <w:rPr>
                <w:rFonts w:hint="default"/>
                <w:kern w:val="0"/>
                <w:sz w:val="21"/>
                <w:szCs w:val="21"/>
                <w:u w:val="single"/>
              </w:rPr>
              <w:t>m</w:t>
            </w:r>
            <w:r>
              <w:rPr>
                <w:rFonts w:hint="default"/>
                <w:kern w:val="0"/>
                <w:sz w:val="21"/>
                <w:szCs w:val="21"/>
                <w:u w:val="single"/>
                <w:vertAlign w:val="superscript"/>
              </w:rPr>
              <w:t>2</w:t>
            </w:r>
            <w:r>
              <w:rPr>
                <w:rFonts w:hint="eastAsia"/>
                <w:kern w:val="0"/>
                <w:sz w:val="21"/>
                <w:szCs w:val="21"/>
                <w:u w:val="single"/>
                <w:lang w:eastAsia="zh-CN"/>
              </w:rPr>
              <w:t>、</w:t>
            </w:r>
            <w:r>
              <w:rPr>
                <w:rFonts w:hint="eastAsia"/>
                <w:kern w:val="0"/>
                <w:sz w:val="21"/>
                <w:szCs w:val="21"/>
                <w:u w:val="single"/>
                <w:lang w:val="en-US" w:eastAsia="zh-CN"/>
              </w:rPr>
              <w:t>一般固废暂存间占地面积</w:t>
            </w:r>
            <w:r>
              <w:rPr>
                <w:rFonts w:hint="eastAsia" w:ascii="Times New Roman" w:eastAsia="宋体"/>
                <w:kern w:val="0"/>
                <w:sz w:val="21"/>
                <w:szCs w:val="21"/>
                <w:u w:val="single"/>
                <w:lang w:val="en-US" w:eastAsia="zh-CN"/>
              </w:rPr>
              <w:t>22</w:t>
            </w:r>
            <w:r>
              <w:rPr>
                <w:rFonts w:hint="default"/>
                <w:kern w:val="0"/>
                <w:sz w:val="21"/>
                <w:szCs w:val="21"/>
                <w:u w:val="single"/>
              </w:rPr>
              <w:t>m</w:t>
            </w:r>
            <w:r>
              <w:rPr>
                <w:rFonts w:hint="default"/>
                <w:kern w:val="0"/>
                <w:sz w:val="21"/>
                <w:szCs w:val="21"/>
                <w:u w:val="single"/>
                <w:vertAlign w:val="superscript"/>
              </w:rPr>
              <w:t>2</w:t>
            </w:r>
          </w:p>
        </w:tc>
      </w:tr>
      <w:tr w14:paraId="0A1E46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81" w:type="pct"/>
            <w:vAlign w:val="center"/>
          </w:tcPr>
          <w:p w14:paraId="19B9A4D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53" w:leftChars="-25" w:right="-53" w:rightChars="-25"/>
              <w:jc w:val="center"/>
              <w:textAlignment w:val="auto"/>
              <w:rPr>
                <w:rFonts w:hint="default"/>
                <w:sz w:val="21"/>
                <w:szCs w:val="21"/>
                <w:u w:val="single"/>
              </w:rPr>
            </w:pPr>
            <w:r>
              <w:rPr>
                <w:rFonts w:hint="default"/>
                <w:sz w:val="21"/>
                <w:szCs w:val="21"/>
                <w:u w:val="single"/>
              </w:rPr>
              <w:t>土壤及地下水污染防治措施</w:t>
            </w:r>
          </w:p>
        </w:tc>
        <w:tc>
          <w:tcPr>
            <w:tcW w:w="4118" w:type="pct"/>
            <w:gridSpan w:val="4"/>
            <w:vAlign w:val="center"/>
          </w:tcPr>
          <w:p w14:paraId="63B1E8C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eastAsia="宋体"/>
                <w:sz w:val="21"/>
                <w:szCs w:val="21"/>
                <w:u w:val="single"/>
                <w:lang w:val="en-US" w:eastAsia="zh-CN"/>
              </w:rPr>
            </w:pPr>
            <w:r>
              <w:rPr>
                <w:rFonts w:hint="default"/>
                <w:sz w:val="21"/>
                <w:szCs w:val="21"/>
                <w:u w:val="single"/>
              </w:rPr>
              <w:t>地面硬化</w:t>
            </w:r>
            <w:r>
              <w:rPr>
                <w:rFonts w:hint="eastAsia"/>
                <w:sz w:val="21"/>
                <w:szCs w:val="21"/>
                <w:u w:val="single"/>
                <w:lang w:eastAsia="zh-CN"/>
              </w:rPr>
              <w:t>、</w:t>
            </w:r>
            <w:r>
              <w:rPr>
                <w:rFonts w:hint="eastAsia"/>
                <w:sz w:val="21"/>
                <w:szCs w:val="21"/>
                <w:u w:val="single"/>
                <w:lang w:val="en-US" w:eastAsia="zh-CN"/>
              </w:rPr>
              <w:t>防渗处理</w:t>
            </w:r>
          </w:p>
        </w:tc>
      </w:tr>
      <w:tr w14:paraId="6D0952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81" w:type="pct"/>
            <w:vAlign w:val="center"/>
          </w:tcPr>
          <w:p w14:paraId="0910ADF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生态保护措施</w:t>
            </w:r>
          </w:p>
        </w:tc>
        <w:tc>
          <w:tcPr>
            <w:tcW w:w="4118" w:type="pct"/>
            <w:gridSpan w:val="4"/>
            <w:vAlign w:val="center"/>
          </w:tcPr>
          <w:p w14:paraId="0988B16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z w:val="21"/>
                <w:szCs w:val="21"/>
                <w:u w:val="single"/>
              </w:rPr>
            </w:pPr>
            <w:r>
              <w:rPr>
                <w:rFonts w:hint="default"/>
                <w:sz w:val="21"/>
                <w:szCs w:val="21"/>
                <w:u w:val="single"/>
              </w:rPr>
              <w:t>/</w:t>
            </w:r>
          </w:p>
        </w:tc>
      </w:tr>
      <w:tr w14:paraId="3F6047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81" w:type="pct"/>
            <w:vAlign w:val="center"/>
          </w:tcPr>
          <w:p w14:paraId="354D65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pacing w:val="-8"/>
                <w:sz w:val="21"/>
                <w:szCs w:val="21"/>
                <w:u w:val="single"/>
              </w:rPr>
            </w:pPr>
            <w:r>
              <w:rPr>
                <w:rFonts w:hint="default"/>
                <w:spacing w:val="-8"/>
                <w:sz w:val="21"/>
                <w:szCs w:val="21"/>
                <w:u w:val="single"/>
              </w:rPr>
              <w:t>环境风险</w:t>
            </w:r>
          </w:p>
          <w:p w14:paraId="4FC1786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pacing w:val="-8"/>
                <w:sz w:val="21"/>
                <w:szCs w:val="21"/>
                <w:u w:val="single"/>
              </w:rPr>
            </w:pPr>
            <w:r>
              <w:rPr>
                <w:rFonts w:hint="default"/>
                <w:spacing w:val="-8"/>
                <w:sz w:val="21"/>
                <w:szCs w:val="21"/>
                <w:u w:val="single"/>
              </w:rPr>
              <w:t>防范措施</w:t>
            </w:r>
          </w:p>
        </w:tc>
        <w:tc>
          <w:tcPr>
            <w:tcW w:w="4118" w:type="pct"/>
            <w:gridSpan w:val="4"/>
            <w:vAlign w:val="center"/>
          </w:tcPr>
          <w:p w14:paraId="4C98054C">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firstLine="420" w:firstLineChars="200"/>
              <w:textAlignment w:val="auto"/>
              <w:rPr>
                <w:rFonts w:hint="default"/>
                <w:sz w:val="21"/>
                <w:szCs w:val="21"/>
                <w:u w:val="single"/>
              </w:rPr>
            </w:pPr>
            <w:r>
              <w:rPr>
                <w:rFonts w:hint="default"/>
                <w:bCs/>
                <w:sz w:val="21"/>
                <w:szCs w:val="21"/>
                <w:u w:val="single"/>
              </w:rPr>
              <w:t>严格按照环境风险管理要求，制定严格的规章制度，对工作人员进行培训，并进行宣传教育，确保操作安全。</w:t>
            </w:r>
          </w:p>
        </w:tc>
      </w:tr>
      <w:tr w14:paraId="33ED75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81" w:type="pct"/>
            <w:vAlign w:val="center"/>
          </w:tcPr>
          <w:p w14:paraId="7D26657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pacing w:val="-8"/>
                <w:sz w:val="21"/>
                <w:szCs w:val="21"/>
                <w:u w:val="single"/>
              </w:rPr>
            </w:pPr>
            <w:r>
              <w:rPr>
                <w:rFonts w:hint="default"/>
                <w:spacing w:val="-8"/>
                <w:sz w:val="21"/>
                <w:szCs w:val="21"/>
                <w:u w:val="single"/>
              </w:rPr>
              <w:t>其他环境</w:t>
            </w:r>
          </w:p>
          <w:p w14:paraId="5DB7D6FA">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spacing w:val="-8"/>
                <w:sz w:val="21"/>
                <w:szCs w:val="21"/>
                <w:u w:val="single"/>
              </w:rPr>
            </w:pPr>
            <w:r>
              <w:rPr>
                <w:rFonts w:hint="default"/>
                <w:spacing w:val="-8"/>
                <w:sz w:val="21"/>
                <w:szCs w:val="21"/>
                <w:u w:val="single"/>
              </w:rPr>
              <w:t>管理要求</w:t>
            </w:r>
          </w:p>
        </w:tc>
        <w:tc>
          <w:tcPr>
            <w:tcW w:w="4118" w:type="pct"/>
            <w:gridSpan w:val="4"/>
            <w:vAlign w:val="center"/>
          </w:tcPr>
          <w:p w14:paraId="5ED3A5B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sz w:val="21"/>
                <w:szCs w:val="21"/>
                <w:u w:val="single"/>
              </w:rPr>
            </w:pPr>
            <w:r>
              <w:rPr>
                <w:rFonts w:hint="default"/>
                <w:sz w:val="21"/>
                <w:szCs w:val="21"/>
                <w:u w:val="single"/>
              </w:rPr>
              <w:t>对环保处理设施的运行和管理设置专门的管理人员并建立规范的台账记录，包括纸质和电子台账，并保留5年。</w:t>
            </w:r>
          </w:p>
        </w:tc>
      </w:tr>
    </w:tbl>
    <w:p w14:paraId="3F391E4B">
      <w:pPr>
        <w:pStyle w:val="20"/>
        <w:spacing w:before="0" w:beforeAutospacing="0" w:after="0" w:afterAutospacing="0" w:line="360" w:lineRule="auto"/>
        <w:jc w:val="center"/>
        <w:outlineLvl w:val="0"/>
        <w:rPr>
          <w:rFonts w:ascii="Times New Roman" w:hAnsi="Times New Roman"/>
          <w:snapToGrid w:val="0"/>
          <w:sz w:val="30"/>
          <w:szCs w:val="30"/>
        </w:rPr>
      </w:pPr>
      <w:r>
        <w:rPr>
          <w:rFonts w:ascii="Times New Roman" w:hAnsi="Times New Roman"/>
          <w:snapToGrid w:val="0"/>
        </w:rPr>
        <w:br w:type="page"/>
      </w:r>
      <w:bookmarkStart w:id="46" w:name="_Toc17626"/>
      <w:bookmarkStart w:id="47" w:name="_Toc15789"/>
      <w:bookmarkStart w:id="48" w:name="_Toc25777"/>
      <w:bookmarkStart w:id="49" w:name="_Toc19993"/>
      <w:bookmarkStart w:id="50" w:name="_Toc26927"/>
      <w:bookmarkStart w:id="51" w:name="_Toc28964"/>
      <w:bookmarkStart w:id="52" w:name="_Toc32528"/>
      <w:bookmarkStart w:id="53" w:name="_Toc32501"/>
      <w:r>
        <w:rPr>
          <w:rFonts w:ascii="Times New Roman" w:hAnsi="Times New Roman"/>
          <w:b/>
          <w:bCs/>
          <w:snapToGrid w:val="0"/>
          <w:sz w:val="30"/>
          <w:szCs w:val="30"/>
        </w:rPr>
        <w:t>六、结论</w:t>
      </w:r>
      <w:bookmarkEnd w:id="46"/>
      <w:bookmarkEnd w:id="47"/>
      <w:bookmarkEnd w:id="48"/>
      <w:bookmarkEnd w:id="49"/>
      <w:bookmarkEnd w:id="50"/>
      <w:bookmarkEnd w:id="51"/>
      <w:bookmarkEnd w:id="52"/>
      <w:bookmarkEnd w:id="53"/>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4"/>
      </w:tblGrid>
      <w:tr w14:paraId="40F214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79" w:hRule="atLeast"/>
          <w:jc w:val="center"/>
        </w:trPr>
        <w:tc>
          <w:tcPr>
            <w:tcW w:w="5000" w:type="pct"/>
          </w:tcPr>
          <w:p w14:paraId="5814B7D1">
            <w:pPr>
              <w:keepNext w:val="0"/>
              <w:keepLines w:val="0"/>
              <w:suppressLineNumbers w:val="0"/>
              <w:spacing w:before="120" w:beforeLines="50" w:beforeAutospacing="0" w:after="0" w:afterAutospacing="0" w:line="360" w:lineRule="auto"/>
              <w:ind w:left="0" w:right="0" w:firstLine="480" w:firstLineChars="200"/>
              <w:rPr>
                <w:rFonts w:hint="default"/>
                <w:sz w:val="24"/>
              </w:rPr>
            </w:pPr>
            <w:r>
              <w:rPr>
                <w:rFonts w:hint="eastAsia"/>
                <w:sz w:val="24"/>
                <w:lang w:val="en-US" w:eastAsia="zh-CN"/>
              </w:rPr>
              <w:t>湖南童记三利和年产5000吨肉制品和3000吨鹌鹑蛋</w:t>
            </w:r>
            <w:r>
              <w:rPr>
                <w:rFonts w:hint="default"/>
                <w:sz w:val="24"/>
              </w:rPr>
              <w:t>项目符合国家产业政策要求，项目平面布局基本合理可行。在严格落实本环评报告提出的各项污染物防治措施和风险防范措施的前提下，污染物能实现达标排放，环境风险可控，不会对周围环境质量造成明显不利影响。从环保角度分析，该项目建设是可行的。</w:t>
            </w:r>
          </w:p>
        </w:tc>
      </w:tr>
    </w:tbl>
    <w:p w14:paraId="3C9423F9">
      <w:p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p>
    <w:p w14:paraId="7CA49F3A">
      <w:pPr>
        <w:pStyle w:val="20"/>
        <w:adjustRightInd w:val="0"/>
        <w:snapToGrid w:val="0"/>
        <w:spacing w:before="0" w:beforeAutospacing="0" w:after="0" w:afterAutospacing="0" w:line="480" w:lineRule="auto"/>
        <w:rPr>
          <w:rFonts w:ascii="Times New Roman" w:hAnsi="Times New Roman"/>
          <w:b/>
          <w:bCs/>
          <w:snapToGrid w:val="0"/>
          <w:sz w:val="32"/>
          <w:szCs w:val="32"/>
        </w:rPr>
      </w:pPr>
      <w:r>
        <w:rPr>
          <w:rFonts w:ascii="Times New Roman" w:hAnsi="Times New Roman"/>
          <w:snapToGrid w:val="0"/>
          <w:sz w:val="32"/>
          <w:szCs w:val="32"/>
        </w:rPr>
        <w:t>附表</w:t>
      </w:r>
    </w:p>
    <w:p w14:paraId="7005536E">
      <w:pPr>
        <w:pStyle w:val="20"/>
        <w:adjustRightInd w:val="0"/>
        <w:snapToGrid w:val="0"/>
        <w:spacing w:before="0" w:beforeAutospacing="0" w:after="0" w:afterAutospacing="0" w:line="360" w:lineRule="auto"/>
        <w:jc w:val="center"/>
        <w:outlineLvl w:val="0"/>
        <w:rPr>
          <w:rFonts w:ascii="Times New Roman" w:hAnsi="Times New Roman"/>
          <w:b/>
          <w:bCs/>
          <w:snapToGrid w:val="0"/>
          <w:sz w:val="38"/>
          <w:szCs w:val="38"/>
        </w:rPr>
      </w:pPr>
      <w:bookmarkStart w:id="54" w:name="_Toc12490"/>
      <w:bookmarkStart w:id="55" w:name="_Toc15290"/>
      <w:bookmarkStart w:id="56" w:name="_Toc17015"/>
      <w:bookmarkStart w:id="57" w:name="_Toc26650"/>
      <w:bookmarkStart w:id="58" w:name="_Toc19128"/>
      <w:bookmarkStart w:id="59" w:name="_Toc26526"/>
      <w:r>
        <w:rPr>
          <w:rFonts w:ascii="Times New Roman" w:hAnsi="Times New Roman"/>
          <w:b/>
          <w:bCs/>
          <w:snapToGrid w:val="0"/>
          <w:sz w:val="38"/>
          <w:szCs w:val="38"/>
        </w:rPr>
        <w:t>建设项目污染物排放量汇总表</w:t>
      </w:r>
      <w:bookmarkEnd w:id="54"/>
      <w:bookmarkEnd w:id="55"/>
      <w:bookmarkEnd w:id="56"/>
      <w:bookmarkEnd w:id="57"/>
      <w:bookmarkEnd w:id="58"/>
      <w:bookmarkEnd w:id="59"/>
    </w:p>
    <w:tbl>
      <w:tblPr>
        <w:tblStyle w:val="24"/>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778"/>
        <w:gridCol w:w="1576"/>
        <w:gridCol w:w="1294"/>
        <w:gridCol w:w="1728"/>
        <w:gridCol w:w="1584"/>
        <w:gridCol w:w="1790"/>
        <w:gridCol w:w="1736"/>
        <w:gridCol w:w="1140"/>
      </w:tblGrid>
      <w:tr w14:paraId="23D4D7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507" w:type="pct"/>
            <w:tcBorders>
              <w:tl2br w:val="single" w:color="auto" w:sz="4" w:space="0"/>
            </w:tcBorders>
            <w:tcMar>
              <w:left w:w="28" w:type="dxa"/>
              <w:right w:w="28" w:type="dxa"/>
            </w:tcMar>
            <w:vAlign w:val="center"/>
          </w:tcPr>
          <w:p w14:paraId="369068EB">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eastAsia" w:ascii="Times New Roman"/>
                <w:snapToGrid w:val="0"/>
                <w:spacing w:val="-6"/>
                <w:kern w:val="21"/>
                <w:sz w:val="21"/>
                <w:szCs w:val="21"/>
                <w:lang w:val="en-US" w:eastAsia="zh-CN"/>
              </w:rPr>
              <w:t xml:space="preserve">      </w:t>
            </w:r>
            <w:r>
              <w:rPr>
                <w:rFonts w:hint="default" w:ascii="Times New Roman"/>
                <w:snapToGrid w:val="0"/>
                <w:spacing w:val="-6"/>
                <w:kern w:val="21"/>
                <w:sz w:val="21"/>
                <w:szCs w:val="21"/>
              </w:rPr>
              <w:t>项目</w:t>
            </w:r>
          </w:p>
          <w:p w14:paraId="005E2D3D">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198" w:firstLineChars="100"/>
              <w:jc w:val="both"/>
              <w:rPr>
                <w:rFonts w:hint="default" w:ascii="Times New Roman"/>
                <w:snapToGrid w:val="0"/>
                <w:spacing w:val="-6"/>
                <w:kern w:val="21"/>
                <w:sz w:val="21"/>
                <w:szCs w:val="21"/>
              </w:rPr>
            </w:pPr>
            <w:r>
              <w:rPr>
                <w:rFonts w:hint="default" w:ascii="Times New Roman"/>
                <w:snapToGrid w:val="0"/>
                <w:spacing w:val="-6"/>
                <w:kern w:val="21"/>
                <w:sz w:val="21"/>
                <w:szCs w:val="21"/>
              </w:rPr>
              <w:t>分类</w:t>
            </w:r>
          </w:p>
        </w:tc>
        <w:tc>
          <w:tcPr>
            <w:tcW w:w="632" w:type="pct"/>
            <w:tcMar>
              <w:left w:w="28" w:type="dxa"/>
              <w:right w:w="28" w:type="dxa"/>
            </w:tcMar>
            <w:vAlign w:val="center"/>
          </w:tcPr>
          <w:p w14:paraId="78C7758A">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污染物名称</w:t>
            </w:r>
          </w:p>
        </w:tc>
        <w:tc>
          <w:tcPr>
            <w:tcW w:w="560" w:type="pct"/>
            <w:tcMar>
              <w:left w:w="28" w:type="dxa"/>
              <w:right w:w="28" w:type="dxa"/>
            </w:tcMar>
            <w:vAlign w:val="center"/>
          </w:tcPr>
          <w:p w14:paraId="5EA59514">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现有工程</w:t>
            </w:r>
          </w:p>
          <w:p w14:paraId="6F5A2F7E">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排放量（固体废物产生量）</w:t>
            </w:r>
            <w:r>
              <w:rPr>
                <w:rFonts w:hint="default" w:ascii="Times New Roman"/>
                <w:snapToGrid w:val="0"/>
                <w:spacing w:val="-6"/>
                <w:kern w:val="21"/>
                <w:sz w:val="21"/>
                <w:szCs w:val="21"/>
              </w:rPr>
              <w:fldChar w:fldCharType="begin"/>
            </w:r>
            <w:r>
              <w:rPr>
                <w:rFonts w:hint="default" w:ascii="Times New Roman"/>
                <w:snapToGrid w:val="0"/>
                <w:spacing w:val="-6"/>
                <w:kern w:val="21"/>
                <w:sz w:val="21"/>
                <w:szCs w:val="21"/>
              </w:rPr>
              <w:instrText xml:space="preserve"> = 1 \* GB3 \* MERGEFORMAT </w:instrText>
            </w:r>
            <w:r>
              <w:rPr>
                <w:rFonts w:hint="default" w:ascii="Times New Roman"/>
                <w:snapToGrid w:val="0"/>
                <w:spacing w:val="-6"/>
                <w:kern w:val="21"/>
                <w:sz w:val="21"/>
                <w:szCs w:val="21"/>
              </w:rPr>
              <w:fldChar w:fldCharType="separate"/>
            </w:r>
            <w:r>
              <w:rPr>
                <w:rFonts w:hint="default" w:ascii="Times New Roman"/>
                <w:kern w:val="2"/>
                <w:sz w:val="21"/>
                <w:szCs w:val="21"/>
              </w:rPr>
              <w:t>①</w:t>
            </w:r>
            <w:r>
              <w:rPr>
                <w:rFonts w:hint="default" w:ascii="Times New Roman"/>
                <w:snapToGrid w:val="0"/>
                <w:spacing w:val="-6"/>
                <w:kern w:val="21"/>
                <w:sz w:val="21"/>
                <w:szCs w:val="21"/>
              </w:rPr>
              <w:fldChar w:fldCharType="end"/>
            </w:r>
          </w:p>
        </w:tc>
        <w:tc>
          <w:tcPr>
            <w:tcW w:w="460" w:type="pct"/>
            <w:tcMar>
              <w:left w:w="28" w:type="dxa"/>
              <w:right w:w="28" w:type="dxa"/>
            </w:tcMar>
            <w:vAlign w:val="center"/>
          </w:tcPr>
          <w:p w14:paraId="419934C8">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现有工程</w:t>
            </w:r>
          </w:p>
          <w:p w14:paraId="51A4098C">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许可排放量</w:t>
            </w:r>
          </w:p>
          <w:p w14:paraId="52E463B4">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fldChar w:fldCharType="begin"/>
            </w:r>
            <w:r>
              <w:rPr>
                <w:rFonts w:hint="default" w:ascii="Times New Roman"/>
                <w:snapToGrid w:val="0"/>
                <w:spacing w:val="-6"/>
                <w:kern w:val="21"/>
                <w:sz w:val="21"/>
                <w:szCs w:val="21"/>
              </w:rPr>
              <w:instrText xml:space="preserve"> = 2 \* GB3 \* MERGEFORMAT </w:instrText>
            </w:r>
            <w:r>
              <w:rPr>
                <w:rFonts w:hint="default" w:ascii="Times New Roman"/>
                <w:snapToGrid w:val="0"/>
                <w:spacing w:val="-6"/>
                <w:kern w:val="21"/>
                <w:sz w:val="21"/>
                <w:szCs w:val="21"/>
              </w:rPr>
              <w:fldChar w:fldCharType="separate"/>
            </w:r>
            <w:r>
              <w:rPr>
                <w:rFonts w:hint="default" w:ascii="Times New Roman"/>
                <w:snapToGrid w:val="0"/>
                <w:spacing w:val="-6"/>
                <w:kern w:val="21"/>
                <w:sz w:val="21"/>
                <w:szCs w:val="21"/>
              </w:rPr>
              <w:t>②</w:t>
            </w:r>
            <w:r>
              <w:rPr>
                <w:rFonts w:hint="default" w:ascii="Times New Roman"/>
                <w:snapToGrid w:val="0"/>
                <w:spacing w:val="-6"/>
                <w:kern w:val="21"/>
                <w:sz w:val="21"/>
                <w:szCs w:val="21"/>
              </w:rPr>
              <w:fldChar w:fldCharType="end"/>
            </w:r>
          </w:p>
        </w:tc>
        <w:tc>
          <w:tcPr>
            <w:tcW w:w="614" w:type="pct"/>
            <w:tcMar>
              <w:left w:w="28" w:type="dxa"/>
              <w:right w:w="28" w:type="dxa"/>
            </w:tcMar>
            <w:vAlign w:val="center"/>
          </w:tcPr>
          <w:p w14:paraId="49DDE8BE">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在建工程</w:t>
            </w:r>
          </w:p>
          <w:p w14:paraId="4989C341">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排放量（固体废物产生量）</w:t>
            </w:r>
            <w:r>
              <w:rPr>
                <w:rFonts w:hint="default" w:ascii="Times New Roman"/>
                <w:snapToGrid w:val="0"/>
                <w:spacing w:val="-6"/>
                <w:kern w:val="21"/>
                <w:sz w:val="21"/>
                <w:szCs w:val="21"/>
              </w:rPr>
              <w:fldChar w:fldCharType="begin"/>
            </w:r>
            <w:r>
              <w:rPr>
                <w:rFonts w:hint="default" w:ascii="Times New Roman"/>
                <w:snapToGrid w:val="0"/>
                <w:spacing w:val="-6"/>
                <w:kern w:val="21"/>
                <w:sz w:val="21"/>
                <w:szCs w:val="21"/>
              </w:rPr>
              <w:instrText xml:space="preserve"> = 3 \* GB3 \* MERGEFORMAT </w:instrText>
            </w:r>
            <w:r>
              <w:rPr>
                <w:rFonts w:hint="default" w:ascii="Times New Roman"/>
                <w:snapToGrid w:val="0"/>
                <w:spacing w:val="-6"/>
                <w:kern w:val="21"/>
                <w:sz w:val="21"/>
                <w:szCs w:val="21"/>
              </w:rPr>
              <w:fldChar w:fldCharType="separate"/>
            </w:r>
            <w:r>
              <w:rPr>
                <w:rFonts w:hint="default" w:ascii="Times New Roman"/>
                <w:kern w:val="2"/>
                <w:sz w:val="21"/>
                <w:szCs w:val="21"/>
              </w:rPr>
              <w:t>③</w:t>
            </w:r>
            <w:r>
              <w:rPr>
                <w:rFonts w:hint="default" w:ascii="Times New Roman"/>
                <w:snapToGrid w:val="0"/>
                <w:spacing w:val="-6"/>
                <w:kern w:val="21"/>
                <w:sz w:val="21"/>
                <w:szCs w:val="21"/>
              </w:rPr>
              <w:fldChar w:fldCharType="end"/>
            </w:r>
          </w:p>
        </w:tc>
        <w:tc>
          <w:tcPr>
            <w:tcW w:w="563" w:type="pct"/>
            <w:tcMar>
              <w:left w:w="28" w:type="dxa"/>
              <w:right w:w="28" w:type="dxa"/>
            </w:tcMar>
            <w:vAlign w:val="center"/>
          </w:tcPr>
          <w:p w14:paraId="5BC77473">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本项目</w:t>
            </w:r>
          </w:p>
          <w:p w14:paraId="6F22D798">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排放量（固体废物产生量）</w:t>
            </w:r>
            <w:r>
              <w:rPr>
                <w:rFonts w:hint="default" w:ascii="Times New Roman"/>
                <w:snapToGrid w:val="0"/>
                <w:spacing w:val="-6"/>
                <w:kern w:val="21"/>
                <w:sz w:val="21"/>
                <w:szCs w:val="21"/>
              </w:rPr>
              <w:fldChar w:fldCharType="begin"/>
            </w:r>
            <w:r>
              <w:rPr>
                <w:rFonts w:hint="default" w:ascii="Times New Roman"/>
                <w:snapToGrid w:val="0"/>
                <w:spacing w:val="-6"/>
                <w:kern w:val="21"/>
                <w:sz w:val="21"/>
                <w:szCs w:val="21"/>
              </w:rPr>
              <w:instrText xml:space="preserve"> = 4 \* GB3 \* MERGEFORMAT </w:instrText>
            </w:r>
            <w:r>
              <w:rPr>
                <w:rFonts w:hint="default" w:ascii="Times New Roman"/>
                <w:snapToGrid w:val="0"/>
                <w:spacing w:val="-6"/>
                <w:kern w:val="21"/>
                <w:sz w:val="21"/>
                <w:szCs w:val="21"/>
              </w:rPr>
              <w:fldChar w:fldCharType="separate"/>
            </w:r>
            <w:r>
              <w:rPr>
                <w:rFonts w:hint="default" w:ascii="Times New Roman"/>
                <w:kern w:val="2"/>
                <w:sz w:val="21"/>
                <w:szCs w:val="21"/>
              </w:rPr>
              <w:t>④</w:t>
            </w:r>
            <w:r>
              <w:rPr>
                <w:rFonts w:hint="default" w:ascii="Times New Roman"/>
                <w:snapToGrid w:val="0"/>
                <w:spacing w:val="-6"/>
                <w:kern w:val="21"/>
                <w:sz w:val="21"/>
                <w:szCs w:val="21"/>
              </w:rPr>
              <w:fldChar w:fldCharType="end"/>
            </w:r>
          </w:p>
        </w:tc>
        <w:tc>
          <w:tcPr>
            <w:tcW w:w="636" w:type="pct"/>
            <w:tcMar>
              <w:left w:w="28" w:type="dxa"/>
              <w:right w:w="28" w:type="dxa"/>
            </w:tcMar>
            <w:vAlign w:val="center"/>
          </w:tcPr>
          <w:p w14:paraId="5121BD57">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16"/>
                <w:kern w:val="21"/>
                <w:sz w:val="21"/>
                <w:szCs w:val="21"/>
              </w:rPr>
            </w:pPr>
            <w:r>
              <w:rPr>
                <w:rFonts w:hint="default" w:ascii="Times New Roman"/>
                <w:snapToGrid w:val="0"/>
                <w:spacing w:val="-16"/>
                <w:kern w:val="21"/>
                <w:sz w:val="21"/>
                <w:szCs w:val="21"/>
              </w:rPr>
              <w:t>以新带老削减量</w:t>
            </w:r>
          </w:p>
          <w:p w14:paraId="2096AB4C">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16"/>
                <w:kern w:val="21"/>
                <w:sz w:val="21"/>
                <w:szCs w:val="21"/>
              </w:rPr>
            </w:pPr>
            <w:r>
              <w:rPr>
                <w:rFonts w:hint="default" w:ascii="Times New Roman"/>
                <w:snapToGrid w:val="0"/>
                <w:spacing w:val="-16"/>
                <w:kern w:val="21"/>
                <w:sz w:val="21"/>
                <w:szCs w:val="21"/>
              </w:rPr>
              <w:t>（新建项目不填）</w:t>
            </w:r>
            <w:r>
              <w:rPr>
                <w:rFonts w:hint="default" w:ascii="Times New Roman"/>
                <w:snapToGrid w:val="0"/>
                <w:spacing w:val="-16"/>
                <w:kern w:val="21"/>
                <w:sz w:val="21"/>
                <w:szCs w:val="21"/>
              </w:rPr>
              <w:fldChar w:fldCharType="begin"/>
            </w:r>
            <w:r>
              <w:rPr>
                <w:rFonts w:hint="default" w:ascii="Times New Roman"/>
                <w:snapToGrid w:val="0"/>
                <w:spacing w:val="-16"/>
                <w:kern w:val="21"/>
                <w:sz w:val="21"/>
                <w:szCs w:val="21"/>
              </w:rPr>
              <w:instrText xml:space="preserve"> = 5 \* GB3 \* MERGEFORMAT </w:instrText>
            </w:r>
            <w:r>
              <w:rPr>
                <w:rFonts w:hint="default" w:ascii="Times New Roman"/>
                <w:snapToGrid w:val="0"/>
                <w:spacing w:val="-16"/>
                <w:kern w:val="21"/>
                <w:sz w:val="21"/>
                <w:szCs w:val="21"/>
              </w:rPr>
              <w:fldChar w:fldCharType="separate"/>
            </w:r>
            <w:r>
              <w:rPr>
                <w:rFonts w:hint="default" w:ascii="Times New Roman"/>
                <w:kern w:val="2"/>
                <w:sz w:val="21"/>
                <w:szCs w:val="21"/>
              </w:rPr>
              <w:t>⑤</w:t>
            </w:r>
            <w:r>
              <w:rPr>
                <w:rFonts w:hint="default" w:ascii="Times New Roman"/>
                <w:snapToGrid w:val="0"/>
                <w:spacing w:val="-16"/>
                <w:kern w:val="21"/>
                <w:sz w:val="21"/>
                <w:szCs w:val="21"/>
              </w:rPr>
              <w:fldChar w:fldCharType="end"/>
            </w:r>
          </w:p>
        </w:tc>
        <w:tc>
          <w:tcPr>
            <w:tcW w:w="617" w:type="pct"/>
            <w:tcMar>
              <w:left w:w="28" w:type="dxa"/>
              <w:right w:w="28" w:type="dxa"/>
            </w:tcMar>
            <w:vAlign w:val="center"/>
          </w:tcPr>
          <w:p w14:paraId="466A3F26">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16"/>
                <w:kern w:val="21"/>
                <w:sz w:val="21"/>
                <w:szCs w:val="21"/>
              </w:rPr>
            </w:pPr>
            <w:r>
              <w:rPr>
                <w:rFonts w:hint="default" w:ascii="Times New Roman"/>
                <w:snapToGrid w:val="0"/>
                <w:spacing w:val="-16"/>
                <w:kern w:val="21"/>
                <w:sz w:val="21"/>
                <w:szCs w:val="21"/>
              </w:rPr>
              <w:t>本项目建成后</w:t>
            </w:r>
          </w:p>
          <w:p w14:paraId="0485449F">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16"/>
                <w:kern w:val="21"/>
                <w:sz w:val="21"/>
                <w:szCs w:val="21"/>
              </w:rPr>
            </w:pPr>
            <w:r>
              <w:rPr>
                <w:rFonts w:hint="default" w:ascii="Times New Roman"/>
                <w:snapToGrid w:val="0"/>
                <w:spacing w:val="-16"/>
                <w:kern w:val="21"/>
                <w:sz w:val="21"/>
                <w:szCs w:val="21"/>
              </w:rPr>
              <w:t>全厂排放量（固体废物产生量）</w:t>
            </w:r>
            <w:r>
              <w:rPr>
                <w:rFonts w:hint="default" w:ascii="Times New Roman"/>
                <w:snapToGrid w:val="0"/>
                <w:spacing w:val="-16"/>
                <w:kern w:val="21"/>
                <w:sz w:val="21"/>
                <w:szCs w:val="21"/>
              </w:rPr>
              <w:fldChar w:fldCharType="begin"/>
            </w:r>
            <w:r>
              <w:rPr>
                <w:rFonts w:hint="default" w:ascii="Times New Roman"/>
                <w:snapToGrid w:val="0"/>
                <w:spacing w:val="-16"/>
                <w:kern w:val="21"/>
                <w:sz w:val="21"/>
                <w:szCs w:val="21"/>
              </w:rPr>
              <w:instrText xml:space="preserve"> = 6 \* GB3 \* MERGEFORMAT </w:instrText>
            </w:r>
            <w:r>
              <w:rPr>
                <w:rFonts w:hint="default" w:ascii="Times New Roman"/>
                <w:snapToGrid w:val="0"/>
                <w:spacing w:val="-16"/>
                <w:kern w:val="21"/>
                <w:sz w:val="21"/>
                <w:szCs w:val="21"/>
              </w:rPr>
              <w:fldChar w:fldCharType="separate"/>
            </w:r>
            <w:r>
              <w:rPr>
                <w:rFonts w:hint="default" w:ascii="Times New Roman"/>
                <w:kern w:val="2"/>
                <w:sz w:val="21"/>
                <w:szCs w:val="21"/>
              </w:rPr>
              <w:t>⑥</w:t>
            </w:r>
            <w:r>
              <w:rPr>
                <w:rFonts w:hint="default" w:ascii="Times New Roman"/>
                <w:snapToGrid w:val="0"/>
                <w:spacing w:val="-16"/>
                <w:kern w:val="21"/>
                <w:sz w:val="21"/>
                <w:szCs w:val="21"/>
              </w:rPr>
              <w:fldChar w:fldCharType="end"/>
            </w:r>
          </w:p>
        </w:tc>
        <w:tc>
          <w:tcPr>
            <w:tcW w:w="405" w:type="pct"/>
            <w:tcMar>
              <w:left w:w="28" w:type="dxa"/>
              <w:right w:w="28" w:type="dxa"/>
            </w:tcMar>
            <w:vAlign w:val="center"/>
          </w:tcPr>
          <w:p w14:paraId="1AC5790C">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变化量</w:t>
            </w:r>
          </w:p>
          <w:p w14:paraId="66D06FFA">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fldChar w:fldCharType="begin"/>
            </w:r>
            <w:r>
              <w:rPr>
                <w:rFonts w:hint="default" w:ascii="Times New Roman"/>
                <w:snapToGrid w:val="0"/>
                <w:spacing w:val="-6"/>
                <w:kern w:val="21"/>
                <w:sz w:val="21"/>
                <w:szCs w:val="21"/>
              </w:rPr>
              <w:instrText xml:space="preserve"> = 7 \* GB3 \* MERGEFORMAT </w:instrText>
            </w:r>
            <w:r>
              <w:rPr>
                <w:rFonts w:hint="default" w:ascii="Times New Roman"/>
                <w:snapToGrid w:val="0"/>
                <w:spacing w:val="-6"/>
                <w:kern w:val="21"/>
                <w:sz w:val="21"/>
                <w:szCs w:val="21"/>
              </w:rPr>
              <w:fldChar w:fldCharType="separate"/>
            </w:r>
            <w:r>
              <w:rPr>
                <w:rFonts w:hint="default" w:ascii="Times New Roman"/>
                <w:kern w:val="2"/>
                <w:sz w:val="21"/>
                <w:szCs w:val="21"/>
              </w:rPr>
              <w:t>⑦</w:t>
            </w:r>
            <w:r>
              <w:rPr>
                <w:rFonts w:hint="default" w:ascii="Times New Roman"/>
                <w:snapToGrid w:val="0"/>
                <w:spacing w:val="-6"/>
                <w:kern w:val="21"/>
                <w:sz w:val="21"/>
                <w:szCs w:val="21"/>
              </w:rPr>
              <w:fldChar w:fldCharType="end"/>
            </w:r>
          </w:p>
        </w:tc>
      </w:tr>
      <w:tr w14:paraId="1C4C27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restart"/>
            <w:vAlign w:val="center"/>
          </w:tcPr>
          <w:p w14:paraId="34F607C1">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eastAsia" w:ascii="Times New Roman" w:eastAsia="宋体"/>
                <w:snapToGrid w:val="0"/>
                <w:kern w:val="21"/>
                <w:sz w:val="21"/>
                <w:szCs w:val="21"/>
                <w:lang w:val="en-US" w:eastAsia="zh-CN"/>
              </w:rPr>
            </w:pPr>
            <w:r>
              <w:rPr>
                <w:rFonts w:hint="eastAsia" w:ascii="Times New Roman"/>
                <w:snapToGrid w:val="0"/>
                <w:kern w:val="21"/>
                <w:sz w:val="21"/>
                <w:szCs w:val="21"/>
                <w:lang w:val="en-US" w:eastAsia="zh-CN"/>
              </w:rPr>
              <w:t>废气</w:t>
            </w:r>
          </w:p>
        </w:tc>
        <w:tc>
          <w:tcPr>
            <w:tcW w:w="632" w:type="pct"/>
            <w:vAlign w:val="center"/>
          </w:tcPr>
          <w:p w14:paraId="362ABCDE">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r>
              <w:rPr>
                <w:rFonts w:hint="default" w:ascii="Times New Roman"/>
                <w:snapToGrid w:val="0"/>
                <w:kern w:val="21"/>
                <w:sz w:val="21"/>
                <w:szCs w:val="21"/>
              </w:rPr>
              <w:t>颗粒物</w:t>
            </w:r>
          </w:p>
        </w:tc>
        <w:tc>
          <w:tcPr>
            <w:tcW w:w="560" w:type="pct"/>
            <w:vAlign w:val="center"/>
          </w:tcPr>
          <w:p w14:paraId="3637404B">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eastAsia="宋体"/>
                <w:snapToGrid w:val="0"/>
                <w:kern w:val="21"/>
                <w:sz w:val="21"/>
                <w:szCs w:val="21"/>
                <w:lang w:val="en-US" w:eastAsia="zh-CN"/>
              </w:rPr>
            </w:pPr>
            <w:r>
              <w:rPr>
                <w:rFonts w:hint="eastAsia" w:ascii="Times New Roman" w:eastAsia="宋体" w:cs="Times New Roman"/>
                <w:sz w:val="21"/>
                <w:szCs w:val="21"/>
                <w:highlight w:val="none"/>
                <w:u w:val="none"/>
                <w:vertAlign w:val="baseline"/>
                <w:lang w:val="en-US" w:eastAsia="zh-CN"/>
              </w:rPr>
              <w:t>0.352</w:t>
            </w:r>
          </w:p>
        </w:tc>
        <w:tc>
          <w:tcPr>
            <w:tcW w:w="460" w:type="pct"/>
            <w:vAlign w:val="center"/>
          </w:tcPr>
          <w:p w14:paraId="2695F93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eastAsia="宋体"/>
                <w:snapToGrid w:val="0"/>
                <w:kern w:val="21"/>
                <w:szCs w:val="21"/>
                <w:lang w:val="en-US" w:eastAsia="zh-CN"/>
              </w:rPr>
            </w:pPr>
          </w:p>
        </w:tc>
        <w:tc>
          <w:tcPr>
            <w:tcW w:w="614" w:type="pct"/>
            <w:vAlign w:val="center"/>
          </w:tcPr>
          <w:p w14:paraId="7DF98E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17630E64">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0.076</w:t>
            </w:r>
          </w:p>
        </w:tc>
        <w:tc>
          <w:tcPr>
            <w:tcW w:w="636" w:type="pct"/>
            <w:shd w:val="clear" w:color="auto" w:fill="auto"/>
            <w:vAlign w:val="center"/>
          </w:tcPr>
          <w:p w14:paraId="7648FF06">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napToGrid w:val="0"/>
                <w:kern w:val="21"/>
                <w:sz w:val="21"/>
                <w:szCs w:val="21"/>
                <w:lang w:val="en-US" w:eastAsia="zh-CN" w:bidi="ar-SA"/>
              </w:rPr>
            </w:pPr>
            <w:r>
              <w:rPr>
                <w:rFonts w:hint="eastAsia" w:ascii="Times New Roman" w:eastAsia="宋体" w:cs="Times New Roman"/>
                <w:sz w:val="21"/>
                <w:szCs w:val="21"/>
                <w:highlight w:val="none"/>
                <w:u w:val="none"/>
                <w:vertAlign w:val="baseline"/>
                <w:lang w:val="en-US" w:eastAsia="zh-CN"/>
              </w:rPr>
              <w:t>0.352</w:t>
            </w:r>
          </w:p>
        </w:tc>
        <w:tc>
          <w:tcPr>
            <w:tcW w:w="617" w:type="pct"/>
            <w:shd w:val="clear" w:color="auto" w:fill="auto"/>
            <w:vAlign w:val="center"/>
          </w:tcPr>
          <w:p w14:paraId="64B76813">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0.076</w:t>
            </w:r>
          </w:p>
        </w:tc>
        <w:tc>
          <w:tcPr>
            <w:tcW w:w="405" w:type="pct"/>
            <w:vAlign w:val="center"/>
          </w:tcPr>
          <w:p w14:paraId="5B04976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-0.276</w:t>
            </w:r>
          </w:p>
        </w:tc>
      </w:tr>
      <w:tr w14:paraId="28E911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continue"/>
            <w:vAlign w:val="center"/>
          </w:tcPr>
          <w:p w14:paraId="551EBCCF">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vAlign w:val="center"/>
          </w:tcPr>
          <w:p w14:paraId="553AF540">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r>
              <w:rPr>
                <w:rFonts w:hint="default" w:ascii="Times New Roman"/>
                <w:snapToGrid w:val="0"/>
                <w:kern w:val="21"/>
                <w:sz w:val="21"/>
                <w:szCs w:val="21"/>
              </w:rPr>
              <w:t>二氧化硫</w:t>
            </w:r>
          </w:p>
        </w:tc>
        <w:tc>
          <w:tcPr>
            <w:tcW w:w="560" w:type="pct"/>
            <w:vAlign w:val="center"/>
          </w:tcPr>
          <w:p w14:paraId="574CB502">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eastAsia="宋体"/>
                <w:snapToGrid w:val="0"/>
                <w:kern w:val="21"/>
                <w:sz w:val="21"/>
                <w:szCs w:val="21"/>
                <w:lang w:val="en-US" w:eastAsia="zh-CN"/>
              </w:rPr>
            </w:pPr>
            <w:r>
              <w:rPr>
                <w:rFonts w:hint="eastAsia" w:ascii="Times New Roman" w:eastAsia="宋体"/>
                <w:snapToGrid w:val="0"/>
                <w:kern w:val="21"/>
                <w:sz w:val="21"/>
                <w:szCs w:val="21"/>
                <w:lang w:val="en-US" w:eastAsia="zh-CN"/>
              </w:rPr>
              <w:t>0.614</w:t>
            </w:r>
          </w:p>
        </w:tc>
        <w:tc>
          <w:tcPr>
            <w:tcW w:w="460" w:type="pct"/>
            <w:vAlign w:val="center"/>
          </w:tcPr>
          <w:p w14:paraId="5C9C67B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w:t>
            </w:r>
          </w:p>
        </w:tc>
        <w:tc>
          <w:tcPr>
            <w:tcW w:w="614" w:type="pct"/>
            <w:vAlign w:val="center"/>
          </w:tcPr>
          <w:p w14:paraId="42B2EE9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2E0DB01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2.309</w:t>
            </w:r>
          </w:p>
        </w:tc>
        <w:tc>
          <w:tcPr>
            <w:tcW w:w="636" w:type="pct"/>
            <w:shd w:val="clear" w:color="auto" w:fill="auto"/>
            <w:vAlign w:val="center"/>
          </w:tcPr>
          <w:p w14:paraId="07CA2A07">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eastAsia="宋体"/>
                <w:snapToGrid w:val="0"/>
                <w:kern w:val="21"/>
                <w:sz w:val="21"/>
                <w:szCs w:val="21"/>
                <w:lang w:val="en-US" w:eastAsia="zh-CN"/>
              </w:rPr>
              <w:t>0.614</w:t>
            </w:r>
          </w:p>
        </w:tc>
        <w:tc>
          <w:tcPr>
            <w:tcW w:w="617" w:type="pct"/>
            <w:shd w:val="clear" w:color="auto" w:fill="auto"/>
            <w:vAlign w:val="center"/>
          </w:tcPr>
          <w:p w14:paraId="2D03B9C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2.309</w:t>
            </w:r>
          </w:p>
        </w:tc>
        <w:tc>
          <w:tcPr>
            <w:tcW w:w="405" w:type="pct"/>
            <w:vAlign w:val="center"/>
          </w:tcPr>
          <w:p w14:paraId="50C6527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+1.695</w:t>
            </w:r>
          </w:p>
        </w:tc>
      </w:tr>
      <w:tr w14:paraId="31949B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continue"/>
            <w:vAlign w:val="center"/>
          </w:tcPr>
          <w:p w14:paraId="4A0C1787">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vAlign w:val="center"/>
          </w:tcPr>
          <w:p w14:paraId="29678469">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r>
              <w:rPr>
                <w:rFonts w:hint="default" w:ascii="Times New Roman"/>
                <w:snapToGrid w:val="0"/>
                <w:kern w:val="21"/>
                <w:sz w:val="21"/>
                <w:szCs w:val="21"/>
              </w:rPr>
              <w:t>氮氧化物</w:t>
            </w:r>
          </w:p>
        </w:tc>
        <w:tc>
          <w:tcPr>
            <w:tcW w:w="560" w:type="pct"/>
            <w:vAlign w:val="center"/>
          </w:tcPr>
          <w:p w14:paraId="34AC20F1">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eastAsia="宋体"/>
                <w:snapToGrid w:val="0"/>
                <w:kern w:val="21"/>
                <w:sz w:val="21"/>
                <w:szCs w:val="21"/>
                <w:lang w:val="en-US" w:eastAsia="zh-CN"/>
              </w:rPr>
            </w:pPr>
            <w:r>
              <w:rPr>
                <w:rFonts w:hint="eastAsia" w:ascii="Times New Roman" w:eastAsia="宋体"/>
                <w:snapToGrid w:val="0"/>
                <w:kern w:val="21"/>
                <w:sz w:val="21"/>
                <w:szCs w:val="21"/>
                <w:lang w:val="en-US" w:eastAsia="zh-CN"/>
              </w:rPr>
              <w:t>3.205</w:t>
            </w:r>
          </w:p>
        </w:tc>
        <w:tc>
          <w:tcPr>
            <w:tcW w:w="460" w:type="pct"/>
            <w:vAlign w:val="center"/>
          </w:tcPr>
          <w:p w14:paraId="2681552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w:t>
            </w:r>
          </w:p>
        </w:tc>
        <w:tc>
          <w:tcPr>
            <w:tcW w:w="614" w:type="pct"/>
            <w:vAlign w:val="center"/>
          </w:tcPr>
          <w:p w14:paraId="792F4B6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25A77908">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3.464</w:t>
            </w:r>
          </w:p>
        </w:tc>
        <w:tc>
          <w:tcPr>
            <w:tcW w:w="636" w:type="pct"/>
            <w:shd w:val="clear" w:color="auto" w:fill="auto"/>
            <w:vAlign w:val="center"/>
          </w:tcPr>
          <w:p w14:paraId="0156B7F6">
            <w:pPr>
              <w:pStyle w:val="1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kern w:val="21"/>
                <w:sz w:val="21"/>
                <w:szCs w:val="21"/>
                <w:lang w:val="en-US" w:eastAsia="zh-CN" w:bidi="ar-SA"/>
              </w:rPr>
            </w:pPr>
            <w:r>
              <w:rPr>
                <w:rFonts w:hint="eastAsia" w:ascii="Times New Roman" w:eastAsia="宋体"/>
                <w:snapToGrid w:val="0"/>
                <w:kern w:val="21"/>
                <w:sz w:val="21"/>
                <w:szCs w:val="21"/>
                <w:lang w:val="en-US" w:eastAsia="zh-CN"/>
              </w:rPr>
              <w:t>3.205</w:t>
            </w:r>
          </w:p>
        </w:tc>
        <w:tc>
          <w:tcPr>
            <w:tcW w:w="617" w:type="pct"/>
            <w:shd w:val="clear" w:color="auto" w:fill="auto"/>
            <w:vAlign w:val="center"/>
          </w:tcPr>
          <w:p w14:paraId="65069F40">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3.464</w:t>
            </w:r>
          </w:p>
        </w:tc>
        <w:tc>
          <w:tcPr>
            <w:tcW w:w="405" w:type="pct"/>
            <w:vAlign w:val="center"/>
          </w:tcPr>
          <w:p w14:paraId="27754403">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+0.259</w:t>
            </w:r>
          </w:p>
        </w:tc>
      </w:tr>
      <w:tr w14:paraId="3EF0FF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continue"/>
            <w:vAlign w:val="center"/>
          </w:tcPr>
          <w:p w14:paraId="6C8900FC">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vAlign w:val="center"/>
          </w:tcPr>
          <w:p w14:paraId="1EB69C1B">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eastAsia" w:ascii="Times New Roman" w:eastAsia="宋体"/>
                <w:snapToGrid w:val="0"/>
                <w:kern w:val="21"/>
                <w:sz w:val="21"/>
                <w:szCs w:val="21"/>
                <w:lang w:val="en-US" w:eastAsia="zh-CN"/>
              </w:rPr>
            </w:pPr>
            <w:r>
              <w:rPr>
                <w:rFonts w:hint="eastAsia" w:ascii="Times New Roman"/>
                <w:snapToGrid w:val="0"/>
                <w:kern w:val="21"/>
                <w:sz w:val="21"/>
                <w:szCs w:val="21"/>
                <w:lang w:val="en-US" w:eastAsia="zh-CN"/>
              </w:rPr>
              <w:t>油烟</w:t>
            </w:r>
          </w:p>
        </w:tc>
        <w:tc>
          <w:tcPr>
            <w:tcW w:w="560" w:type="pct"/>
            <w:vAlign w:val="center"/>
          </w:tcPr>
          <w:p w14:paraId="40B2105C">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0.078</w:t>
            </w:r>
          </w:p>
        </w:tc>
        <w:tc>
          <w:tcPr>
            <w:tcW w:w="460" w:type="pct"/>
            <w:vAlign w:val="center"/>
          </w:tcPr>
          <w:p w14:paraId="028CE94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614" w:type="pct"/>
            <w:vAlign w:val="center"/>
          </w:tcPr>
          <w:p w14:paraId="5A458D6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0A2D1698">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lang w:val="en-US" w:eastAsia="zh-CN"/>
              </w:rPr>
            </w:pPr>
            <w:r>
              <w:rPr>
                <w:rFonts w:hint="eastAsia" w:ascii="Times New Roman"/>
                <w:snapToGrid w:val="0"/>
                <w:kern w:val="21"/>
                <w:sz w:val="21"/>
                <w:szCs w:val="21"/>
                <w:lang w:val="en-US" w:eastAsia="zh-CN"/>
              </w:rPr>
              <w:t>0.1004</w:t>
            </w:r>
          </w:p>
        </w:tc>
        <w:tc>
          <w:tcPr>
            <w:tcW w:w="636" w:type="pct"/>
            <w:vAlign w:val="center"/>
          </w:tcPr>
          <w:p w14:paraId="150E435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eastAsia="宋体"/>
                <w:snapToGrid w:val="0"/>
                <w:kern w:val="21"/>
                <w:szCs w:val="21"/>
                <w:lang w:val="en-US" w:eastAsia="zh-CN"/>
              </w:rPr>
            </w:pPr>
          </w:p>
        </w:tc>
        <w:tc>
          <w:tcPr>
            <w:tcW w:w="617" w:type="pct"/>
            <w:vAlign w:val="center"/>
          </w:tcPr>
          <w:p w14:paraId="5DA5A63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snapToGrid w:val="0"/>
                <w:kern w:val="21"/>
                <w:szCs w:val="21"/>
                <w:lang w:val="en-US"/>
              </w:rPr>
            </w:pPr>
            <w:r>
              <w:rPr>
                <w:rFonts w:hint="eastAsia"/>
                <w:snapToGrid w:val="0"/>
                <w:kern w:val="21"/>
                <w:szCs w:val="21"/>
                <w:lang w:val="en-US" w:eastAsia="zh-CN"/>
              </w:rPr>
              <w:t>0.1784</w:t>
            </w:r>
          </w:p>
        </w:tc>
        <w:tc>
          <w:tcPr>
            <w:tcW w:w="405" w:type="pct"/>
            <w:vAlign w:val="center"/>
          </w:tcPr>
          <w:p w14:paraId="0826FCB8">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+0.1004</w:t>
            </w:r>
          </w:p>
        </w:tc>
      </w:tr>
      <w:tr w14:paraId="01B5EF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restart"/>
            <w:vAlign w:val="center"/>
          </w:tcPr>
          <w:p w14:paraId="3CB9497C">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r>
              <w:rPr>
                <w:rFonts w:hint="default" w:ascii="Times New Roman"/>
                <w:snapToGrid w:val="0"/>
                <w:kern w:val="21"/>
                <w:sz w:val="21"/>
                <w:szCs w:val="21"/>
              </w:rPr>
              <w:t>废水</w:t>
            </w:r>
          </w:p>
        </w:tc>
        <w:tc>
          <w:tcPr>
            <w:tcW w:w="632" w:type="pct"/>
            <w:vAlign w:val="center"/>
          </w:tcPr>
          <w:p w14:paraId="3C73645A">
            <w:pPr>
              <w:pStyle w:val="48"/>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COD</w:t>
            </w:r>
          </w:p>
        </w:tc>
        <w:tc>
          <w:tcPr>
            <w:tcW w:w="560" w:type="pct"/>
            <w:vAlign w:val="center"/>
          </w:tcPr>
          <w:p w14:paraId="2AD19862">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default" w:ascii="Times New Roman" w:eastAsia="宋体"/>
                <w:snapToGrid w:val="0"/>
                <w:kern w:val="21"/>
                <w:szCs w:val="21"/>
                <w:lang w:val="en-US" w:eastAsia="zh-CN"/>
              </w:rPr>
            </w:pPr>
            <w:r>
              <w:rPr>
                <w:rFonts w:hint="eastAsia" w:ascii="Times New Roman" w:eastAsia="宋体"/>
                <w:snapToGrid w:val="0"/>
                <w:kern w:val="21"/>
                <w:szCs w:val="21"/>
                <w:lang w:val="en-US" w:eastAsia="zh-CN"/>
              </w:rPr>
              <w:t>2.357</w:t>
            </w:r>
          </w:p>
        </w:tc>
        <w:tc>
          <w:tcPr>
            <w:tcW w:w="460" w:type="pct"/>
            <w:vAlign w:val="center"/>
          </w:tcPr>
          <w:p w14:paraId="53B4D18F">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30</w:t>
            </w:r>
          </w:p>
        </w:tc>
        <w:tc>
          <w:tcPr>
            <w:tcW w:w="614" w:type="pct"/>
            <w:vAlign w:val="center"/>
          </w:tcPr>
          <w:p w14:paraId="6F1D5A33">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snapToGrid w:val="0"/>
                <w:kern w:val="21"/>
                <w:szCs w:val="21"/>
              </w:rPr>
            </w:pPr>
          </w:p>
        </w:tc>
        <w:tc>
          <w:tcPr>
            <w:tcW w:w="563" w:type="pct"/>
            <w:vAlign w:val="center"/>
          </w:tcPr>
          <w:p w14:paraId="598EEDD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kern w:val="0"/>
                <w:szCs w:val="21"/>
                <w:lang w:val="en-US" w:eastAsia="zh-CN" w:bidi="ar"/>
              </w:rPr>
            </w:pPr>
            <w:r>
              <w:rPr>
                <w:rFonts w:hint="eastAsia"/>
                <w:kern w:val="0"/>
                <w:szCs w:val="21"/>
                <w:lang w:val="en-US" w:eastAsia="zh-CN" w:bidi="ar"/>
              </w:rPr>
              <w:t>3.458</w:t>
            </w:r>
          </w:p>
        </w:tc>
        <w:tc>
          <w:tcPr>
            <w:tcW w:w="636" w:type="pct"/>
            <w:vAlign w:val="center"/>
          </w:tcPr>
          <w:p w14:paraId="28EC6C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p>
        </w:tc>
        <w:tc>
          <w:tcPr>
            <w:tcW w:w="617" w:type="pct"/>
            <w:vAlign w:val="center"/>
          </w:tcPr>
          <w:p w14:paraId="4AAC2DF7">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default" w:ascii="Times New Roman" w:eastAsia="宋体"/>
                <w:kern w:val="0"/>
                <w:szCs w:val="21"/>
                <w:lang w:val="en-US" w:bidi="ar"/>
              </w:rPr>
            </w:pPr>
            <w:r>
              <w:rPr>
                <w:rFonts w:hint="eastAsia" w:ascii="Times New Roman" w:eastAsia="宋体"/>
                <w:kern w:val="0"/>
                <w:szCs w:val="21"/>
                <w:lang w:val="en-US" w:eastAsia="zh-CN" w:bidi="ar"/>
              </w:rPr>
              <w:t>5.815</w:t>
            </w:r>
          </w:p>
        </w:tc>
        <w:tc>
          <w:tcPr>
            <w:tcW w:w="405" w:type="pct"/>
            <w:shd w:val="clear" w:color="auto" w:fill="auto"/>
            <w:vAlign w:val="center"/>
          </w:tcPr>
          <w:p w14:paraId="7200358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0"/>
                <w:sz w:val="21"/>
                <w:szCs w:val="21"/>
                <w:lang w:val="en-US" w:eastAsia="zh-CN" w:bidi="ar"/>
              </w:rPr>
            </w:pPr>
            <w:r>
              <w:rPr>
                <w:rFonts w:hint="eastAsia"/>
                <w:kern w:val="0"/>
                <w:szCs w:val="21"/>
                <w:lang w:val="en-US" w:eastAsia="zh-CN" w:bidi="ar"/>
              </w:rPr>
              <w:t>+3.458</w:t>
            </w:r>
          </w:p>
        </w:tc>
      </w:tr>
      <w:tr w14:paraId="1EAA1F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continue"/>
            <w:vAlign w:val="center"/>
          </w:tcPr>
          <w:p w14:paraId="33A3176D">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vAlign w:val="center"/>
          </w:tcPr>
          <w:p w14:paraId="06D91EB3">
            <w:pPr>
              <w:pStyle w:val="48"/>
              <w:keepNext w:val="0"/>
              <w:keepLines w:val="0"/>
              <w:pageBreakBefore w:val="0"/>
              <w:widowControl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spacing w:val="-6"/>
                <w:kern w:val="21"/>
                <w:sz w:val="21"/>
                <w:szCs w:val="21"/>
              </w:rPr>
            </w:pPr>
            <w:r>
              <w:rPr>
                <w:rFonts w:hint="default" w:ascii="Times New Roman"/>
                <w:snapToGrid w:val="0"/>
                <w:spacing w:val="-6"/>
                <w:kern w:val="21"/>
                <w:sz w:val="21"/>
                <w:szCs w:val="21"/>
              </w:rPr>
              <w:t>氨氮</w:t>
            </w:r>
          </w:p>
        </w:tc>
        <w:tc>
          <w:tcPr>
            <w:tcW w:w="560" w:type="pct"/>
            <w:vAlign w:val="center"/>
          </w:tcPr>
          <w:p w14:paraId="2C4BDEE2">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default" w:ascii="Times New Roman" w:eastAsia="宋体"/>
                <w:snapToGrid w:val="0"/>
                <w:kern w:val="21"/>
                <w:szCs w:val="21"/>
                <w:lang w:val="en-US" w:eastAsia="zh-CN"/>
              </w:rPr>
            </w:pPr>
            <w:r>
              <w:rPr>
                <w:rFonts w:hint="eastAsia" w:ascii="Times New Roman" w:eastAsia="宋体"/>
                <w:snapToGrid w:val="0"/>
                <w:kern w:val="21"/>
                <w:szCs w:val="21"/>
                <w:lang w:val="en-US" w:eastAsia="zh-CN"/>
              </w:rPr>
              <w:t>0.236</w:t>
            </w:r>
          </w:p>
        </w:tc>
        <w:tc>
          <w:tcPr>
            <w:tcW w:w="460" w:type="pct"/>
            <w:vAlign w:val="center"/>
          </w:tcPr>
          <w:p w14:paraId="01F10D8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4</w:t>
            </w:r>
          </w:p>
        </w:tc>
        <w:tc>
          <w:tcPr>
            <w:tcW w:w="614" w:type="pct"/>
            <w:vAlign w:val="center"/>
          </w:tcPr>
          <w:p w14:paraId="5020DA1E">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center"/>
              <w:rPr>
                <w:rFonts w:hint="default"/>
                <w:snapToGrid w:val="0"/>
                <w:kern w:val="21"/>
                <w:szCs w:val="21"/>
              </w:rPr>
            </w:pPr>
          </w:p>
        </w:tc>
        <w:tc>
          <w:tcPr>
            <w:tcW w:w="563" w:type="pct"/>
            <w:vAlign w:val="center"/>
          </w:tcPr>
          <w:p w14:paraId="209145C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kern w:val="0"/>
                <w:szCs w:val="21"/>
                <w:lang w:val="en-US" w:eastAsia="zh-CN" w:bidi="ar"/>
              </w:rPr>
            </w:pPr>
            <w:r>
              <w:rPr>
                <w:rFonts w:hint="eastAsia"/>
                <w:kern w:val="0"/>
                <w:szCs w:val="21"/>
                <w:lang w:val="en-US" w:eastAsia="zh-CN" w:bidi="ar"/>
              </w:rPr>
              <w:t>0.346</w:t>
            </w:r>
          </w:p>
        </w:tc>
        <w:tc>
          <w:tcPr>
            <w:tcW w:w="636" w:type="pct"/>
            <w:vAlign w:val="center"/>
          </w:tcPr>
          <w:p w14:paraId="613098A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p>
        </w:tc>
        <w:tc>
          <w:tcPr>
            <w:tcW w:w="617" w:type="pct"/>
            <w:vAlign w:val="center"/>
          </w:tcPr>
          <w:p w14:paraId="5774BE68">
            <w:pPr>
              <w:pStyle w:val="19"/>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rPr>
                <w:rFonts w:hint="default" w:ascii="Times New Roman" w:eastAsia="宋体"/>
                <w:kern w:val="0"/>
                <w:szCs w:val="21"/>
                <w:lang w:val="en-US" w:bidi="ar"/>
              </w:rPr>
            </w:pPr>
            <w:r>
              <w:rPr>
                <w:rFonts w:hint="eastAsia" w:ascii="Times New Roman" w:eastAsia="宋体"/>
                <w:kern w:val="0"/>
                <w:szCs w:val="21"/>
                <w:lang w:val="en-US" w:eastAsia="zh-CN" w:bidi="ar"/>
              </w:rPr>
              <w:t>0.582</w:t>
            </w:r>
          </w:p>
        </w:tc>
        <w:tc>
          <w:tcPr>
            <w:tcW w:w="405" w:type="pct"/>
            <w:shd w:val="clear" w:color="auto" w:fill="auto"/>
            <w:vAlign w:val="center"/>
          </w:tcPr>
          <w:p w14:paraId="0F18535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0"/>
                <w:sz w:val="21"/>
                <w:szCs w:val="21"/>
                <w:lang w:val="en-US" w:eastAsia="zh-CN" w:bidi="ar"/>
              </w:rPr>
            </w:pPr>
            <w:r>
              <w:rPr>
                <w:rFonts w:hint="eastAsia"/>
                <w:kern w:val="0"/>
                <w:szCs w:val="21"/>
                <w:lang w:val="en-US" w:eastAsia="zh-CN" w:bidi="ar"/>
              </w:rPr>
              <w:t>+0.346</w:t>
            </w:r>
          </w:p>
        </w:tc>
      </w:tr>
      <w:tr w14:paraId="00DF5E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restart"/>
            <w:vAlign w:val="center"/>
          </w:tcPr>
          <w:p w14:paraId="37591A9E">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r>
              <w:rPr>
                <w:rFonts w:hint="default" w:ascii="Times New Roman"/>
                <w:snapToGrid w:val="0"/>
                <w:kern w:val="21"/>
                <w:sz w:val="21"/>
                <w:szCs w:val="21"/>
              </w:rPr>
              <w:t>固体废物</w:t>
            </w:r>
          </w:p>
        </w:tc>
        <w:tc>
          <w:tcPr>
            <w:tcW w:w="632" w:type="pct"/>
            <w:vAlign w:val="center"/>
          </w:tcPr>
          <w:p w14:paraId="54C1DCAC">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kern w:val="2"/>
                <w:sz w:val="21"/>
                <w:szCs w:val="24"/>
                <w:lang w:val="en-US" w:eastAsia="zh-CN" w:bidi="ar-SA"/>
              </w:rPr>
            </w:pPr>
            <w:r>
              <w:rPr>
                <w:rFonts w:hint="eastAsia"/>
                <w:snapToGrid w:val="0"/>
                <w:kern w:val="21"/>
                <w:szCs w:val="21"/>
                <w:lang w:val="en-US" w:eastAsia="zh-CN"/>
              </w:rPr>
              <w:t>生产固废</w:t>
            </w:r>
          </w:p>
        </w:tc>
        <w:tc>
          <w:tcPr>
            <w:tcW w:w="560" w:type="pct"/>
            <w:vAlign w:val="center"/>
          </w:tcPr>
          <w:p w14:paraId="11F24A48">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758.6</w:t>
            </w:r>
          </w:p>
        </w:tc>
        <w:tc>
          <w:tcPr>
            <w:tcW w:w="460" w:type="pct"/>
            <w:vAlign w:val="center"/>
          </w:tcPr>
          <w:p w14:paraId="2B433867">
            <w:pPr>
              <w:keepNext w:val="0"/>
              <w:keepLines w:val="0"/>
              <w:pageBreakBefore w:val="0"/>
              <w:widowControl/>
              <w:suppressLineNumbers w:val="0"/>
              <w:tabs>
                <w:tab w:val="left" w:pos="447"/>
              </w:tabs>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rPr>
                <w:rFonts w:hint="eastAsia" w:eastAsia="宋体"/>
                <w:snapToGrid w:val="0"/>
                <w:kern w:val="21"/>
                <w:szCs w:val="21"/>
                <w:lang w:eastAsia="zh-CN"/>
              </w:rPr>
            </w:pPr>
          </w:p>
        </w:tc>
        <w:tc>
          <w:tcPr>
            <w:tcW w:w="614" w:type="pct"/>
            <w:vAlign w:val="center"/>
          </w:tcPr>
          <w:p w14:paraId="128173F8">
            <w:pPr>
              <w:keepNext w:val="0"/>
              <w:keepLines w:val="0"/>
              <w:pageBreakBefore w:val="0"/>
              <w:widowControl/>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158CAD5E">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1153.572</w:t>
            </w:r>
          </w:p>
        </w:tc>
        <w:tc>
          <w:tcPr>
            <w:tcW w:w="636" w:type="pct"/>
            <w:vAlign w:val="center"/>
          </w:tcPr>
          <w:p w14:paraId="2693610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p>
        </w:tc>
        <w:tc>
          <w:tcPr>
            <w:tcW w:w="617" w:type="pct"/>
            <w:vAlign w:val="center"/>
          </w:tcPr>
          <w:p w14:paraId="03F6180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kern w:val="2"/>
                <w:sz w:val="21"/>
                <w:szCs w:val="24"/>
                <w:lang w:val="en-US" w:eastAsia="zh-CN" w:bidi="ar-SA"/>
              </w:rPr>
            </w:pPr>
            <w:r>
              <w:rPr>
                <w:rFonts w:hint="eastAsia"/>
                <w:snapToGrid w:val="0"/>
                <w:kern w:val="21"/>
                <w:szCs w:val="21"/>
                <w:lang w:val="en-US" w:eastAsia="zh-CN"/>
              </w:rPr>
              <w:t>1912.172</w:t>
            </w:r>
          </w:p>
        </w:tc>
        <w:tc>
          <w:tcPr>
            <w:tcW w:w="405" w:type="pct"/>
            <w:shd w:val="clear" w:color="auto" w:fill="auto"/>
            <w:vAlign w:val="center"/>
          </w:tcPr>
          <w:p w14:paraId="753A021A">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+1153.572</w:t>
            </w:r>
          </w:p>
        </w:tc>
      </w:tr>
      <w:tr w14:paraId="309D47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continue"/>
            <w:vAlign w:val="center"/>
          </w:tcPr>
          <w:p w14:paraId="18F122ED">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vAlign w:val="center"/>
          </w:tcPr>
          <w:p w14:paraId="3E266FD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lang w:val="en-US" w:eastAsia="zh-CN"/>
              </w:rPr>
            </w:pPr>
            <w:r>
              <w:rPr>
                <w:rFonts w:hint="eastAsia"/>
                <w:snapToGrid w:val="0"/>
                <w:kern w:val="21"/>
                <w:szCs w:val="21"/>
                <w:lang w:val="en-US" w:eastAsia="zh-CN"/>
              </w:rPr>
              <w:t>生活垃圾</w:t>
            </w:r>
          </w:p>
        </w:tc>
        <w:tc>
          <w:tcPr>
            <w:tcW w:w="560" w:type="pct"/>
            <w:vAlign w:val="center"/>
          </w:tcPr>
          <w:p w14:paraId="109DFFD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24.62</w:t>
            </w:r>
          </w:p>
        </w:tc>
        <w:tc>
          <w:tcPr>
            <w:tcW w:w="460" w:type="pct"/>
            <w:vAlign w:val="center"/>
          </w:tcPr>
          <w:p w14:paraId="5408659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614" w:type="pct"/>
            <w:vAlign w:val="center"/>
          </w:tcPr>
          <w:p w14:paraId="2460205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50727A14">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10.6</w:t>
            </w:r>
          </w:p>
        </w:tc>
        <w:tc>
          <w:tcPr>
            <w:tcW w:w="636" w:type="pct"/>
            <w:vAlign w:val="center"/>
          </w:tcPr>
          <w:p w14:paraId="69C1F82B">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eastAsia="宋体"/>
                <w:snapToGrid w:val="0"/>
                <w:kern w:val="21"/>
                <w:szCs w:val="21"/>
                <w:lang w:val="en-US" w:eastAsia="zh-CN"/>
              </w:rPr>
            </w:pPr>
          </w:p>
        </w:tc>
        <w:tc>
          <w:tcPr>
            <w:tcW w:w="617" w:type="pct"/>
            <w:vAlign w:val="center"/>
          </w:tcPr>
          <w:p w14:paraId="07E6B3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35.22</w:t>
            </w:r>
          </w:p>
        </w:tc>
        <w:tc>
          <w:tcPr>
            <w:tcW w:w="405" w:type="pct"/>
            <w:shd w:val="clear" w:color="auto" w:fill="auto"/>
            <w:vAlign w:val="center"/>
          </w:tcPr>
          <w:p w14:paraId="6CBB5D8A">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eastAsia"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+10.6</w:t>
            </w:r>
          </w:p>
        </w:tc>
      </w:tr>
      <w:tr w14:paraId="1124CC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507" w:type="pct"/>
            <w:vMerge w:val="continue"/>
            <w:vAlign w:val="center"/>
          </w:tcPr>
          <w:p w14:paraId="3BDCFC3C">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shd w:val="clear" w:color="auto" w:fill="auto"/>
            <w:vAlign w:val="center"/>
          </w:tcPr>
          <w:p w14:paraId="788F8A2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snapToGrid w:val="0"/>
                <w:kern w:val="21"/>
                <w:sz w:val="21"/>
                <w:szCs w:val="21"/>
                <w:lang w:val="en-US" w:eastAsia="zh-CN" w:bidi="ar-SA"/>
              </w:rPr>
            </w:pPr>
            <w:r>
              <w:rPr>
                <w:rFonts w:hint="default"/>
                <w:snapToGrid w:val="0"/>
                <w:kern w:val="21"/>
                <w:szCs w:val="21"/>
              </w:rPr>
              <w:t>废润滑油</w:t>
            </w:r>
          </w:p>
        </w:tc>
        <w:tc>
          <w:tcPr>
            <w:tcW w:w="560" w:type="pct"/>
            <w:shd w:val="clear" w:color="auto" w:fill="auto"/>
            <w:vAlign w:val="center"/>
          </w:tcPr>
          <w:p w14:paraId="78E332E5">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0.1</w:t>
            </w:r>
          </w:p>
        </w:tc>
        <w:tc>
          <w:tcPr>
            <w:tcW w:w="460" w:type="pct"/>
            <w:shd w:val="clear" w:color="auto" w:fill="auto"/>
            <w:vAlign w:val="center"/>
          </w:tcPr>
          <w:p w14:paraId="2DFB24E4">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p>
        </w:tc>
        <w:tc>
          <w:tcPr>
            <w:tcW w:w="614" w:type="pct"/>
            <w:shd w:val="clear" w:color="auto" w:fill="auto"/>
            <w:vAlign w:val="center"/>
          </w:tcPr>
          <w:p w14:paraId="592E667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p>
        </w:tc>
        <w:tc>
          <w:tcPr>
            <w:tcW w:w="563" w:type="pct"/>
            <w:shd w:val="clear" w:color="auto" w:fill="auto"/>
            <w:vAlign w:val="center"/>
          </w:tcPr>
          <w:p w14:paraId="5AA0559A">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0.1</w:t>
            </w:r>
          </w:p>
        </w:tc>
        <w:tc>
          <w:tcPr>
            <w:tcW w:w="636" w:type="pct"/>
            <w:vAlign w:val="center"/>
          </w:tcPr>
          <w:p w14:paraId="527FB5E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eastAsia="宋体"/>
                <w:snapToGrid w:val="0"/>
                <w:kern w:val="21"/>
                <w:szCs w:val="21"/>
                <w:lang w:val="en-US" w:eastAsia="zh-CN"/>
              </w:rPr>
            </w:pPr>
          </w:p>
        </w:tc>
        <w:tc>
          <w:tcPr>
            <w:tcW w:w="617" w:type="pct"/>
            <w:vAlign w:val="center"/>
          </w:tcPr>
          <w:p w14:paraId="0B7C594D">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0.2</w:t>
            </w:r>
          </w:p>
        </w:tc>
        <w:tc>
          <w:tcPr>
            <w:tcW w:w="405" w:type="pct"/>
            <w:shd w:val="clear" w:color="auto" w:fill="auto"/>
            <w:vAlign w:val="center"/>
          </w:tcPr>
          <w:p w14:paraId="2E8668C2">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+0.1</w:t>
            </w:r>
          </w:p>
        </w:tc>
      </w:tr>
      <w:tr w14:paraId="72E32C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continue"/>
            <w:vAlign w:val="center"/>
          </w:tcPr>
          <w:p w14:paraId="0437A41E">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vAlign w:val="center"/>
          </w:tcPr>
          <w:p w14:paraId="1C499BB2">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r>
              <w:rPr>
                <w:rFonts w:hint="default" w:ascii="Times New Roman"/>
                <w:sz w:val="21"/>
                <w:szCs w:val="21"/>
              </w:rPr>
              <w:t>废含油抹布手套</w:t>
            </w:r>
          </w:p>
        </w:tc>
        <w:tc>
          <w:tcPr>
            <w:tcW w:w="560" w:type="pct"/>
            <w:vAlign w:val="center"/>
          </w:tcPr>
          <w:p w14:paraId="1C6FD70E">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0.005</w:t>
            </w:r>
          </w:p>
        </w:tc>
        <w:tc>
          <w:tcPr>
            <w:tcW w:w="460" w:type="pct"/>
            <w:vAlign w:val="center"/>
          </w:tcPr>
          <w:p w14:paraId="2F296E2C">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614" w:type="pct"/>
            <w:vAlign w:val="center"/>
          </w:tcPr>
          <w:p w14:paraId="66753442">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723B93E6">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eastAsia="宋体"/>
                <w:snapToGrid w:val="0"/>
                <w:kern w:val="21"/>
                <w:sz w:val="21"/>
                <w:szCs w:val="21"/>
                <w:lang w:val="en-US" w:eastAsia="zh-CN"/>
              </w:rPr>
            </w:pPr>
            <w:r>
              <w:rPr>
                <w:rFonts w:hint="eastAsia" w:ascii="Times New Roman"/>
                <w:snapToGrid w:val="0"/>
                <w:kern w:val="21"/>
                <w:sz w:val="21"/>
                <w:szCs w:val="21"/>
                <w:lang w:val="en-US" w:eastAsia="zh-CN"/>
              </w:rPr>
              <w:t>0.005</w:t>
            </w:r>
          </w:p>
        </w:tc>
        <w:tc>
          <w:tcPr>
            <w:tcW w:w="636" w:type="pct"/>
            <w:vAlign w:val="center"/>
          </w:tcPr>
          <w:p w14:paraId="5C7E8C99">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eastAsia="宋体"/>
                <w:snapToGrid w:val="0"/>
                <w:kern w:val="21"/>
                <w:szCs w:val="21"/>
                <w:lang w:val="en-US" w:eastAsia="zh-CN"/>
              </w:rPr>
            </w:pPr>
          </w:p>
        </w:tc>
        <w:tc>
          <w:tcPr>
            <w:tcW w:w="617" w:type="pct"/>
            <w:vAlign w:val="center"/>
          </w:tcPr>
          <w:p w14:paraId="1FCD7050">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0.01</w:t>
            </w:r>
          </w:p>
        </w:tc>
        <w:tc>
          <w:tcPr>
            <w:tcW w:w="405" w:type="pct"/>
            <w:shd w:val="clear" w:color="auto" w:fill="auto"/>
            <w:vAlign w:val="center"/>
          </w:tcPr>
          <w:p w14:paraId="0FAF6834">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+0.005</w:t>
            </w:r>
          </w:p>
        </w:tc>
      </w:tr>
      <w:tr w14:paraId="206E30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7" w:type="pct"/>
            <w:vMerge w:val="continue"/>
            <w:vAlign w:val="center"/>
          </w:tcPr>
          <w:p w14:paraId="09142DD0">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rPr>
            </w:pPr>
          </w:p>
        </w:tc>
        <w:tc>
          <w:tcPr>
            <w:tcW w:w="632" w:type="pct"/>
            <w:vAlign w:val="center"/>
          </w:tcPr>
          <w:p w14:paraId="3D78842F">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eastAsia" w:ascii="Times New Roman" w:eastAsia="宋体"/>
                <w:sz w:val="21"/>
                <w:szCs w:val="21"/>
                <w:lang w:val="en-US" w:eastAsia="zh-CN"/>
              </w:rPr>
            </w:pPr>
            <w:r>
              <w:rPr>
                <w:rFonts w:hint="eastAsia" w:ascii="Times New Roman"/>
                <w:sz w:val="21"/>
                <w:szCs w:val="21"/>
                <w:lang w:val="en-US" w:eastAsia="zh-CN"/>
              </w:rPr>
              <w:t>废油桶</w:t>
            </w:r>
          </w:p>
        </w:tc>
        <w:tc>
          <w:tcPr>
            <w:tcW w:w="560" w:type="pct"/>
            <w:vAlign w:val="center"/>
          </w:tcPr>
          <w:p w14:paraId="3E93993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lang w:val="en-US" w:eastAsia="zh-CN"/>
              </w:rPr>
            </w:pPr>
            <w:r>
              <w:rPr>
                <w:rFonts w:hint="eastAsia"/>
                <w:snapToGrid w:val="0"/>
                <w:kern w:val="21"/>
                <w:szCs w:val="21"/>
                <w:lang w:val="en-US" w:eastAsia="zh-CN"/>
              </w:rPr>
              <w:t>0.06</w:t>
            </w:r>
          </w:p>
        </w:tc>
        <w:tc>
          <w:tcPr>
            <w:tcW w:w="460" w:type="pct"/>
            <w:vAlign w:val="center"/>
          </w:tcPr>
          <w:p w14:paraId="6204C736">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614" w:type="pct"/>
            <w:vAlign w:val="center"/>
          </w:tcPr>
          <w:p w14:paraId="5744E9B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snapToGrid w:val="0"/>
                <w:kern w:val="21"/>
                <w:szCs w:val="21"/>
              </w:rPr>
            </w:pPr>
          </w:p>
        </w:tc>
        <w:tc>
          <w:tcPr>
            <w:tcW w:w="563" w:type="pct"/>
            <w:vAlign w:val="center"/>
          </w:tcPr>
          <w:p w14:paraId="12DE9370">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snapToGrid w:val="0"/>
                <w:kern w:val="21"/>
                <w:sz w:val="21"/>
                <w:szCs w:val="21"/>
                <w:lang w:val="en-US" w:eastAsia="zh-CN"/>
              </w:rPr>
            </w:pPr>
            <w:r>
              <w:rPr>
                <w:rFonts w:hint="eastAsia" w:ascii="Times New Roman"/>
                <w:snapToGrid w:val="0"/>
                <w:kern w:val="21"/>
                <w:sz w:val="21"/>
                <w:szCs w:val="21"/>
                <w:lang w:val="en-US" w:eastAsia="zh-CN"/>
              </w:rPr>
              <w:t>0.06</w:t>
            </w:r>
          </w:p>
        </w:tc>
        <w:tc>
          <w:tcPr>
            <w:tcW w:w="636" w:type="pct"/>
            <w:vAlign w:val="center"/>
          </w:tcPr>
          <w:p w14:paraId="7450D818">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eastAsia" w:eastAsia="宋体"/>
                <w:snapToGrid w:val="0"/>
                <w:kern w:val="21"/>
                <w:szCs w:val="21"/>
                <w:lang w:val="en-US" w:eastAsia="zh-CN"/>
              </w:rPr>
            </w:pPr>
          </w:p>
        </w:tc>
        <w:tc>
          <w:tcPr>
            <w:tcW w:w="617" w:type="pct"/>
            <w:vAlign w:val="center"/>
          </w:tcPr>
          <w:p w14:paraId="598E5CA1">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rPr>
                <w:rFonts w:hint="default" w:eastAsia="宋体"/>
                <w:snapToGrid w:val="0"/>
                <w:kern w:val="21"/>
                <w:szCs w:val="21"/>
                <w:lang w:val="en-US" w:eastAsia="zh-CN"/>
              </w:rPr>
            </w:pPr>
            <w:r>
              <w:rPr>
                <w:rFonts w:hint="eastAsia"/>
                <w:snapToGrid w:val="0"/>
                <w:kern w:val="21"/>
                <w:szCs w:val="21"/>
                <w:lang w:val="en-US" w:eastAsia="zh-CN"/>
              </w:rPr>
              <w:t>0.12</w:t>
            </w:r>
          </w:p>
        </w:tc>
        <w:tc>
          <w:tcPr>
            <w:tcW w:w="405" w:type="pct"/>
            <w:shd w:val="clear" w:color="auto" w:fill="auto"/>
            <w:vAlign w:val="center"/>
          </w:tcPr>
          <w:p w14:paraId="5EAB7170">
            <w:pPr>
              <w:pStyle w:val="48"/>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firstLine="0" w:firstLineChars="0"/>
              <w:jc w:val="center"/>
              <w:rPr>
                <w:rFonts w:hint="default" w:ascii="Times New Roman" w:hAnsi="Times New Roman" w:eastAsia="宋体" w:cs="Times New Roman"/>
                <w:snapToGrid w:val="0"/>
                <w:kern w:val="21"/>
                <w:sz w:val="21"/>
                <w:szCs w:val="21"/>
                <w:lang w:val="en-US" w:eastAsia="zh-CN" w:bidi="ar-SA"/>
              </w:rPr>
            </w:pPr>
            <w:r>
              <w:rPr>
                <w:rFonts w:hint="eastAsia" w:ascii="Times New Roman"/>
                <w:snapToGrid w:val="0"/>
                <w:kern w:val="21"/>
                <w:sz w:val="21"/>
                <w:szCs w:val="21"/>
                <w:lang w:val="en-US" w:eastAsia="zh-CN"/>
              </w:rPr>
              <w:t>+0.06</w:t>
            </w:r>
          </w:p>
        </w:tc>
      </w:tr>
    </w:tbl>
    <w:p w14:paraId="5E08F19E">
      <w:pPr>
        <w:pStyle w:val="48"/>
        <w:spacing w:before="192" w:beforeLines="80" w:after="24"/>
        <w:jc w:val="left"/>
        <w:rPr>
          <w:rFonts w:ascii="Times New Roman"/>
          <w:snapToGrid w:val="0"/>
          <w:spacing w:val="-6"/>
          <w:kern w:val="21"/>
          <w:sz w:val="21"/>
          <w:szCs w:val="21"/>
        </w:rPr>
      </w:pPr>
      <w:r>
        <w:rPr>
          <w:rFonts w:ascii="Times New Roman"/>
          <w:snapToGrid w:val="0"/>
          <w:kern w:val="21"/>
          <w:sz w:val="21"/>
          <w:szCs w:val="21"/>
        </w:rPr>
        <w:t>注：</w:t>
      </w:r>
      <w:r>
        <w:rPr>
          <w:rFonts w:ascii="Times New Roman"/>
          <w:snapToGrid w:val="0"/>
          <w:spacing w:val="-16"/>
          <w:kern w:val="21"/>
          <w:sz w:val="21"/>
          <w:szCs w:val="21"/>
        </w:rPr>
        <w:fldChar w:fldCharType="begin"/>
      </w:r>
      <w:r>
        <w:rPr>
          <w:rFonts w:ascii="Times New Roman"/>
          <w:snapToGrid w:val="0"/>
          <w:spacing w:val="-16"/>
          <w:kern w:val="21"/>
          <w:sz w:val="21"/>
          <w:szCs w:val="21"/>
        </w:rPr>
        <w:instrText xml:space="preserve"> = 6 \* GB3 \* MERGEFORMAT </w:instrText>
      </w:r>
      <w:r>
        <w:rPr>
          <w:rFonts w:ascii="Times New Roman"/>
          <w:snapToGrid w:val="0"/>
          <w:spacing w:val="-16"/>
          <w:kern w:val="21"/>
          <w:sz w:val="21"/>
          <w:szCs w:val="21"/>
        </w:rPr>
        <w:fldChar w:fldCharType="separate"/>
      </w:r>
      <w:r>
        <w:rPr>
          <w:rFonts w:ascii="Times New Roman"/>
          <w:sz w:val="21"/>
          <w:szCs w:val="21"/>
        </w:rPr>
        <w:t>⑥</w:t>
      </w:r>
      <w:r>
        <w:rPr>
          <w:rFonts w:ascii="Times New Roman"/>
          <w:snapToGrid w:val="0"/>
          <w:spacing w:val="-16"/>
          <w:kern w:val="21"/>
          <w:sz w:val="21"/>
          <w:szCs w:val="21"/>
        </w:rPr>
        <w:fldChar w:fldCharType="end"/>
      </w:r>
      <w:r>
        <w:rPr>
          <w:rFonts w:ascii="Times New Roman"/>
          <w:snapToGrid w:val="0"/>
          <w:spacing w:val="-16"/>
          <w:kern w:val="21"/>
          <w:sz w:val="21"/>
          <w:szCs w:val="21"/>
        </w:rPr>
        <w:t>=</w:t>
      </w:r>
      <w:r>
        <w:rPr>
          <w:rFonts w:ascii="Times New Roman"/>
          <w:snapToGrid w:val="0"/>
          <w:spacing w:val="-6"/>
          <w:kern w:val="21"/>
          <w:sz w:val="21"/>
          <w:szCs w:val="21"/>
        </w:rPr>
        <w:fldChar w:fldCharType="begin"/>
      </w:r>
      <w:r>
        <w:rPr>
          <w:rFonts w:ascii="Times New Roman"/>
          <w:snapToGrid w:val="0"/>
          <w:spacing w:val="-6"/>
          <w:kern w:val="21"/>
          <w:sz w:val="21"/>
          <w:szCs w:val="21"/>
        </w:rPr>
        <w:instrText xml:space="preserve"> = 1 \* GB3 \* MERGEFORMAT </w:instrText>
      </w:r>
      <w:r>
        <w:rPr>
          <w:rFonts w:ascii="Times New Roman"/>
          <w:snapToGrid w:val="0"/>
          <w:spacing w:val="-6"/>
          <w:kern w:val="21"/>
          <w:sz w:val="21"/>
          <w:szCs w:val="21"/>
        </w:rPr>
        <w:fldChar w:fldCharType="separate"/>
      </w:r>
      <w:r>
        <w:rPr>
          <w:rFonts w:ascii="Times New Roman"/>
          <w:sz w:val="21"/>
          <w:szCs w:val="21"/>
        </w:rPr>
        <w:t>①</w:t>
      </w:r>
      <w:r>
        <w:rPr>
          <w:rFonts w:ascii="Times New Roman"/>
          <w:snapToGrid w:val="0"/>
          <w:spacing w:val="-6"/>
          <w:kern w:val="21"/>
          <w:sz w:val="21"/>
          <w:szCs w:val="21"/>
        </w:rPr>
        <w:fldChar w:fldCharType="end"/>
      </w:r>
      <w:r>
        <w:rPr>
          <w:rFonts w:ascii="Times New Roman"/>
          <w:snapToGrid w:val="0"/>
          <w:spacing w:val="-6"/>
          <w:kern w:val="21"/>
          <w:sz w:val="21"/>
          <w:szCs w:val="21"/>
        </w:rPr>
        <w:t>+</w:t>
      </w:r>
      <w:r>
        <w:rPr>
          <w:rFonts w:ascii="Times New Roman"/>
          <w:snapToGrid w:val="0"/>
          <w:spacing w:val="-6"/>
          <w:kern w:val="21"/>
          <w:sz w:val="21"/>
          <w:szCs w:val="21"/>
        </w:rPr>
        <w:fldChar w:fldCharType="begin"/>
      </w:r>
      <w:r>
        <w:rPr>
          <w:rFonts w:ascii="Times New Roman"/>
          <w:snapToGrid w:val="0"/>
          <w:spacing w:val="-6"/>
          <w:kern w:val="21"/>
          <w:sz w:val="21"/>
          <w:szCs w:val="21"/>
        </w:rPr>
        <w:instrText xml:space="preserve"> = 3 \* GB3 \* MERGEFORMAT </w:instrText>
      </w:r>
      <w:r>
        <w:rPr>
          <w:rFonts w:ascii="Times New Roman"/>
          <w:snapToGrid w:val="0"/>
          <w:spacing w:val="-6"/>
          <w:kern w:val="21"/>
          <w:sz w:val="21"/>
          <w:szCs w:val="21"/>
        </w:rPr>
        <w:fldChar w:fldCharType="separate"/>
      </w:r>
      <w:r>
        <w:rPr>
          <w:rFonts w:ascii="Times New Roman"/>
          <w:sz w:val="21"/>
          <w:szCs w:val="21"/>
        </w:rPr>
        <w:t>③</w:t>
      </w:r>
      <w:r>
        <w:rPr>
          <w:rFonts w:ascii="Times New Roman"/>
          <w:snapToGrid w:val="0"/>
          <w:spacing w:val="-6"/>
          <w:kern w:val="21"/>
          <w:sz w:val="21"/>
          <w:szCs w:val="21"/>
        </w:rPr>
        <w:fldChar w:fldCharType="end"/>
      </w:r>
      <w:r>
        <w:rPr>
          <w:rFonts w:ascii="Times New Roman"/>
          <w:snapToGrid w:val="0"/>
          <w:spacing w:val="-6"/>
          <w:kern w:val="21"/>
          <w:sz w:val="21"/>
          <w:szCs w:val="21"/>
        </w:rPr>
        <w:t>+</w:t>
      </w:r>
      <w:r>
        <w:rPr>
          <w:rFonts w:ascii="Times New Roman"/>
          <w:snapToGrid w:val="0"/>
          <w:spacing w:val="-6"/>
          <w:kern w:val="21"/>
          <w:sz w:val="21"/>
          <w:szCs w:val="21"/>
        </w:rPr>
        <w:fldChar w:fldCharType="begin"/>
      </w:r>
      <w:r>
        <w:rPr>
          <w:rFonts w:ascii="Times New Roman"/>
          <w:snapToGrid w:val="0"/>
          <w:spacing w:val="-6"/>
          <w:kern w:val="21"/>
          <w:sz w:val="21"/>
          <w:szCs w:val="21"/>
        </w:rPr>
        <w:instrText xml:space="preserve"> = 4 \* GB3 \* MERGEFORMAT </w:instrText>
      </w:r>
      <w:r>
        <w:rPr>
          <w:rFonts w:ascii="Times New Roman"/>
          <w:snapToGrid w:val="0"/>
          <w:spacing w:val="-6"/>
          <w:kern w:val="21"/>
          <w:sz w:val="21"/>
          <w:szCs w:val="21"/>
        </w:rPr>
        <w:fldChar w:fldCharType="separate"/>
      </w:r>
      <w:r>
        <w:rPr>
          <w:rFonts w:ascii="Times New Roman"/>
          <w:sz w:val="21"/>
          <w:szCs w:val="21"/>
        </w:rPr>
        <w:t>④</w:t>
      </w:r>
      <w:r>
        <w:rPr>
          <w:rFonts w:ascii="Times New Roman"/>
          <w:snapToGrid w:val="0"/>
          <w:spacing w:val="-6"/>
          <w:kern w:val="21"/>
          <w:sz w:val="21"/>
          <w:szCs w:val="21"/>
        </w:rPr>
        <w:fldChar w:fldCharType="end"/>
      </w:r>
      <w:r>
        <w:rPr>
          <w:rFonts w:ascii="Times New Roman"/>
          <w:snapToGrid w:val="0"/>
          <w:spacing w:val="-6"/>
          <w:kern w:val="21"/>
          <w:sz w:val="21"/>
          <w:szCs w:val="21"/>
        </w:rPr>
        <w:t>-</w:t>
      </w:r>
      <w:r>
        <w:rPr>
          <w:rFonts w:ascii="Times New Roman"/>
          <w:snapToGrid w:val="0"/>
          <w:spacing w:val="-16"/>
          <w:kern w:val="21"/>
          <w:sz w:val="21"/>
          <w:szCs w:val="21"/>
        </w:rPr>
        <w:fldChar w:fldCharType="begin"/>
      </w:r>
      <w:r>
        <w:rPr>
          <w:rFonts w:ascii="Times New Roman"/>
          <w:snapToGrid w:val="0"/>
          <w:spacing w:val="-16"/>
          <w:kern w:val="21"/>
          <w:sz w:val="21"/>
          <w:szCs w:val="21"/>
        </w:rPr>
        <w:instrText xml:space="preserve"> = 5 \* GB3 \* MERGEFORMAT </w:instrText>
      </w:r>
      <w:r>
        <w:rPr>
          <w:rFonts w:ascii="Times New Roman"/>
          <w:snapToGrid w:val="0"/>
          <w:spacing w:val="-16"/>
          <w:kern w:val="21"/>
          <w:sz w:val="21"/>
          <w:szCs w:val="21"/>
        </w:rPr>
        <w:fldChar w:fldCharType="separate"/>
      </w:r>
      <w:r>
        <w:rPr>
          <w:rFonts w:ascii="Times New Roman"/>
          <w:sz w:val="21"/>
          <w:szCs w:val="21"/>
        </w:rPr>
        <w:t>⑤</w:t>
      </w:r>
      <w:r>
        <w:rPr>
          <w:rFonts w:ascii="Times New Roman"/>
          <w:snapToGrid w:val="0"/>
          <w:spacing w:val="-16"/>
          <w:kern w:val="21"/>
          <w:sz w:val="21"/>
          <w:szCs w:val="21"/>
        </w:rPr>
        <w:fldChar w:fldCharType="end"/>
      </w:r>
      <w:r>
        <w:rPr>
          <w:rFonts w:ascii="Times New Roman"/>
          <w:snapToGrid w:val="0"/>
          <w:spacing w:val="-16"/>
          <w:kern w:val="21"/>
          <w:sz w:val="21"/>
          <w:szCs w:val="21"/>
        </w:rPr>
        <w:t>；</w:t>
      </w:r>
      <w:r>
        <w:rPr>
          <w:rFonts w:ascii="Times New Roman"/>
          <w:snapToGrid w:val="0"/>
          <w:spacing w:val="-6"/>
          <w:kern w:val="21"/>
          <w:sz w:val="21"/>
          <w:szCs w:val="21"/>
        </w:rPr>
        <w:fldChar w:fldCharType="begin"/>
      </w:r>
      <w:r>
        <w:rPr>
          <w:rFonts w:ascii="Times New Roman"/>
          <w:snapToGrid w:val="0"/>
          <w:spacing w:val="-6"/>
          <w:kern w:val="21"/>
          <w:sz w:val="21"/>
          <w:szCs w:val="21"/>
        </w:rPr>
        <w:instrText xml:space="preserve"> = 7 \* GB3 \* MERGEFORMAT </w:instrText>
      </w:r>
      <w:r>
        <w:rPr>
          <w:rFonts w:ascii="Times New Roman"/>
          <w:snapToGrid w:val="0"/>
          <w:spacing w:val="-6"/>
          <w:kern w:val="21"/>
          <w:sz w:val="21"/>
          <w:szCs w:val="21"/>
        </w:rPr>
        <w:fldChar w:fldCharType="separate"/>
      </w:r>
      <w:r>
        <w:rPr>
          <w:rFonts w:ascii="Times New Roman"/>
          <w:sz w:val="21"/>
          <w:szCs w:val="21"/>
        </w:rPr>
        <w:t>⑦</w:t>
      </w:r>
      <w:r>
        <w:rPr>
          <w:rFonts w:ascii="Times New Roman"/>
          <w:snapToGrid w:val="0"/>
          <w:spacing w:val="-6"/>
          <w:kern w:val="21"/>
          <w:sz w:val="21"/>
          <w:szCs w:val="21"/>
        </w:rPr>
        <w:fldChar w:fldCharType="end"/>
      </w:r>
      <w:r>
        <w:rPr>
          <w:rFonts w:ascii="Times New Roman"/>
          <w:snapToGrid w:val="0"/>
          <w:spacing w:val="-6"/>
          <w:kern w:val="21"/>
          <w:sz w:val="21"/>
          <w:szCs w:val="21"/>
        </w:rPr>
        <w:t>=</w:t>
      </w:r>
      <w:r>
        <w:rPr>
          <w:rFonts w:ascii="Times New Roman"/>
          <w:snapToGrid w:val="0"/>
          <w:spacing w:val="-16"/>
          <w:kern w:val="21"/>
          <w:sz w:val="21"/>
          <w:szCs w:val="21"/>
        </w:rPr>
        <w:fldChar w:fldCharType="begin"/>
      </w:r>
      <w:r>
        <w:rPr>
          <w:rFonts w:ascii="Times New Roman"/>
          <w:snapToGrid w:val="0"/>
          <w:spacing w:val="-16"/>
          <w:kern w:val="21"/>
          <w:sz w:val="21"/>
          <w:szCs w:val="21"/>
        </w:rPr>
        <w:instrText xml:space="preserve"> = 6 \* GB3 \* MERGEFORMAT </w:instrText>
      </w:r>
      <w:r>
        <w:rPr>
          <w:rFonts w:ascii="Times New Roman"/>
          <w:snapToGrid w:val="0"/>
          <w:spacing w:val="-16"/>
          <w:kern w:val="21"/>
          <w:sz w:val="21"/>
          <w:szCs w:val="21"/>
        </w:rPr>
        <w:fldChar w:fldCharType="separate"/>
      </w:r>
      <w:r>
        <w:rPr>
          <w:rFonts w:ascii="Times New Roman"/>
          <w:sz w:val="21"/>
          <w:szCs w:val="21"/>
        </w:rPr>
        <w:t>⑥</w:t>
      </w:r>
      <w:r>
        <w:rPr>
          <w:rFonts w:ascii="Times New Roman"/>
          <w:snapToGrid w:val="0"/>
          <w:spacing w:val="-16"/>
          <w:kern w:val="21"/>
          <w:sz w:val="21"/>
          <w:szCs w:val="21"/>
        </w:rPr>
        <w:fldChar w:fldCharType="end"/>
      </w:r>
      <w:r>
        <w:rPr>
          <w:rFonts w:ascii="Times New Roman"/>
          <w:snapToGrid w:val="0"/>
          <w:spacing w:val="-16"/>
          <w:kern w:val="21"/>
          <w:sz w:val="21"/>
          <w:szCs w:val="21"/>
        </w:rPr>
        <w:t>-</w:t>
      </w:r>
      <w:r>
        <w:rPr>
          <w:rFonts w:ascii="Times New Roman"/>
          <w:snapToGrid w:val="0"/>
          <w:spacing w:val="-6"/>
          <w:kern w:val="21"/>
          <w:sz w:val="21"/>
          <w:szCs w:val="21"/>
        </w:rPr>
        <w:fldChar w:fldCharType="begin"/>
      </w:r>
      <w:r>
        <w:rPr>
          <w:rFonts w:ascii="Times New Roman"/>
          <w:snapToGrid w:val="0"/>
          <w:spacing w:val="-6"/>
          <w:kern w:val="21"/>
          <w:sz w:val="21"/>
          <w:szCs w:val="21"/>
        </w:rPr>
        <w:instrText xml:space="preserve"> = 1 \* GB3 \* MERGEFORMAT </w:instrText>
      </w:r>
      <w:r>
        <w:rPr>
          <w:rFonts w:ascii="Times New Roman"/>
          <w:snapToGrid w:val="0"/>
          <w:spacing w:val="-6"/>
          <w:kern w:val="21"/>
          <w:sz w:val="21"/>
          <w:szCs w:val="21"/>
        </w:rPr>
        <w:fldChar w:fldCharType="separate"/>
      </w:r>
      <w:r>
        <w:rPr>
          <w:rFonts w:ascii="Times New Roman"/>
          <w:sz w:val="21"/>
          <w:szCs w:val="21"/>
        </w:rPr>
        <w:t>①</w:t>
      </w:r>
      <w:r>
        <w:rPr>
          <w:rFonts w:ascii="Times New Roman"/>
          <w:snapToGrid w:val="0"/>
          <w:spacing w:val="-6"/>
          <w:kern w:val="21"/>
          <w:sz w:val="21"/>
          <w:szCs w:val="21"/>
        </w:rPr>
        <w:fldChar w:fldCharType="end"/>
      </w:r>
    </w:p>
    <w:p w14:paraId="3F458813">
      <w:pPr>
        <w:rPr>
          <w:sz w:val="21"/>
          <w:szCs w:val="21"/>
        </w:rPr>
        <w:sectPr>
          <w:footerReference r:id="rId9" w:type="default"/>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pPr>
    </w:p>
    <w:p w14:paraId="0B15AE04">
      <w:pPr>
        <w:pStyle w:val="14"/>
        <w:keepNext w:val="0"/>
        <w:keepLines w:val="0"/>
        <w:pageBreakBefore w:val="0"/>
        <w:widowControl w:val="0"/>
        <w:numPr>
          <w:ilvl w:val="0"/>
          <w:numId w:val="23"/>
        </w:numPr>
        <w:tabs>
          <w:tab w:val="left" w:pos="283"/>
        </w:tabs>
        <w:kinsoku/>
        <w:wordWrap/>
        <w:overflowPunct/>
        <w:topLinePunct w:val="0"/>
        <w:autoSpaceDE/>
        <w:autoSpaceDN/>
        <w:bidi w:val="0"/>
        <w:adjustRightInd/>
        <w:snapToGrid/>
        <w:spacing w:line="360" w:lineRule="auto"/>
        <w:ind w:left="0" w:firstLine="0"/>
        <w:jc w:val="left"/>
        <w:textAlignment w:val="auto"/>
        <w:outlineLvl w:val="0"/>
        <w:rPr>
          <w:rFonts w:hAnsi="Times New Roman"/>
          <w:b/>
          <w:bCs/>
          <w:sz w:val="28"/>
          <w:szCs w:val="28"/>
        </w:rPr>
      </w:pPr>
      <w:bookmarkStart w:id="60" w:name="_Toc7302"/>
      <w:bookmarkStart w:id="61" w:name="_Toc29554"/>
      <w:bookmarkStart w:id="62" w:name="_Toc18424"/>
      <w:bookmarkStart w:id="63" w:name="_Toc24907"/>
      <w:bookmarkStart w:id="64" w:name="_Toc9969"/>
      <w:bookmarkStart w:id="65" w:name="_Toc16388"/>
      <w:r>
        <w:rPr>
          <w:rFonts w:hAnsi="Times New Roman"/>
          <w:b/>
          <w:bCs/>
          <w:sz w:val="28"/>
          <w:szCs w:val="28"/>
        </w:rPr>
        <w:t>环评委托书</w:t>
      </w:r>
      <w:bookmarkEnd w:id="60"/>
      <w:bookmarkEnd w:id="61"/>
      <w:bookmarkEnd w:id="62"/>
      <w:bookmarkEnd w:id="63"/>
      <w:bookmarkEnd w:id="64"/>
      <w:bookmarkEnd w:id="65"/>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4"/>
      </w:tblGrid>
      <w:tr w14:paraId="44148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14:paraId="18E8BAA6">
            <w:pPr>
              <w:keepNext w:val="0"/>
              <w:keepLines w:val="0"/>
              <w:suppressLineNumbers w:val="0"/>
              <w:spacing w:before="0" w:beforeAutospacing="0" w:after="0" w:afterAutospacing="0"/>
              <w:ind w:left="0" w:leftChars="0" w:right="0" w:rightChars="0" w:firstLine="0" w:firstLineChars="0"/>
              <w:jc w:val="center"/>
              <w:rPr>
                <w:rFonts w:hint="eastAsia" w:ascii="宋体" w:hAnsi="宋体" w:eastAsia="宋体" w:cs="宋体"/>
                <w:lang w:eastAsia="zh-CN"/>
              </w:rPr>
            </w:pPr>
            <w:r>
              <w:rPr>
                <w:rFonts w:hint="eastAsia" w:ascii="宋体" w:hAnsi="宋体" w:eastAsia="宋体" w:cs="宋体"/>
                <w:lang w:eastAsia="zh-CN"/>
              </w:rPr>
              <w:drawing>
                <wp:inline distT="0" distB="0" distL="114300" distR="114300">
                  <wp:extent cx="5615305" cy="7945755"/>
                  <wp:effectExtent l="0" t="0" r="4445" b="17145"/>
                  <wp:docPr id="101" name="图片 101" descr="扫描全能王 2025-03-03 16.5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扫描全能王 2025-03-03 16.59_01"/>
                          <pic:cNvPicPr>
                            <a:picLocks noChangeAspect="1"/>
                          </pic:cNvPicPr>
                        </pic:nvPicPr>
                        <pic:blipFill>
                          <a:blip r:embed="rId37"/>
                          <a:stretch>
                            <a:fillRect/>
                          </a:stretch>
                        </pic:blipFill>
                        <pic:spPr>
                          <a:xfrm>
                            <a:off x="0" y="0"/>
                            <a:ext cx="5615305" cy="7945755"/>
                          </a:xfrm>
                          <a:prstGeom prst="rect">
                            <a:avLst/>
                          </a:prstGeom>
                        </pic:spPr>
                      </pic:pic>
                    </a:graphicData>
                  </a:graphic>
                </wp:inline>
              </w:drawing>
            </w:r>
          </w:p>
        </w:tc>
      </w:tr>
    </w:tbl>
    <w:p w14:paraId="3E2C6577"/>
    <w:p w14:paraId="1BAAD4FE">
      <w:pPr>
        <w:pStyle w:val="14"/>
        <w:numPr>
          <w:ilvl w:val="0"/>
          <w:numId w:val="23"/>
        </w:numPr>
        <w:tabs>
          <w:tab w:val="left" w:pos="283"/>
        </w:tabs>
        <w:ind w:left="0" w:firstLine="0"/>
        <w:jc w:val="left"/>
        <w:outlineLvl w:val="0"/>
        <w:rPr>
          <w:rFonts w:hAnsi="Times New Roman"/>
          <w:sz w:val="24"/>
          <w:szCs w:val="24"/>
        </w:rPr>
        <w:sectPr>
          <w:headerReference r:id="rId10" w:type="default"/>
          <w:footerReference r:id="rId11" w:type="default"/>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bookmarkStart w:id="66" w:name="_Toc13539"/>
      <w:bookmarkStart w:id="67" w:name="_Toc23358"/>
    </w:p>
    <w:p w14:paraId="09BD54B3">
      <w:pPr>
        <w:pStyle w:val="14"/>
        <w:numPr>
          <w:ilvl w:val="0"/>
          <w:numId w:val="23"/>
        </w:numPr>
        <w:tabs>
          <w:tab w:val="left" w:pos="283"/>
        </w:tabs>
        <w:spacing w:line="360" w:lineRule="auto"/>
        <w:ind w:left="0" w:firstLine="0"/>
        <w:jc w:val="left"/>
        <w:outlineLvl w:val="0"/>
        <w:rPr>
          <w:rFonts w:hAnsi="Times New Roman"/>
          <w:sz w:val="24"/>
          <w:szCs w:val="24"/>
        </w:rPr>
      </w:pPr>
      <w:bookmarkStart w:id="68" w:name="_Toc11522"/>
      <w:bookmarkStart w:id="69" w:name="_Toc16842"/>
      <w:bookmarkStart w:id="70" w:name="_Toc27952"/>
      <w:bookmarkStart w:id="71" w:name="_Toc11255"/>
      <w:bookmarkStart w:id="72" w:name="_Toc2693"/>
      <w:r>
        <w:rPr>
          <w:rFonts w:hint="eastAsia" w:hAnsi="Times New Roman"/>
          <w:b/>
          <w:bCs/>
          <w:sz w:val="28"/>
          <w:szCs w:val="28"/>
          <w:lang w:val="en-US" w:eastAsia="zh-CN"/>
        </w:rPr>
        <w:t>技术审查会专家意见及签到表</w:t>
      </w:r>
      <w:bookmarkEnd w:id="68"/>
      <w:bookmarkEnd w:id="69"/>
      <w:bookmarkEnd w:id="70"/>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4"/>
      </w:tblGrid>
      <w:tr w14:paraId="512AB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060" w:type="dxa"/>
          </w:tcPr>
          <w:p w14:paraId="1D553BFB">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5755"/>
                  <wp:effectExtent l="0" t="0" r="4445" b="17145"/>
                  <wp:docPr id="103" name="图片 103" descr="专家审查意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专家审查意见_00"/>
                          <pic:cNvPicPr>
                            <a:picLocks noChangeAspect="1"/>
                          </pic:cNvPicPr>
                        </pic:nvPicPr>
                        <pic:blipFill>
                          <a:blip r:embed="rId38"/>
                          <a:stretch>
                            <a:fillRect/>
                          </a:stretch>
                        </pic:blipFill>
                        <pic:spPr>
                          <a:xfrm>
                            <a:off x="0" y="0"/>
                            <a:ext cx="5615305" cy="7945755"/>
                          </a:xfrm>
                          <a:prstGeom prst="rect">
                            <a:avLst/>
                          </a:prstGeom>
                        </pic:spPr>
                      </pic:pic>
                    </a:graphicData>
                  </a:graphic>
                </wp:inline>
              </w:drawing>
            </w:r>
          </w:p>
        </w:tc>
      </w:tr>
      <w:tr w14:paraId="47FE8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2A5EFDF8">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5755"/>
                  <wp:effectExtent l="0" t="0" r="4445" b="17145"/>
                  <wp:docPr id="104" name="图片 104" descr="专家审查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专家审查意见_01"/>
                          <pic:cNvPicPr>
                            <a:picLocks noChangeAspect="1"/>
                          </pic:cNvPicPr>
                        </pic:nvPicPr>
                        <pic:blipFill>
                          <a:blip r:embed="rId39"/>
                          <a:stretch>
                            <a:fillRect/>
                          </a:stretch>
                        </pic:blipFill>
                        <pic:spPr>
                          <a:xfrm>
                            <a:off x="0" y="0"/>
                            <a:ext cx="5615305" cy="7945755"/>
                          </a:xfrm>
                          <a:prstGeom prst="rect">
                            <a:avLst/>
                          </a:prstGeom>
                        </pic:spPr>
                      </pic:pic>
                    </a:graphicData>
                  </a:graphic>
                </wp:inline>
              </w:drawing>
            </w:r>
          </w:p>
        </w:tc>
      </w:tr>
      <w:tr w14:paraId="30C63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21EA43E1">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5755"/>
                  <wp:effectExtent l="0" t="0" r="4445" b="17145"/>
                  <wp:docPr id="105" name="图片 105" descr="专家签到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专家签到表_00"/>
                          <pic:cNvPicPr>
                            <a:picLocks noChangeAspect="1"/>
                          </pic:cNvPicPr>
                        </pic:nvPicPr>
                        <pic:blipFill>
                          <a:blip r:embed="rId40"/>
                          <a:stretch>
                            <a:fillRect/>
                          </a:stretch>
                        </pic:blipFill>
                        <pic:spPr>
                          <a:xfrm>
                            <a:off x="0" y="0"/>
                            <a:ext cx="5615305" cy="7945755"/>
                          </a:xfrm>
                          <a:prstGeom prst="rect">
                            <a:avLst/>
                          </a:prstGeom>
                        </pic:spPr>
                      </pic:pic>
                    </a:graphicData>
                  </a:graphic>
                </wp:inline>
              </w:drawing>
            </w:r>
          </w:p>
        </w:tc>
      </w:tr>
    </w:tbl>
    <w:p w14:paraId="6525755E"/>
    <w:p w14:paraId="312D92E5">
      <w:p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p>
    <w:p w14:paraId="3B891632">
      <w:pPr>
        <w:pStyle w:val="14"/>
        <w:numPr>
          <w:ilvl w:val="0"/>
          <w:numId w:val="23"/>
        </w:numPr>
        <w:tabs>
          <w:tab w:val="left" w:pos="283"/>
        </w:tabs>
        <w:spacing w:line="360" w:lineRule="auto"/>
        <w:ind w:left="0" w:firstLine="0"/>
        <w:jc w:val="left"/>
        <w:outlineLvl w:val="0"/>
        <w:rPr>
          <w:rFonts w:hAnsi="Times New Roman"/>
          <w:sz w:val="24"/>
          <w:szCs w:val="24"/>
        </w:rPr>
      </w:pPr>
      <w:bookmarkStart w:id="73" w:name="_Toc6774"/>
      <w:bookmarkStart w:id="74" w:name="_Toc2632"/>
      <w:r>
        <w:rPr>
          <w:rFonts w:hAnsi="Times New Roman"/>
          <w:b/>
          <w:bCs/>
          <w:sz w:val="28"/>
          <w:szCs w:val="28"/>
        </w:rPr>
        <w:t>项目备案证明</w:t>
      </w:r>
      <w:bookmarkEnd w:id="66"/>
      <w:bookmarkEnd w:id="67"/>
      <w:bookmarkEnd w:id="71"/>
      <w:bookmarkEnd w:id="72"/>
      <w:bookmarkEnd w:id="73"/>
      <w:bookmarkEnd w:id="74"/>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0"/>
      </w:tblGrid>
      <w:tr w14:paraId="60A6D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vAlign w:val="center"/>
          </w:tcPr>
          <w:p w14:paraId="361E5942">
            <w:pPr>
              <w:keepNext w:val="0"/>
              <w:keepLines w:val="0"/>
              <w:suppressLineNumbers w:val="0"/>
              <w:spacing w:before="0" w:beforeAutospacing="0" w:after="0" w:afterAutospacing="0"/>
              <w:ind w:left="0" w:leftChars="0" w:right="0" w:rightChars="0" w:firstLine="0" w:firstLineChars="0"/>
              <w:jc w:val="center"/>
              <w:rPr>
                <w:rFonts w:hint="eastAsia" w:eastAsia="宋体"/>
                <w:lang w:eastAsia="zh-CN"/>
              </w:rPr>
            </w:pPr>
            <w:r>
              <w:rPr>
                <w:rFonts w:hint="eastAsia" w:eastAsia="宋体"/>
                <w:lang w:eastAsia="zh-CN"/>
              </w:rPr>
              <w:drawing>
                <wp:inline distT="0" distB="0" distL="114300" distR="114300">
                  <wp:extent cx="5609590" cy="7911465"/>
                  <wp:effectExtent l="0" t="0" r="10160" b="13335"/>
                  <wp:docPr id="10" name="图片 10" descr="c4ca760592015edab8a99c983a8a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4ca760592015edab8a99c983a8a484"/>
                          <pic:cNvPicPr>
                            <a:picLocks noChangeAspect="1"/>
                          </pic:cNvPicPr>
                        </pic:nvPicPr>
                        <pic:blipFill>
                          <a:blip r:embed="rId41"/>
                          <a:stretch>
                            <a:fillRect/>
                          </a:stretch>
                        </pic:blipFill>
                        <pic:spPr>
                          <a:xfrm>
                            <a:off x="0" y="0"/>
                            <a:ext cx="5609590" cy="7911465"/>
                          </a:xfrm>
                          <a:prstGeom prst="rect">
                            <a:avLst/>
                          </a:prstGeom>
                        </pic:spPr>
                      </pic:pic>
                    </a:graphicData>
                  </a:graphic>
                </wp:inline>
              </w:drawing>
            </w:r>
          </w:p>
        </w:tc>
      </w:tr>
      <w:tr w14:paraId="02FF0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14:paraId="33CC0001">
            <w:pPr>
              <w:keepNext w:val="0"/>
              <w:keepLines w:val="0"/>
              <w:suppressLineNumbers w:val="0"/>
              <w:spacing w:before="0" w:beforeAutospacing="0" w:after="0" w:afterAutospacing="0"/>
              <w:ind w:left="0" w:leftChars="0" w:right="0" w:rightChars="0" w:firstLine="0" w:firstLineChars="0"/>
              <w:jc w:val="center"/>
              <w:rPr>
                <w:rFonts w:hint="eastAsia" w:eastAsia="宋体"/>
                <w:lang w:eastAsia="zh-CN"/>
              </w:rPr>
            </w:pPr>
            <w:r>
              <w:rPr>
                <w:rFonts w:hint="eastAsia" w:eastAsia="宋体"/>
                <w:lang w:eastAsia="zh-CN"/>
              </w:rPr>
              <w:drawing>
                <wp:inline distT="0" distB="0" distL="114300" distR="114300">
                  <wp:extent cx="5613400" cy="7923530"/>
                  <wp:effectExtent l="0" t="0" r="6350" b="1270"/>
                  <wp:docPr id="11" name="图片 11" descr="2f0ba37c62df28ede845bcc03442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f0ba37c62df28ede845bcc0344215a"/>
                          <pic:cNvPicPr>
                            <a:picLocks noChangeAspect="1"/>
                          </pic:cNvPicPr>
                        </pic:nvPicPr>
                        <pic:blipFill>
                          <a:blip r:embed="rId42"/>
                          <a:stretch>
                            <a:fillRect/>
                          </a:stretch>
                        </pic:blipFill>
                        <pic:spPr>
                          <a:xfrm>
                            <a:off x="0" y="0"/>
                            <a:ext cx="5613400" cy="7923530"/>
                          </a:xfrm>
                          <a:prstGeom prst="rect">
                            <a:avLst/>
                          </a:prstGeom>
                        </pic:spPr>
                      </pic:pic>
                    </a:graphicData>
                  </a:graphic>
                </wp:inline>
              </w:drawing>
            </w:r>
          </w:p>
        </w:tc>
      </w:tr>
      <w:tr w14:paraId="7D861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40FDB46B">
            <w:pPr>
              <w:keepNext w:val="0"/>
              <w:keepLines w:val="0"/>
              <w:suppressLineNumbers w:val="0"/>
              <w:spacing w:before="0" w:beforeAutospacing="0" w:after="0" w:afterAutospacing="0"/>
              <w:ind w:left="0" w:right="0"/>
              <w:rPr>
                <w:rFonts w:hint="eastAsia" w:eastAsia="宋体"/>
                <w:lang w:eastAsia="zh-CN"/>
              </w:rPr>
            </w:pPr>
            <w:r>
              <w:rPr>
                <w:rFonts w:hint="eastAsia" w:eastAsia="宋体"/>
                <w:lang w:eastAsia="zh-CN"/>
              </w:rPr>
              <w:drawing>
                <wp:inline distT="0" distB="0" distL="114300" distR="114300">
                  <wp:extent cx="5610225" cy="7924165"/>
                  <wp:effectExtent l="0" t="0" r="9525" b="635"/>
                  <wp:docPr id="12" name="图片 12" descr="鹌鹑蛋生产线备案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鹌鹑蛋生产线备案证明_00"/>
                          <pic:cNvPicPr>
                            <a:picLocks noChangeAspect="1"/>
                          </pic:cNvPicPr>
                        </pic:nvPicPr>
                        <pic:blipFill>
                          <a:blip r:embed="rId43"/>
                          <a:stretch>
                            <a:fillRect/>
                          </a:stretch>
                        </pic:blipFill>
                        <pic:spPr>
                          <a:xfrm>
                            <a:off x="0" y="0"/>
                            <a:ext cx="5610225" cy="7924165"/>
                          </a:xfrm>
                          <a:prstGeom prst="rect">
                            <a:avLst/>
                          </a:prstGeom>
                        </pic:spPr>
                      </pic:pic>
                    </a:graphicData>
                  </a:graphic>
                </wp:inline>
              </w:drawing>
            </w:r>
          </w:p>
        </w:tc>
      </w:tr>
      <w:tr w14:paraId="2BF9A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tcPr>
          <w:p w14:paraId="19D5682A">
            <w:pPr>
              <w:keepNext w:val="0"/>
              <w:keepLines w:val="0"/>
              <w:suppressLineNumbers w:val="0"/>
              <w:spacing w:before="0" w:beforeAutospacing="0" w:after="0" w:afterAutospacing="0"/>
              <w:ind w:left="0" w:right="0"/>
              <w:rPr>
                <w:rFonts w:hint="eastAsia" w:eastAsia="宋体"/>
                <w:lang w:eastAsia="zh-CN"/>
              </w:rPr>
            </w:pPr>
            <w:r>
              <w:rPr>
                <w:rFonts w:hint="eastAsia" w:eastAsia="宋体"/>
                <w:lang w:eastAsia="zh-CN"/>
              </w:rPr>
              <w:drawing>
                <wp:inline distT="0" distB="0" distL="114300" distR="114300">
                  <wp:extent cx="5610225" cy="7924165"/>
                  <wp:effectExtent l="0" t="0" r="9525" b="635"/>
                  <wp:docPr id="13" name="图片 13" descr="鹌鹑蛋生产线备案证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鹌鹑蛋生产线备案证明_01"/>
                          <pic:cNvPicPr>
                            <a:picLocks noChangeAspect="1"/>
                          </pic:cNvPicPr>
                        </pic:nvPicPr>
                        <pic:blipFill>
                          <a:blip r:embed="rId44"/>
                          <a:stretch>
                            <a:fillRect/>
                          </a:stretch>
                        </pic:blipFill>
                        <pic:spPr>
                          <a:xfrm>
                            <a:off x="0" y="0"/>
                            <a:ext cx="5610225" cy="7924165"/>
                          </a:xfrm>
                          <a:prstGeom prst="rect">
                            <a:avLst/>
                          </a:prstGeom>
                        </pic:spPr>
                      </pic:pic>
                    </a:graphicData>
                  </a:graphic>
                </wp:inline>
              </w:drawing>
            </w:r>
          </w:p>
        </w:tc>
      </w:tr>
    </w:tbl>
    <w:p w14:paraId="74C00A9B">
      <w:pPr>
        <w:rPr>
          <w:sz w:val="24"/>
        </w:rPr>
      </w:pPr>
    </w:p>
    <w:p w14:paraId="779EB8A9"/>
    <w:p w14:paraId="7B6D09BC">
      <w:pPr>
        <w:pStyle w:val="14"/>
        <w:numPr>
          <w:ilvl w:val="0"/>
          <w:numId w:val="23"/>
        </w:numPr>
        <w:tabs>
          <w:tab w:val="left" w:pos="283"/>
        </w:tabs>
        <w:spacing w:before="0" w:beforeLines="0" w:after="157" w:afterLines="50"/>
        <w:ind w:left="0" w:firstLine="0"/>
        <w:jc w:val="left"/>
        <w:outlineLvl w:val="0"/>
        <w:rPr>
          <w:rFonts w:hAnsi="Times New Roman"/>
          <w:sz w:val="24"/>
          <w:szCs w:val="24"/>
        </w:rPr>
      </w:pPr>
      <w:r>
        <w:rPr>
          <w:rFonts w:hAnsi="Times New Roman"/>
          <w:b/>
          <w:bCs/>
          <w:sz w:val="28"/>
          <w:szCs w:val="28"/>
        </w:rPr>
        <w:br w:type="page"/>
      </w:r>
      <w:bookmarkStart w:id="75" w:name="_Toc1024"/>
      <w:bookmarkStart w:id="76" w:name="_Toc22322"/>
      <w:bookmarkStart w:id="77" w:name="_Toc30419"/>
      <w:bookmarkStart w:id="78" w:name="_Toc27531"/>
      <w:bookmarkStart w:id="79" w:name="_Toc5631"/>
      <w:bookmarkStart w:id="80" w:name="_Toc22050"/>
      <w:r>
        <w:rPr>
          <w:rFonts w:hint="eastAsia" w:hAnsi="Times New Roman"/>
          <w:b/>
          <w:bCs/>
          <w:sz w:val="28"/>
          <w:szCs w:val="28"/>
          <w:lang w:val="en-US" w:eastAsia="zh-CN"/>
        </w:rPr>
        <w:t>湖南省环境保护厅《关于岳阳市君山工业集中区荆江门片区环境影响报告的批复意见的函》（湘环评函[2014]54号）</w:t>
      </w:r>
      <w:bookmarkEnd w:id="75"/>
      <w:bookmarkEnd w:id="76"/>
      <w:bookmarkEnd w:id="77"/>
      <w:bookmarkEnd w:id="78"/>
      <w:bookmarkEnd w:id="79"/>
      <w:bookmarkEnd w:id="80"/>
    </w:p>
    <w:tbl>
      <w:tblPr>
        <w:tblStyle w:val="24"/>
        <w:tblW w:w="0" w:type="auto"/>
        <w:tblInd w:w="4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70"/>
      </w:tblGrid>
      <w:tr w14:paraId="4C82F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2" w:type="dxa"/>
            <w:vAlign w:val="center"/>
          </w:tcPr>
          <w:p w14:paraId="33E2C191">
            <w:pPr>
              <w:keepNext w:val="0"/>
              <w:keepLines w:val="0"/>
              <w:suppressLineNumbers w:val="0"/>
              <w:adjustRightInd w:val="0"/>
              <w:snapToGrid w:val="0"/>
              <w:spacing w:before="240" w:beforeLines="100" w:beforeAutospacing="0" w:after="240" w:afterLines="100" w:afterAutospacing="0"/>
              <w:ind w:left="0" w:leftChars="0" w:right="0" w:rightChars="0" w:firstLine="0" w:firstLineChars="0"/>
              <w:jc w:val="center"/>
              <w:outlineLvl w:val="9"/>
              <w:rPr>
                <w:rFonts w:hint="default"/>
                <w:sz w:val="24"/>
              </w:rPr>
            </w:pPr>
            <w:r>
              <w:rPr>
                <w:rFonts w:hint="eastAsia"/>
                <w:sz w:val="24"/>
              </w:rPr>
              <w:drawing>
                <wp:inline distT="0" distB="0" distL="114300" distR="114300">
                  <wp:extent cx="5099685" cy="7588250"/>
                  <wp:effectExtent l="0" t="0" r="5715" b="12700"/>
                  <wp:docPr id="30" name="图片 7" descr="新文档 2018-09-24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descr="新文档 2018-09-24 19"/>
                          <pic:cNvPicPr>
                            <a:picLocks noChangeAspect="1"/>
                          </pic:cNvPicPr>
                        </pic:nvPicPr>
                        <pic:blipFill>
                          <a:blip r:embed="rId45"/>
                          <a:stretch>
                            <a:fillRect/>
                          </a:stretch>
                        </pic:blipFill>
                        <pic:spPr>
                          <a:xfrm>
                            <a:off x="0" y="0"/>
                            <a:ext cx="5099685" cy="7588250"/>
                          </a:xfrm>
                          <a:prstGeom prst="rect">
                            <a:avLst/>
                          </a:prstGeom>
                          <a:noFill/>
                          <a:ln>
                            <a:noFill/>
                          </a:ln>
                        </pic:spPr>
                      </pic:pic>
                    </a:graphicData>
                  </a:graphic>
                </wp:inline>
              </w:drawing>
            </w:r>
          </w:p>
        </w:tc>
      </w:tr>
      <w:tr w14:paraId="2221C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102" w:type="dxa"/>
            <w:vAlign w:val="center"/>
          </w:tcPr>
          <w:p w14:paraId="2A9BA342">
            <w:pPr>
              <w:keepNext w:val="0"/>
              <w:keepLines w:val="0"/>
              <w:suppressLineNumbers w:val="0"/>
              <w:adjustRightInd w:val="0"/>
              <w:snapToGrid w:val="0"/>
              <w:spacing w:before="240" w:beforeLines="100" w:beforeAutospacing="0" w:after="240" w:afterLines="100" w:afterAutospacing="0"/>
              <w:ind w:left="0" w:leftChars="0" w:right="0" w:rightChars="0" w:firstLine="0" w:firstLineChars="0"/>
              <w:jc w:val="center"/>
              <w:outlineLvl w:val="9"/>
              <w:rPr>
                <w:rFonts w:hint="default"/>
                <w:sz w:val="24"/>
              </w:rPr>
            </w:pPr>
            <w:r>
              <w:rPr>
                <w:rFonts w:hint="eastAsia"/>
                <w:sz w:val="24"/>
              </w:rPr>
              <w:drawing>
                <wp:inline distT="0" distB="0" distL="114300" distR="114300">
                  <wp:extent cx="5270500" cy="7157085"/>
                  <wp:effectExtent l="0" t="0" r="6350" b="5715"/>
                  <wp:docPr id="31" name="图片 8" descr="新文档 2018-09-24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descr="新文档 2018-09-24 19"/>
                          <pic:cNvPicPr>
                            <a:picLocks noChangeAspect="1"/>
                          </pic:cNvPicPr>
                        </pic:nvPicPr>
                        <pic:blipFill>
                          <a:blip r:embed="rId46"/>
                          <a:stretch>
                            <a:fillRect/>
                          </a:stretch>
                        </pic:blipFill>
                        <pic:spPr>
                          <a:xfrm>
                            <a:off x="0" y="0"/>
                            <a:ext cx="5270500" cy="7157085"/>
                          </a:xfrm>
                          <a:prstGeom prst="rect">
                            <a:avLst/>
                          </a:prstGeom>
                          <a:noFill/>
                          <a:ln>
                            <a:noFill/>
                          </a:ln>
                        </pic:spPr>
                      </pic:pic>
                    </a:graphicData>
                  </a:graphic>
                </wp:inline>
              </w:drawing>
            </w:r>
          </w:p>
        </w:tc>
      </w:tr>
      <w:tr w14:paraId="50C77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2" w:type="dxa"/>
            <w:vAlign w:val="center"/>
          </w:tcPr>
          <w:p w14:paraId="31C9928D">
            <w:pPr>
              <w:keepNext w:val="0"/>
              <w:keepLines w:val="0"/>
              <w:suppressLineNumbers w:val="0"/>
              <w:adjustRightInd w:val="0"/>
              <w:snapToGrid w:val="0"/>
              <w:spacing w:before="240" w:beforeLines="100" w:beforeAutospacing="0" w:after="240" w:afterLines="100" w:afterAutospacing="0"/>
              <w:ind w:left="0" w:leftChars="0" w:right="0" w:rightChars="0" w:firstLine="0" w:firstLineChars="0"/>
              <w:jc w:val="center"/>
              <w:outlineLvl w:val="9"/>
              <w:rPr>
                <w:rFonts w:hint="default"/>
                <w:sz w:val="24"/>
              </w:rPr>
            </w:pPr>
            <w:r>
              <w:rPr>
                <w:rFonts w:hint="eastAsia"/>
                <w:sz w:val="24"/>
              </w:rPr>
              <w:drawing>
                <wp:inline distT="0" distB="0" distL="114300" distR="114300">
                  <wp:extent cx="5273040" cy="8074660"/>
                  <wp:effectExtent l="0" t="0" r="3810" b="2540"/>
                  <wp:docPr id="32" name="图片 9" descr="新文档 2018-09-24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descr="新文档 2018-09-24 19"/>
                          <pic:cNvPicPr>
                            <a:picLocks noChangeAspect="1"/>
                          </pic:cNvPicPr>
                        </pic:nvPicPr>
                        <pic:blipFill>
                          <a:blip r:embed="rId47"/>
                          <a:stretch>
                            <a:fillRect/>
                          </a:stretch>
                        </pic:blipFill>
                        <pic:spPr>
                          <a:xfrm>
                            <a:off x="0" y="0"/>
                            <a:ext cx="5273040" cy="8074660"/>
                          </a:xfrm>
                          <a:prstGeom prst="rect">
                            <a:avLst/>
                          </a:prstGeom>
                          <a:noFill/>
                          <a:ln>
                            <a:noFill/>
                          </a:ln>
                        </pic:spPr>
                      </pic:pic>
                    </a:graphicData>
                  </a:graphic>
                </wp:inline>
              </w:drawing>
            </w:r>
          </w:p>
        </w:tc>
      </w:tr>
      <w:tr w14:paraId="196F0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102" w:type="dxa"/>
            <w:vAlign w:val="center"/>
          </w:tcPr>
          <w:p w14:paraId="5FB63DFB">
            <w:pPr>
              <w:keepNext w:val="0"/>
              <w:keepLines w:val="0"/>
              <w:suppressLineNumbers w:val="0"/>
              <w:adjustRightInd w:val="0"/>
              <w:snapToGrid w:val="0"/>
              <w:spacing w:before="240" w:beforeLines="100" w:beforeAutospacing="0" w:after="240" w:afterLines="100" w:afterAutospacing="0"/>
              <w:ind w:left="0" w:leftChars="0" w:right="0" w:rightChars="0" w:firstLine="0" w:firstLineChars="0"/>
              <w:jc w:val="center"/>
              <w:outlineLvl w:val="9"/>
              <w:rPr>
                <w:rFonts w:hint="default"/>
                <w:sz w:val="24"/>
              </w:rPr>
            </w:pPr>
            <w:r>
              <w:rPr>
                <w:rFonts w:hint="eastAsia"/>
                <w:sz w:val="24"/>
              </w:rPr>
              <w:drawing>
                <wp:inline distT="0" distB="0" distL="114300" distR="114300">
                  <wp:extent cx="5268595" cy="7918450"/>
                  <wp:effectExtent l="0" t="0" r="8255" b="6350"/>
                  <wp:docPr id="33" name="图片 10" descr="新文档 2018-09-24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descr="新文档 2018-09-24 19"/>
                          <pic:cNvPicPr>
                            <a:picLocks noChangeAspect="1"/>
                          </pic:cNvPicPr>
                        </pic:nvPicPr>
                        <pic:blipFill>
                          <a:blip r:embed="rId48"/>
                          <a:stretch>
                            <a:fillRect/>
                          </a:stretch>
                        </pic:blipFill>
                        <pic:spPr>
                          <a:xfrm>
                            <a:off x="0" y="0"/>
                            <a:ext cx="5268595" cy="7918450"/>
                          </a:xfrm>
                          <a:prstGeom prst="rect">
                            <a:avLst/>
                          </a:prstGeom>
                          <a:noFill/>
                          <a:ln>
                            <a:noFill/>
                          </a:ln>
                        </pic:spPr>
                      </pic:pic>
                    </a:graphicData>
                  </a:graphic>
                </wp:inline>
              </w:drawing>
            </w:r>
          </w:p>
        </w:tc>
      </w:tr>
      <w:tr w14:paraId="35CD3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102" w:type="dxa"/>
            <w:vAlign w:val="center"/>
          </w:tcPr>
          <w:p w14:paraId="0690DD2B">
            <w:pPr>
              <w:keepNext w:val="0"/>
              <w:keepLines w:val="0"/>
              <w:suppressLineNumbers w:val="0"/>
              <w:adjustRightInd w:val="0"/>
              <w:snapToGrid w:val="0"/>
              <w:spacing w:before="240" w:beforeLines="100" w:beforeAutospacing="0" w:after="240" w:afterLines="100" w:afterAutospacing="0"/>
              <w:ind w:left="0" w:leftChars="0" w:right="0" w:rightChars="0" w:firstLine="0" w:firstLineChars="0"/>
              <w:jc w:val="center"/>
              <w:outlineLvl w:val="9"/>
              <w:rPr>
                <w:rFonts w:hint="default"/>
                <w:sz w:val="24"/>
              </w:rPr>
            </w:pPr>
            <w:r>
              <w:rPr>
                <w:rFonts w:hint="eastAsia"/>
                <w:sz w:val="24"/>
              </w:rPr>
              <w:drawing>
                <wp:inline distT="0" distB="0" distL="114300" distR="114300">
                  <wp:extent cx="5272405" cy="7181850"/>
                  <wp:effectExtent l="0" t="0" r="4445" b="0"/>
                  <wp:docPr id="34" name="图片 11" descr="新文档 2018-09-24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descr="新文档 2018-09-24 19"/>
                          <pic:cNvPicPr>
                            <a:picLocks noChangeAspect="1"/>
                          </pic:cNvPicPr>
                        </pic:nvPicPr>
                        <pic:blipFill>
                          <a:blip r:embed="rId49"/>
                          <a:stretch>
                            <a:fillRect/>
                          </a:stretch>
                        </pic:blipFill>
                        <pic:spPr>
                          <a:xfrm>
                            <a:off x="0" y="0"/>
                            <a:ext cx="5272405" cy="7181850"/>
                          </a:xfrm>
                          <a:prstGeom prst="rect">
                            <a:avLst/>
                          </a:prstGeom>
                          <a:noFill/>
                          <a:ln>
                            <a:noFill/>
                          </a:ln>
                        </pic:spPr>
                      </pic:pic>
                    </a:graphicData>
                  </a:graphic>
                </wp:inline>
              </w:drawing>
            </w:r>
          </w:p>
        </w:tc>
      </w:tr>
    </w:tbl>
    <w:p w14:paraId="2AA1FA04"/>
    <w:p w14:paraId="707D95BB">
      <w:pPr>
        <w:pStyle w:val="14"/>
        <w:numPr>
          <w:ilvl w:val="0"/>
          <w:numId w:val="23"/>
        </w:numPr>
        <w:tabs>
          <w:tab w:val="left" w:pos="283"/>
        </w:tabs>
        <w:spacing w:after="157" w:afterLines="50"/>
        <w:ind w:left="0" w:firstLine="0"/>
        <w:jc w:val="left"/>
        <w:outlineLvl w:val="0"/>
        <w:rPr>
          <w:rFonts w:hAnsi="Times New Roman"/>
          <w:b/>
          <w:bCs/>
          <w:sz w:val="28"/>
          <w:szCs w:val="28"/>
        </w:rPr>
      </w:pPr>
      <w:r>
        <w:rPr>
          <w:rFonts w:hAnsi="Times New Roman"/>
          <w:sz w:val="24"/>
          <w:szCs w:val="24"/>
        </w:rPr>
        <w:br w:type="page"/>
      </w:r>
      <w:bookmarkStart w:id="81" w:name="_Toc26597"/>
      <w:bookmarkStart w:id="82" w:name="_Toc17576"/>
      <w:bookmarkStart w:id="83" w:name="_Toc28014"/>
      <w:bookmarkStart w:id="84" w:name="_Toc15100"/>
      <w:bookmarkStart w:id="85" w:name="_Toc1082"/>
      <w:bookmarkStart w:id="86" w:name="_Toc20631"/>
      <w:r>
        <w:rPr>
          <w:rFonts w:hint="eastAsia" w:hAnsi="Times New Roman"/>
          <w:b/>
          <w:bCs/>
          <w:sz w:val="28"/>
          <w:szCs w:val="28"/>
          <w:lang w:val="en-US" w:eastAsia="zh-CN"/>
        </w:rPr>
        <w:t>湖南省环境保护厅《关于岳阳市君山工业集中区荆江门片区能源变更意见的函》（湘环评函[2015]75号）</w:t>
      </w:r>
      <w:bookmarkEnd w:id="81"/>
      <w:bookmarkEnd w:id="82"/>
      <w:bookmarkEnd w:id="83"/>
      <w:bookmarkEnd w:id="84"/>
      <w:bookmarkEnd w:id="85"/>
      <w:bookmarkEnd w:id="86"/>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14:paraId="329F6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6" w:type="dxa"/>
            <w:vAlign w:val="center"/>
          </w:tcPr>
          <w:p w14:paraId="6A46BB5A">
            <w:pPr>
              <w:keepNext w:val="0"/>
              <w:keepLines w:val="0"/>
              <w:suppressLineNumbers w:val="0"/>
              <w:adjustRightInd w:val="0"/>
              <w:snapToGrid w:val="0"/>
              <w:spacing w:before="240" w:beforeLines="100" w:beforeAutospacing="0" w:after="240" w:afterLines="100" w:afterAutospacing="0"/>
              <w:ind w:left="0" w:leftChars="0" w:right="0" w:rightChars="0" w:firstLine="0" w:firstLineChars="0"/>
              <w:jc w:val="center"/>
              <w:rPr>
                <w:rFonts w:hint="default"/>
              </w:rPr>
            </w:pPr>
            <w:r>
              <w:rPr>
                <w:rFonts w:hint="eastAsia"/>
              </w:rPr>
              <w:drawing>
                <wp:inline distT="0" distB="0" distL="114300" distR="114300">
                  <wp:extent cx="5269865" cy="7026910"/>
                  <wp:effectExtent l="0" t="0" r="6985" b="2540"/>
                  <wp:docPr id="35" name="图片 12" descr="IMG2016042609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descr="IMG20160426092457"/>
                          <pic:cNvPicPr>
                            <a:picLocks noChangeAspect="1"/>
                          </pic:cNvPicPr>
                        </pic:nvPicPr>
                        <pic:blipFill>
                          <a:blip r:embed="rId50">
                            <a:lum bright="36000"/>
                          </a:blip>
                          <a:stretch>
                            <a:fillRect/>
                          </a:stretch>
                        </pic:blipFill>
                        <pic:spPr>
                          <a:xfrm>
                            <a:off x="0" y="0"/>
                            <a:ext cx="5269865" cy="7026910"/>
                          </a:xfrm>
                          <a:prstGeom prst="rect">
                            <a:avLst/>
                          </a:prstGeom>
                          <a:noFill/>
                          <a:ln>
                            <a:noFill/>
                          </a:ln>
                        </pic:spPr>
                      </pic:pic>
                    </a:graphicData>
                  </a:graphic>
                </wp:inline>
              </w:drawing>
            </w:r>
          </w:p>
        </w:tc>
      </w:tr>
      <w:tr w14:paraId="46E48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526" w:type="dxa"/>
            <w:vAlign w:val="center"/>
          </w:tcPr>
          <w:p w14:paraId="1FBCDDE2">
            <w:pPr>
              <w:keepNext w:val="0"/>
              <w:keepLines w:val="0"/>
              <w:suppressLineNumbers w:val="0"/>
              <w:adjustRightInd w:val="0"/>
              <w:snapToGrid w:val="0"/>
              <w:spacing w:before="240" w:beforeLines="100" w:beforeAutospacing="0" w:after="240" w:afterLines="100" w:afterAutospacing="0"/>
              <w:ind w:left="0" w:leftChars="0" w:right="0" w:rightChars="0" w:firstLine="0" w:firstLineChars="0"/>
              <w:jc w:val="center"/>
              <w:rPr>
                <w:rFonts w:hint="default"/>
              </w:rPr>
            </w:pPr>
            <w:r>
              <w:rPr>
                <w:rFonts w:hint="eastAsia"/>
              </w:rPr>
              <w:drawing>
                <wp:inline distT="0" distB="0" distL="114300" distR="114300">
                  <wp:extent cx="5269865" cy="7026910"/>
                  <wp:effectExtent l="0" t="0" r="6985" b="2540"/>
                  <wp:docPr id="36" name="图片 13" descr="IMG2016042609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descr="IMG20160426092504"/>
                          <pic:cNvPicPr>
                            <a:picLocks noChangeAspect="1"/>
                          </pic:cNvPicPr>
                        </pic:nvPicPr>
                        <pic:blipFill>
                          <a:blip r:embed="rId51">
                            <a:lum bright="30000"/>
                          </a:blip>
                          <a:stretch>
                            <a:fillRect/>
                          </a:stretch>
                        </pic:blipFill>
                        <pic:spPr>
                          <a:xfrm>
                            <a:off x="0" y="0"/>
                            <a:ext cx="5269865" cy="7026910"/>
                          </a:xfrm>
                          <a:prstGeom prst="rect">
                            <a:avLst/>
                          </a:prstGeom>
                          <a:noFill/>
                          <a:ln>
                            <a:noFill/>
                          </a:ln>
                        </pic:spPr>
                      </pic:pic>
                    </a:graphicData>
                  </a:graphic>
                </wp:inline>
              </w:drawing>
            </w:r>
          </w:p>
        </w:tc>
      </w:tr>
    </w:tbl>
    <w:p w14:paraId="6CDFBFDD">
      <w:pPr>
        <w:widowControl/>
        <w:jc w:val="left"/>
        <w:rPr>
          <w:sz w:val="24"/>
        </w:rPr>
      </w:pPr>
    </w:p>
    <w:p w14:paraId="45A02BF8">
      <w:pPr>
        <w:pStyle w:val="14"/>
        <w:numPr>
          <w:ilvl w:val="0"/>
          <w:numId w:val="24"/>
        </w:numPr>
        <w:tabs>
          <w:tab w:val="left" w:pos="283"/>
          <w:tab w:val="clear" w:pos="0"/>
        </w:tabs>
        <w:ind w:left="0" w:firstLine="0"/>
        <w:jc w:val="left"/>
        <w:outlineLvl w:val="0"/>
        <w:rPr>
          <w:rFonts w:hAnsi="Times New Roman"/>
        </w:rPr>
        <w:sectPr>
          <w:pgSz w:w="11906" w:h="16838"/>
          <w:pgMar w:top="1417" w:right="1531" w:bottom="1417" w:left="1701" w:header="851" w:footer="851" w:gutter="0"/>
          <w:pgBorders>
            <w:top w:val="none" w:sz="0" w:space="0"/>
            <w:left w:val="none" w:sz="0" w:space="0"/>
            <w:bottom w:val="none" w:sz="0" w:space="0"/>
            <w:right w:val="none" w:sz="0" w:space="0"/>
          </w:pgBorders>
          <w:cols w:space="720" w:num="1"/>
          <w:docGrid w:linePitch="312" w:charSpace="0"/>
        </w:sectPr>
      </w:pPr>
    </w:p>
    <w:p w14:paraId="13681BD7">
      <w:pPr>
        <w:pStyle w:val="14"/>
        <w:numPr>
          <w:ilvl w:val="0"/>
          <w:numId w:val="23"/>
        </w:numPr>
        <w:tabs>
          <w:tab w:val="left" w:pos="283"/>
        </w:tabs>
        <w:spacing w:after="157" w:afterLines="50"/>
        <w:ind w:left="0" w:firstLine="0"/>
        <w:jc w:val="left"/>
        <w:outlineLvl w:val="0"/>
        <w:rPr>
          <w:rFonts w:hAnsi="Times New Roman"/>
        </w:rPr>
      </w:pPr>
      <w:bookmarkStart w:id="87" w:name="_Toc28844"/>
      <w:bookmarkStart w:id="88" w:name="_Toc17725"/>
      <w:bookmarkStart w:id="89" w:name="_Toc22502"/>
      <w:bookmarkStart w:id="90" w:name="_Toc12258"/>
      <w:bookmarkStart w:id="91" w:name="_Toc15226"/>
      <w:bookmarkStart w:id="92" w:name="_Toc6269"/>
      <w:r>
        <w:rPr>
          <w:rFonts w:hint="eastAsia" w:hAnsi="Times New Roman"/>
          <w:b/>
          <w:bCs/>
          <w:sz w:val="28"/>
          <w:szCs w:val="28"/>
          <w:lang w:eastAsia="zh-CN"/>
        </w:rPr>
        <w:t>《</w:t>
      </w:r>
      <w:r>
        <w:rPr>
          <w:rFonts w:hint="eastAsia" w:hAnsi="Times New Roman"/>
          <w:b/>
          <w:bCs/>
          <w:sz w:val="28"/>
          <w:szCs w:val="28"/>
          <w:lang w:val="en-US" w:eastAsia="zh-CN"/>
        </w:rPr>
        <w:t>湖南省生态环境厅关于君山产业开发区环境影响跟踪评价工作意见的函</w:t>
      </w:r>
      <w:r>
        <w:rPr>
          <w:rFonts w:hint="eastAsia" w:hAnsi="Times New Roman"/>
          <w:b/>
          <w:bCs/>
          <w:sz w:val="28"/>
          <w:szCs w:val="28"/>
          <w:lang w:eastAsia="zh-CN"/>
        </w:rPr>
        <w:t>》</w:t>
      </w:r>
      <w:bookmarkEnd w:id="87"/>
      <w:bookmarkEnd w:id="88"/>
      <w:bookmarkEnd w:id="89"/>
      <w:bookmarkEnd w:id="90"/>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09790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060" w:type="dxa"/>
          </w:tcPr>
          <w:p w14:paraId="4B725B76">
            <w:pPr>
              <w:keepNext w:val="0"/>
              <w:keepLines w:val="0"/>
              <w:suppressLineNumbers w:val="0"/>
              <w:spacing w:before="0" w:beforeAutospacing="0" w:after="0" w:afterAutospacing="0"/>
              <w:ind w:left="0" w:right="0"/>
              <w:rPr>
                <w:rFonts w:hint="default"/>
                <w:vertAlign w:val="baseline"/>
              </w:rPr>
            </w:pPr>
            <w:r>
              <w:rPr>
                <w:rFonts w:hint="default"/>
                <w:vertAlign w:val="baseline"/>
                <w:lang w:val="en-US" w:eastAsia="zh-CN"/>
              </w:rPr>
              <w:drawing>
                <wp:inline distT="0" distB="0" distL="114300" distR="114300">
                  <wp:extent cx="5271135" cy="6990715"/>
                  <wp:effectExtent l="0" t="0" r="5715" b="635"/>
                  <wp:docPr id="111" name="图片 8" descr="3084d92d882d236a7d710cbba641a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 descr="3084d92d882d236a7d710cbba641af9"/>
                          <pic:cNvPicPr>
                            <a:picLocks noChangeAspect="1"/>
                          </pic:cNvPicPr>
                        </pic:nvPicPr>
                        <pic:blipFill>
                          <a:blip r:embed="rId52"/>
                          <a:stretch>
                            <a:fillRect/>
                          </a:stretch>
                        </pic:blipFill>
                        <pic:spPr>
                          <a:xfrm>
                            <a:off x="0" y="0"/>
                            <a:ext cx="5271135" cy="6990715"/>
                          </a:xfrm>
                          <a:prstGeom prst="rect">
                            <a:avLst/>
                          </a:prstGeom>
                          <a:noFill/>
                          <a:ln>
                            <a:noFill/>
                          </a:ln>
                        </pic:spPr>
                      </pic:pic>
                    </a:graphicData>
                  </a:graphic>
                </wp:inline>
              </w:drawing>
            </w:r>
          </w:p>
        </w:tc>
      </w:tr>
      <w:tr w14:paraId="402D2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4B05BB40">
            <w:pPr>
              <w:keepNext w:val="0"/>
              <w:keepLines w:val="0"/>
              <w:suppressLineNumbers w:val="0"/>
              <w:spacing w:before="0" w:beforeAutospacing="0" w:after="0" w:afterAutospacing="0"/>
              <w:ind w:left="0" w:right="0"/>
              <w:rPr>
                <w:rFonts w:hint="default"/>
                <w:vertAlign w:val="baseline"/>
                <w:lang w:val="en-US" w:eastAsia="zh-CN"/>
              </w:rPr>
            </w:pPr>
            <w:r>
              <w:rPr>
                <w:rFonts w:hint="default"/>
                <w:vertAlign w:val="baseline"/>
                <w:lang w:val="en-US" w:eastAsia="zh-CN"/>
              </w:rPr>
              <w:drawing>
                <wp:inline distT="0" distB="0" distL="114300" distR="114300">
                  <wp:extent cx="5271135" cy="7474585"/>
                  <wp:effectExtent l="0" t="0" r="5715" b="12065"/>
                  <wp:docPr id="114" name="图片 9" descr="ff35bac586712e571c9475f417bf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descr="ff35bac586712e571c9475f417bfa04"/>
                          <pic:cNvPicPr>
                            <a:picLocks noChangeAspect="1"/>
                          </pic:cNvPicPr>
                        </pic:nvPicPr>
                        <pic:blipFill>
                          <a:blip r:embed="rId53"/>
                          <a:stretch>
                            <a:fillRect/>
                          </a:stretch>
                        </pic:blipFill>
                        <pic:spPr>
                          <a:xfrm>
                            <a:off x="0" y="0"/>
                            <a:ext cx="5271135" cy="7474585"/>
                          </a:xfrm>
                          <a:prstGeom prst="rect">
                            <a:avLst/>
                          </a:prstGeom>
                          <a:noFill/>
                          <a:ln>
                            <a:noFill/>
                          </a:ln>
                        </pic:spPr>
                      </pic:pic>
                    </a:graphicData>
                  </a:graphic>
                </wp:inline>
              </w:drawing>
            </w:r>
          </w:p>
        </w:tc>
      </w:tr>
      <w:tr w14:paraId="26B4B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07ABEF02">
            <w:pPr>
              <w:keepNext w:val="0"/>
              <w:keepLines w:val="0"/>
              <w:suppressLineNumbers w:val="0"/>
              <w:spacing w:before="0" w:beforeAutospacing="0" w:after="0" w:afterAutospacing="0"/>
              <w:ind w:left="0" w:right="0"/>
              <w:rPr>
                <w:rFonts w:hint="default"/>
                <w:vertAlign w:val="baseline"/>
                <w:lang w:val="en-US" w:eastAsia="zh-CN"/>
              </w:rPr>
            </w:pPr>
            <w:r>
              <w:rPr>
                <w:rFonts w:hint="default"/>
                <w:vertAlign w:val="baseline"/>
                <w:lang w:val="en-US" w:eastAsia="zh-CN"/>
              </w:rPr>
              <w:drawing>
                <wp:inline distT="0" distB="0" distL="114300" distR="114300">
                  <wp:extent cx="5271135" cy="7465060"/>
                  <wp:effectExtent l="0" t="0" r="5715" b="2540"/>
                  <wp:docPr id="115" name="图片 10" descr="ca8f6e1773b7f86bf9204510bf38c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 descr="ca8f6e1773b7f86bf9204510bf38cd9"/>
                          <pic:cNvPicPr>
                            <a:picLocks noChangeAspect="1"/>
                          </pic:cNvPicPr>
                        </pic:nvPicPr>
                        <pic:blipFill>
                          <a:blip r:embed="rId54"/>
                          <a:stretch>
                            <a:fillRect/>
                          </a:stretch>
                        </pic:blipFill>
                        <pic:spPr>
                          <a:xfrm>
                            <a:off x="0" y="0"/>
                            <a:ext cx="5271135" cy="7465060"/>
                          </a:xfrm>
                          <a:prstGeom prst="rect">
                            <a:avLst/>
                          </a:prstGeom>
                          <a:noFill/>
                          <a:ln>
                            <a:noFill/>
                          </a:ln>
                        </pic:spPr>
                      </pic:pic>
                    </a:graphicData>
                  </a:graphic>
                </wp:inline>
              </w:drawing>
            </w:r>
          </w:p>
        </w:tc>
      </w:tr>
      <w:tr w14:paraId="4F464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31645D36">
            <w:pPr>
              <w:keepNext w:val="0"/>
              <w:keepLines w:val="0"/>
              <w:suppressLineNumbers w:val="0"/>
              <w:spacing w:before="0" w:beforeAutospacing="0" w:after="0" w:afterAutospacing="0"/>
              <w:ind w:left="0" w:right="0"/>
              <w:rPr>
                <w:rFonts w:hint="default"/>
                <w:vertAlign w:val="baseline"/>
                <w:lang w:val="en-US" w:eastAsia="zh-CN"/>
              </w:rPr>
            </w:pPr>
            <w:r>
              <w:rPr>
                <w:rFonts w:hint="default"/>
                <w:vertAlign w:val="baseline"/>
                <w:lang w:val="en-US" w:eastAsia="zh-CN"/>
              </w:rPr>
              <w:drawing>
                <wp:inline distT="0" distB="0" distL="114300" distR="114300">
                  <wp:extent cx="5271135" cy="7167245"/>
                  <wp:effectExtent l="0" t="0" r="5715" b="14605"/>
                  <wp:docPr id="116" name="图片 11" descr="8164edcf863d53585d644fc95c3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 descr="8164edcf863d53585d644fc95c30087"/>
                          <pic:cNvPicPr>
                            <a:picLocks noChangeAspect="1"/>
                          </pic:cNvPicPr>
                        </pic:nvPicPr>
                        <pic:blipFill>
                          <a:blip r:embed="rId55"/>
                          <a:stretch>
                            <a:fillRect/>
                          </a:stretch>
                        </pic:blipFill>
                        <pic:spPr>
                          <a:xfrm>
                            <a:off x="0" y="0"/>
                            <a:ext cx="5271135" cy="7167245"/>
                          </a:xfrm>
                          <a:prstGeom prst="rect">
                            <a:avLst/>
                          </a:prstGeom>
                          <a:noFill/>
                          <a:ln>
                            <a:noFill/>
                          </a:ln>
                        </pic:spPr>
                      </pic:pic>
                    </a:graphicData>
                  </a:graphic>
                </wp:inline>
              </w:drawing>
            </w:r>
          </w:p>
        </w:tc>
      </w:tr>
      <w:tr w14:paraId="1ACC8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552B62A2">
            <w:pPr>
              <w:keepNext w:val="0"/>
              <w:keepLines w:val="0"/>
              <w:suppressLineNumbers w:val="0"/>
              <w:spacing w:before="0" w:beforeAutospacing="0" w:after="0" w:afterAutospacing="0"/>
              <w:ind w:left="0" w:right="0"/>
              <w:rPr>
                <w:rFonts w:hint="default"/>
                <w:vertAlign w:val="baseline"/>
                <w:lang w:val="en-US" w:eastAsia="zh-CN"/>
              </w:rPr>
            </w:pPr>
            <w:r>
              <w:rPr>
                <w:rFonts w:hint="default"/>
                <w:vertAlign w:val="baseline"/>
                <w:lang w:val="en-US" w:eastAsia="zh-CN"/>
              </w:rPr>
              <w:drawing>
                <wp:inline distT="0" distB="0" distL="114300" distR="114300">
                  <wp:extent cx="5271135" cy="7529830"/>
                  <wp:effectExtent l="0" t="0" r="5715" b="13970"/>
                  <wp:docPr id="117" name="图片 12" descr="9d8af55d7a1cecf9fdb59cbc64f8d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2" descr="9d8af55d7a1cecf9fdb59cbc64f8d6e"/>
                          <pic:cNvPicPr>
                            <a:picLocks noChangeAspect="1"/>
                          </pic:cNvPicPr>
                        </pic:nvPicPr>
                        <pic:blipFill>
                          <a:blip r:embed="rId56"/>
                          <a:stretch>
                            <a:fillRect/>
                          </a:stretch>
                        </pic:blipFill>
                        <pic:spPr>
                          <a:xfrm>
                            <a:off x="0" y="0"/>
                            <a:ext cx="5271135" cy="7529830"/>
                          </a:xfrm>
                          <a:prstGeom prst="rect">
                            <a:avLst/>
                          </a:prstGeom>
                          <a:noFill/>
                          <a:ln>
                            <a:noFill/>
                          </a:ln>
                        </pic:spPr>
                      </pic:pic>
                    </a:graphicData>
                  </a:graphic>
                </wp:inline>
              </w:drawing>
            </w:r>
          </w:p>
        </w:tc>
      </w:tr>
      <w:tr w14:paraId="62B89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060" w:type="dxa"/>
          </w:tcPr>
          <w:p w14:paraId="365063C2">
            <w:pPr>
              <w:keepNext w:val="0"/>
              <w:keepLines w:val="0"/>
              <w:suppressLineNumbers w:val="0"/>
              <w:spacing w:before="0" w:beforeAutospacing="0" w:after="0" w:afterAutospacing="0"/>
              <w:ind w:left="0" w:right="0"/>
              <w:rPr>
                <w:rFonts w:hint="default"/>
                <w:vertAlign w:val="baseline"/>
                <w:lang w:val="en-US" w:eastAsia="zh-CN"/>
              </w:rPr>
            </w:pPr>
            <w:r>
              <w:rPr>
                <w:rFonts w:hint="default"/>
                <w:vertAlign w:val="baseline"/>
                <w:lang w:val="en-US" w:eastAsia="zh-CN"/>
              </w:rPr>
              <w:drawing>
                <wp:inline distT="0" distB="0" distL="114300" distR="114300">
                  <wp:extent cx="5271135" cy="8032115"/>
                  <wp:effectExtent l="0" t="0" r="5715" b="6985"/>
                  <wp:docPr id="118" name="图片 13" descr="2738b2fe3ccbe1b133b276134458c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3" descr="2738b2fe3ccbe1b133b276134458c75"/>
                          <pic:cNvPicPr>
                            <a:picLocks noChangeAspect="1"/>
                          </pic:cNvPicPr>
                        </pic:nvPicPr>
                        <pic:blipFill>
                          <a:blip r:embed="rId57"/>
                          <a:stretch>
                            <a:fillRect/>
                          </a:stretch>
                        </pic:blipFill>
                        <pic:spPr>
                          <a:xfrm>
                            <a:off x="0" y="0"/>
                            <a:ext cx="5271135" cy="8032115"/>
                          </a:xfrm>
                          <a:prstGeom prst="rect">
                            <a:avLst/>
                          </a:prstGeom>
                          <a:noFill/>
                          <a:ln>
                            <a:noFill/>
                          </a:ln>
                        </pic:spPr>
                      </pic:pic>
                    </a:graphicData>
                  </a:graphic>
                </wp:inline>
              </w:drawing>
            </w:r>
          </w:p>
        </w:tc>
      </w:tr>
    </w:tbl>
    <w:p w14:paraId="50F89C0D"/>
    <w:p w14:paraId="5CAEDF69">
      <w:pPr>
        <w:pStyle w:val="14"/>
        <w:numPr>
          <w:ilvl w:val="0"/>
          <w:numId w:val="23"/>
        </w:numPr>
        <w:tabs>
          <w:tab w:val="left" w:pos="283"/>
        </w:tabs>
        <w:ind w:left="0" w:firstLine="0"/>
        <w:jc w:val="left"/>
        <w:outlineLvl w:val="0"/>
        <w:rPr>
          <w:rFonts w:hAnsi="Times New Roman"/>
        </w:rPr>
        <w:sectPr>
          <w:pgSz w:w="11906" w:h="16838"/>
          <w:pgMar w:top="1417" w:right="1134" w:bottom="1417" w:left="1701" w:header="851" w:footer="851" w:gutter="0"/>
          <w:pgBorders>
            <w:top w:val="none" w:sz="0" w:space="0"/>
            <w:left w:val="none" w:sz="0" w:space="0"/>
            <w:bottom w:val="none" w:sz="0" w:space="0"/>
            <w:right w:val="none" w:sz="0" w:space="0"/>
          </w:pgBorders>
          <w:cols w:space="720" w:num="1"/>
          <w:docGrid w:linePitch="312" w:charSpace="0"/>
        </w:sectPr>
      </w:pPr>
    </w:p>
    <w:p w14:paraId="15E69286">
      <w:pPr>
        <w:pStyle w:val="14"/>
        <w:numPr>
          <w:ilvl w:val="0"/>
          <w:numId w:val="23"/>
        </w:numPr>
        <w:tabs>
          <w:tab w:val="left" w:pos="283"/>
        </w:tabs>
        <w:spacing w:after="157" w:afterLines="50"/>
        <w:ind w:left="0" w:firstLine="0"/>
        <w:jc w:val="left"/>
        <w:outlineLvl w:val="0"/>
        <w:rPr>
          <w:rFonts w:hAnsi="Times New Roman"/>
        </w:rPr>
      </w:pPr>
      <w:bookmarkStart w:id="93" w:name="_Toc28009"/>
      <w:bookmarkStart w:id="94" w:name="_Toc844"/>
      <w:bookmarkStart w:id="95" w:name="_Toc17690"/>
      <w:bookmarkStart w:id="96" w:name="_Toc19445"/>
      <w:r>
        <w:rPr>
          <w:rFonts w:hAnsi="Times New Roman"/>
          <w:b/>
          <w:bCs/>
          <w:sz w:val="28"/>
          <w:szCs w:val="28"/>
        </w:rPr>
        <w:t>《</w:t>
      </w:r>
      <w:r>
        <w:rPr>
          <w:rFonts w:hint="eastAsia" w:hAnsi="Times New Roman"/>
          <w:b/>
          <w:bCs/>
          <w:sz w:val="28"/>
          <w:szCs w:val="28"/>
          <w:lang w:val="en-US" w:eastAsia="zh-CN"/>
        </w:rPr>
        <w:t>关于湖南童记三利和食品有限公司年产2万吨特色休闲鱼制品</w:t>
      </w:r>
      <w:r>
        <w:rPr>
          <w:rFonts w:hAnsi="Times New Roman"/>
          <w:b/>
          <w:bCs/>
          <w:sz w:val="28"/>
          <w:szCs w:val="28"/>
        </w:rPr>
        <w:t>建设项目环境影响报告</w:t>
      </w:r>
      <w:r>
        <w:rPr>
          <w:rFonts w:hint="eastAsia" w:hAnsi="Times New Roman"/>
          <w:b/>
          <w:bCs/>
          <w:sz w:val="28"/>
          <w:szCs w:val="28"/>
          <w:lang w:val="en-US" w:eastAsia="zh-CN"/>
        </w:rPr>
        <w:t>表的</w:t>
      </w:r>
      <w:r>
        <w:rPr>
          <w:rFonts w:hAnsi="Times New Roman"/>
          <w:b/>
          <w:bCs/>
          <w:sz w:val="28"/>
          <w:szCs w:val="28"/>
        </w:rPr>
        <w:t>批复》</w:t>
      </w:r>
      <w:bookmarkEnd w:id="91"/>
      <w:bookmarkEnd w:id="92"/>
      <w:bookmarkEnd w:id="93"/>
      <w:bookmarkEnd w:id="94"/>
      <w:bookmarkEnd w:id="95"/>
      <w:bookmarkEnd w:id="96"/>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0"/>
      </w:tblGrid>
      <w:tr w14:paraId="65A05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vAlign w:val="center"/>
          </w:tcPr>
          <w:p w14:paraId="0A4E90BC">
            <w:pPr>
              <w:keepNext w:val="0"/>
              <w:keepLines w:val="0"/>
              <w:suppressLineNumbers w:val="0"/>
              <w:spacing w:before="0" w:beforeAutospacing="0" w:after="0" w:afterAutospacing="0"/>
              <w:ind w:left="0" w:leftChars="0" w:right="0" w:righ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195570" cy="7886065"/>
                  <wp:effectExtent l="0" t="0" r="5080" b="635"/>
                  <wp:docPr id="39" name="图片 39" descr="cc936ab6abe5ff8907b67ac2bf4f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c936ab6abe5ff8907b67ac2bf4f304"/>
                          <pic:cNvPicPr>
                            <a:picLocks noChangeAspect="1"/>
                          </pic:cNvPicPr>
                        </pic:nvPicPr>
                        <pic:blipFill>
                          <a:blip r:embed="rId58"/>
                          <a:stretch>
                            <a:fillRect/>
                          </a:stretch>
                        </pic:blipFill>
                        <pic:spPr>
                          <a:xfrm>
                            <a:off x="0" y="0"/>
                            <a:ext cx="5195570" cy="7886065"/>
                          </a:xfrm>
                          <a:prstGeom prst="rect">
                            <a:avLst/>
                          </a:prstGeom>
                        </pic:spPr>
                      </pic:pic>
                    </a:graphicData>
                  </a:graphic>
                </wp:inline>
              </w:drawing>
            </w:r>
          </w:p>
        </w:tc>
      </w:tr>
      <w:tr w14:paraId="40457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vAlign w:val="center"/>
          </w:tcPr>
          <w:p w14:paraId="4130A534">
            <w:pPr>
              <w:keepNext w:val="0"/>
              <w:keepLines w:val="0"/>
              <w:suppressLineNumbers w:val="0"/>
              <w:spacing w:before="0" w:beforeAutospacing="0" w:after="0" w:afterAutospacing="0"/>
              <w:ind w:left="0" w:leftChars="0" w:right="0" w:righ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597525" cy="8371840"/>
                  <wp:effectExtent l="0" t="0" r="3175" b="10160"/>
                  <wp:docPr id="40" name="图片 40" descr="e6ffa6e307e5a971b87d831c4ebe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6ffa6e307e5a971b87d831c4ebe303"/>
                          <pic:cNvPicPr>
                            <a:picLocks noChangeAspect="1"/>
                          </pic:cNvPicPr>
                        </pic:nvPicPr>
                        <pic:blipFill>
                          <a:blip r:embed="rId59"/>
                          <a:stretch>
                            <a:fillRect/>
                          </a:stretch>
                        </pic:blipFill>
                        <pic:spPr>
                          <a:xfrm>
                            <a:off x="0" y="0"/>
                            <a:ext cx="5597525" cy="8371840"/>
                          </a:xfrm>
                          <a:prstGeom prst="rect">
                            <a:avLst/>
                          </a:prstGeom>
                        </pic:spPr>
                      </pic:pic>
                    </a:graphicData>
                  </a:graphic>
                </wp:inline>
              </w:drawing>
            </w:r>
          </w:p>
        </w:tc>
      </w:tr>
      <w:tr w14:paraId="75068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vAlign w:val="center"/>
          </w:tcPr>
          <w:p w14:paraId="2F1F77A7">
            <w:pPr>
              <w:keepNext w:val="0"/>
              <w:keepLines w:val="0"/>
              <w:suppressLineNumbers w:val="0"/>
              <w:spacing w:before="0" w:beforeAutospacing="0" w:after="0" w:afterAutospacing="0"/>
              <w:ind w:left="0" w:leftChars="0" w:right="0" w:rightChars="0" w:firstLine="0" w:firstLineChars="0"/>
              <w:jc w:val="center"/>
              <w:rPr>
                <w:rFonts w:hint="eastAsia" w:eastAsia="宋体"/>
                <w:vertAlign w:val="baseline"/>
                <w:lang w:eastAsia="zh-CN"/>
              </w:rPr>
            </w:pPr>
            <w:r>
              <w:rPr>
                <w:rFonts w:hint="eastAsia" w:eastAsia="宋体"/>
                <w:vertAlign w:val="baseline"/>
                <w:lang w:eastAsia="zh-CN"/>
              </w:rPr>
              <w:drawing>
                <wp:inline distT="0" distB="0" distL="114300" distR="114300">
                  <wp:extent cx="5598795" cy="8444230"/>
                  <wp:effectExtent l="0" t="0" r="1905" b="13970"/>
                  <wp:docPr id="41" name="图片 41" descr="7a83c25bd8f4c96f7050b5c13b99e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a83c25bd8f4c96f7050b5c13b99e87"/>
                          <pic:cNvPicPr>
                            <a:picLocks noChangeAspect="1"/>
                          </pic:cNvPicPr>
                        </pic:nvPicPr>
                        <pic:blipFill>
                          <a:blip r:embed="rId60"/>
                          <a:stretch>
                            <a:fillRect/>
                          </a:stretch>
                        </pic:blipFill>
                        <pic:spPr>
                          <a:xfrm>
                            <a:off x="0" y="0"/>
                            <a:ext cx="5598795" cy="8444230"/>
                          </a:xfrm>
                          <a:prstGeom prst="rect">
                            <a:avLst/>
                          </a:prstGeom>
                        </pic:spPr>
                      </pic:pic>
                    </a:graphicData>
                  </a:graphic>
                </wp:inline>
              </w:drawing>
            </w:r>
          </w:p>
        </w:tc>
      </w:tr>
    </w:tbl>
    <w:p w14:paraId="5136E42D">
      <w:pPr>
        <w:sectPr>
          <w:pgSz w:w="11906" w:h="16838"/>
          <w:pgMar w:top="1417" w:right="1531" w:bottom="1417" w:left="1701" w:header="851" w:footer="851" w:gutter="0"/>
          <w:pgBorders>
            <w:top w:val="none" w:sz="0" w:space="0"/>
            <w:left w:val="none" w:sz="0" w:space="0"/>
            <w:bottom w:val="none" w:sz="0" w:space="0"/>
            <w:right w:val="none" w:sz="0" w:space="0"/>
          </w:pgBorders>
          <w:cols w:space="720" w:num="1"/>
          <w:docGrid w:linePitch="312" w:charSpace="0"/>
        </w:sectPr>
      </w:pPr>
    </w:p>
    <w:p w14:paraId="593B9B33">
      <w:pPr>
        <w:pStyle w:val="14"/>
        <w:numPr>
          <w:ilvl w:val="0"/>
          <w:numId w:val="23"/>
        </w:numPr>
        <w:tabs>
          <w:tab w:val="left" w:pos="283"/>
        </w:tabs>
        <w:spacing w:after="157" w:afterLines="50"/>
        <w:ind w:left="0" w:firstLine="0"/>
        <w:jc w:val="left"/>
        <w:outlineLvl w:val="0"/>
        <w:rPr>
          <w:rFonts w:hAnsi="Times New Roman"/>
        </w:rPr>
      </w:pPr>
      <w:bookmarkStart w:id="97" w:name="_Toc25087"/>
      <w:bookmarkStart w:id="98" w:name="_Toc26761"/>
      <w:bookmarkStart w:id="99" w:name="_Toc28051"/>
      <w:bookmarkStart w:id="100" w:name="_Toc2300"/>
      <w:bookmarkStart w:id="101" w:name="_Toc32652"/>
      <w:bookmarkStart w:id="102" w:name="_Toc30896"/>
      <w:r>
        <w:rPr>
          <w:rFonts w:hint="eastAsia" w:hAnsi="Times New Roman"/>
          <w:b/>
          <w:bCs/>
          <w:sz w:val="28"/>
          <w:szCs w:val="28"/>
          <w:lang w:eastAsia="zh-CN"/>
        </w:rPr>
        <w:t>《</w:t>
      </w:r>
      <w:r>
        <w:rPr>
          <w:rFonts w:hint="eastAsia" w:hAnsi="Times New Roman"/>
          <w:b/>
          <w:bCs/>
          <w:sz w:val="28"/>
          <w:szCs w:val="28"/>
          <w:lang w:val="en-US" w:eastAsia="zh-CN"/>
        </w:rPr>
        <w:t>湖南童记三利和食品有限公司年产2万吨特色休闲鱼制品建设项目竣工环境保护验收批复</w:t>
      </w:r>
      <w:r>
        <w:rPr>
          <w:rFonts w:hint="eastAsia" w:hAnsi="Times New Roman"/>
          <w:b/>
          <w:bCs/>
          <w:sz w:val="28"/>
          <w:szCs w:val="28"/>
          <w:lang w:eastAsia="zh-CN"/>
        </w:rPr>
        <w:t>》</w:t>
      </w:r>
      <w:bookmarkEnd w:id="97"/>
      <w:bookmarkEnd w:id="98"/>
      <w:bookmarkEnd w:id="99"/>
      <w:bookmarkEnd w:id="100"/>
      <w:bookmarkEnd w:id="101"/>
      <w:bookmarkEnd w:id="102"/>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6"/>
      </w:tblGrid>
      <w:tr w14:paraId="08161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22" w:type="dxa"/>
          </w:tcPr>
          <w:p w14:paraId="1222B3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rightChars="0"/>
              <w:jc w:val="both"/>
              <w:textAlignment w:val="auto"/>
              <w:outlineLvl w:val="9"/>
              <w:rPr>
                <w:rFonts w:hint="eastAsia" w:eastAsia="宋体"/>
                <w:sz w:val="24"/>
                <w:lang w:eastAsia="zh-CN"/>
              </w:rPr>
            </w:pPr>
            <w:r>
              <w:rPr>
                <w:rFonts w:hint="eastAsia" w:eastAsia="宋体"/>
                <w:sz w:val="24"/>
                <w:lang w:eastAsia="zh-CN"/>
              </w:rPr>
              <w:drawing>
                <wp:inline distT="0" distB="0" distL="114300" distR="114300">
                  <wp:extent cx="5260975" cy="7966075"/>
                  <wp:effectExtent l="0" t="0" r="15875" b="15875"/>
                  <wp:docPr id="42" name="图片 42" descr="5f0f414b6a034c24b46c5b3de39d1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f0f414b6a034c24b46c5b3de39d1f4"/>
                          <pic:cNvPicPr>
                            <a:picLocks noChangeAspect="1"/>
                          </pic:cNvPicPr>
                        </pic:nvPicPr>
                        <pic:blipFill>
                          <a:blip r:embed="rId61"/>
                          <a:stretch>
                            <a:fillRect/>
                          </a:stretch>
                        </pic:blipFill>
                        <pic:spPr>
                          <a:xfrm>
                            <a:off x="0" y="0"/>
                            <a:ext cx="5260975" cy="7966075"/>
                          </a:xfrm>
                          <a:prstGeom prst="rect">
                            <a:avLst/>
                          </a:prstGeom>
                        </pic:spPr>
                      </pic:pic>
                    </a:graphicData>
                  </a:graphic>
                </wp:inline>
              </w:drawing>
            </w:r>
          </w:p>
        </w:tc>
      </w:tr>
      <w:tr w14:paraId="668DD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14:paraId="310686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rightChars="0"/>
              <w:jc w:val="both"/>
              <w:textAlignment w:val="auto"/>
              <w:outlineLvl w:val="9"/>
              <w:rPr>
                <w:rFonts w:hint="eastAsia" w:eastAsia="宋体"/>
                <w:sz w:val="24"/>
                <w:lang w:eastAsia="zh-CN"/>
              </w:rPr>
            </w:pPr>
            <w:r>
              <w:rPr>
                <w:rFonts w:hint="eastAsia" w:eastAsia="宋体"/>
                <w:sz w:val="24"/>
                <w:lang w:eastAsia="zh-CN"/>
              </w:rPr>
              <w:drawing>
                <wp:inline distT="0" distB="0" distL="114300" distR="114300">
                  <wp:extent cx="5258435" cy="7823835"/>
                  <wp:effectExtent l="0" t="0" r="18415" b="5715"/>
                  <wp:docPr id="43" name="图片 43" descr="f67cb16fe949b496b722a97ee9686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67cb16fe949b496b722a97ee9686b5"/>
                          <pic:cNvPicPr>
                            <a:picLocks noChangeAspect="1"/>
                          </pic:cNvPicPr>
                        </pic:nvPicPr>
                        <pic:blipFill>
                          <a:blip r:embed="rId62"/>
                          <a:stretch>
                            <a:fillRect/>
                          </a:stretch>
                        </pic:blipFill>
                        <pic:spPr>
                          <a:xfrm>
                            <a:off x="0" y="0"/>
                            <a:ext cx="5258435" cy="7823835"/>
                          </a:xfrm>
                          <a:prstGeom prst="rect">
                            <a:avLst/>
                          </a:prstGeom>
                        </pic:spPr>
                      </pic:pic>
                    </a:graphicData>
                  </a:graphic>
                </wp:inline>
              </w:drawing>
            </w:r>
          </w:p>
        </w:tc>
      </w:tr>
      <w:tr w14:paraId="05C48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14:paraId="15C194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rightChars="0"/>
              <w:jc w:val="both"/>
              <w:textAlignment w:val="auto"/>
              <w:outlineLvl w:val="9"/>
              <w:rPr>
                <w:rFonts w:hint="eastAsia" w:eastAsia="宋体"/>
                <w:sz w:val="24"/>
                <w:lang w:eastAsia="zh-CN"/>
              </w:rPr>
            </w:pPr>
            <w:r>
              <w:rPr>
                <w:rFonts w:hint="eastAsia" w:eastAsia="宋体"/>
                <w:sz w:val="24"/>
                <w:lang w:eastAsia="zh-CN"/>
              </w:rPr>
              <w:drawing>
                <wp:inline distT="0" distB="0" distL="114300" distR="114300">
                  <wp:extent cx="5270500" cy="8161020"/>
                  <wp:effectExtent l="0" t="0" r="6350" b="11430"/>
                  <wp:docPr id="44" name="图片 44" descr="313edca40350cb98fac969dcb724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13edca40350cb98fac969dcb724cae"/>
                          <pic:cNvPicPr>
                            <a:picLocks noChangeAspect="1"/>
                          </pic:cNvPicPr>
                        </pic:nvPicPr>
                        <pic:blipFill>
                          <a:blip r:embed="rId63"/>
                          <a:stretch>
                            <a:fillRect/>
                          </a:stretch>
                        </pic:blipFill>
                        <pic:spPr>
                          <a:xfrm>
                            <a:off x="0" y="0"/>
                            <a:ext cx="5270500" cy="8161020"/>
                          </a:xfrm>
                          <a:prstGeom prst="rect">
                            <a:avLst/>
                          </a:prstGeom>
                        </pic:spPr>
                      </pic:pic>
                    </a:graphicData>
                  </a:graphic>
                </wp:inline>
              </w:drawing>
            </w:r>
          </w:p>
        </w:tc>
      </w:tr>
      <w:tr w14:paraId="376AB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Pr>
          <w:p w14:paraId="55074E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rightChars="0"/>
              <w:jc w:val="both"/>
              <w:textAlignment w:val="auto"/>
              <w:outlineLvl w:val="9"/>
              <w:rPr>
                <w:rFonts w:hint="eastAsia" w:eastAsia="宋体"/>
                <w:sz w:val="24"/>
                <w:lang w:eastAsia="zh-CN"/>
              </w:rPr>
            </w:pPr>
            <w:r>
              <w:rPr>
                <w:rFonts w:hint="eastAsia" w:eastAsia="宋体"/>
                <w:sz w:val="24"/>
                <w:lang w:eastAsia="zh-CN"/>
              </w:rPr>
              <w:drawing>
                <wp:inline distT="0" distB="0" distL="114300" distR="114300">
                  <wp:extent cx="5267960" cy="7627620"/>
                  <wp:effectExtent l="0" t="0" r="8890" b="11430"/>
                  <wp:docPr id="45" name="图片 45" descr="31c554f5c2310d7420bb0b98d2b4f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1c554f5c2310d7420bb0b98d2b4ff7"/>
                          <pic:cNvPicPr>
                            <a:picLocks noChangeAspect="1"/>
                          </pic:cNvPicPr>
                        </pic:nvPicPr>
                        <pic:blipFill>
                          <a:blip r:embed="rId64"/>
                          <a:stretch>
                            <a:fillRect/>
                          </a:stretch>
                        </pic:blipFill>
                        <pic:spPr>
                          <a:xfrm>
                            <a:off x="0" y="0"/>
                            <a:ext cx="5267960" cy="7627620"/>
                          </a:xfrm>
                          <a:prstGeom prst="rect">
                            <a:avLst/>
                          </a:prstGeom>
                        </pic:spPr>
                      </pic:pic>
                    </a:graphicData>
                  </a:graphic>
                </wp:inline>
              </w:drawing>
            </w:r>
          </w:p>
        </w:tc>
      </w:tr>
    </w:tbl>
    <w:p w14:paraId="136E8B99">
      <w:pPr>
        <w:pStyle w:val="14"/>
        <w:numPr>
          <w:ilvl w:val="0"/>
          <w:numId w:val="23"/>
        </w:numPr>
        <w:tabs>
          <w:tab w:val="left" w:pos="283"/>
        </w:tabs>
        <w:jc w:val="left"/>
        <w:outlineLvl w:val="0"/>
        <w:rPr>
          <w:rFonts w:hAnsi="Times New Roman"/>
          <w:b/>
          <w:bCs/>
          <w:sz w:val="28"/>
          <w:szCs w:val="28"/>
        </w:r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p>
    <w:p w14:paraId="3258605B">
      <w:pPr>
        <w:pStyle w:val="14"/>
        <w:numPr>
          <w:ilvl w:val="0"/>
          <w:numId w:val="23"/>
        </w:numPr>
        <w:tabs>
          <w:tab w:val="left" w:pos="283"/>
        </w:tabs>
        <w:spacing w:line="360" w:lineRule="auto"/>
        <w:ind w:left="283" w:hanging="283"/>
        <w:jc w:val="left"/>
        <w:outlineLvl w:val="0"/>
      </w:pPr>
      <w:bookmarkStart w:id="103" w:name="_Toc962"/>
      <w:bookmarkStart w:id="104" w:name="_Toc11341"/>
      <w:bookmarkStart w:id="105" w:name="_Toc30862"/>
      <w:bookmarkStart w:id="106" w:name="_Toc15093"/>
      <w:bookmarkStart w:id="107" w:name="_Toc8663"/>
      <w:r>
        <w:rPr>
          <w:rFonts w:hint="eastAsia"/>
          <w:b/>
          <w:bCs/>
          <w:sz w:val="28"/>
          <w:szCs w:val="28"/>
          <w:lang w:val="en-US" w:eastAsia="zh-CN"/>
        </w:rPr>
        <w:t>废油收购合同</w:t>
      </w:r>
      <w:bookmarkEnd w:id="103"/>
      <w:bookmarkEnd w:id="104"/>
      <w:bookmarkEnd w:id="105"/>
      <w:bookmarkEnd w:id="106"/>
      <w:bookmarkEnd w:id="107"/>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6"/>
      </w:tblGrid>
      <w:tr w14:paraId="05B9C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33E24C52">
            <w:pPr>
              <w:keepNext w:val="0"/>
              <w:keepLines w:val="0"/>
              <w:suppressLineNumbers w:val="0"/>
              <w:spacing w:before="0" w:beforeAutospacing="0" w:after="0" w:afterAutospacing="0"/>
              <w:ind w:left="0" w:right="0"/>
              <w:rPr>
                <w:rFonts w:hint="eastAsia"/>
                <w:vertAlign w:val="baseline"/>
                <w:lang w:val="en-US" w:eastAsia="zh-CN"/>
              </w:rPr>
            </w:pPr>
            <w:r>
              <w:rPr>
                <w:rFonts w:hint="eastAsia"/>
                <w:vertAlign w:val="baseline"/>
                <w:lang w:val="en-US" w:eastAsia="zh-CN"/>
              </w:rPr>
              <w:drawing>
                <wp:inline distT="0" distB="0" distL="114300" distR="114300">
                  <wp:extent cx="5615305" cy="7945755"/>
                  <wp:effectExtent l="0" t="0" r="4445" b="17145"/>
                  <wp:docPr id="94" name="图片 94" descr="废油回收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废油回收合同_00"/>
                          <pic:cNvPicPr>
                            <a:picLocks noChangeAspect="1"/>
                          </pic:cNvPicPr>
                        </pic:nvPicPr>
                        <pic:blipFill>
                          <a:blip r:embed="rId65"/>
                          <a:stretch>
                            <a:fillRect/>
                          </a:stretch>
                        </pic:blipFill>
                        <pic:spPr>
                          <a:xfrm>
                            <a:off x="0" y="0"/>
                            <a:ext cx="5615305" cy="7945755"/>
                          </a:xfrm>
                          <a:prstGeom prst="rect">
                            <a:avLst/>
                          </a:prstGeom>
                        </pic:spPr>
                      </pic:pic>
                    </a:graphicData>
                  </a:graphic>
                </wp:inline>
              </w:drawing>
            </w:r>
          </w:p>
        </w:tc>
      </w:tr>
      <w:tr w14:paraId="54B10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0F13EE82">
            <w:pPr>
              <w:keepNext w:val="0"/>
              <w:keepLines w:val="0"/>
              <w:suppressLineNumbers w:val="0"/>
              <w:spacing w:before="0" w:beforeAutospacing="0" w:after="0" w:afterAutospacing="0"/>
              <w:ind w:left="0" w:right="0"/>
              <w:rPr>
                <w:rFonts w:hint="eastAsia"/>
                <w:vertAlign w:val="baseline"/>
                <w:lang w:val="en-US" w:eastAsia="zh-CN"/>
              </w:rPr>
            </w:pPr>
            <w:r>
              <w:rPr>
                <w:rFonts w:hint="eastAsia"/>
                <w:vertAlign w:val="baseline"/>
                <w:lang w:val="en-US" w:eastAsia="zh-CN"/>
              </w:rPr>
              <w:drawing>
                <wp:inline distT="0" distB="0" distL="114300" distR="114300">
                  <wp:extent cx="5615305" cy="7945755"/>
                  <wp:effectExtent l="0" t="0" r="4445" b="17145"/>
                  <wp:docPr id="95" name="图片 95" descr="废油回收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废油回收合同_01"/>
                          <pic:cNvPicPr>
                            <a:picLocks noChangeAspect="1"/>
                          </pic:cNvPicPr>
                        </pic:nvPicPr>
                        <pic:blipFill>
                          <a:blip r:embed="rId66"/>
                          <a:stretch>
                            <a:fillRect/>
                          </a:stretch>
                        </pic:blipFill>
                        <pic:spPr>
                          <a:xfrm>
                            <a:off x="0" y="0"/>
                            <a:ext cx="5615305" cy="7945755"/>
                          </a:xfrm>
                          <a:prstGeom prst="rect">
                            <a:avLst/>
                          </a:prstGeom>
                        </pic:spPr>
                      </pic:pic>
                    </a:graphicData>
                  </a:graphic>
                </wp:inline>
              </w:drawing>
            </w:r>
          </w:p>
        </w:tc>
      </w:tr>
    </w:tbl>
    <w:p w14:paraId="1A5E66BC">
      <w:pPr>
        <w:rPr>
          <w:rFonts w:hint="eastAsia"/>
          <w:lang w:val="en-US" w:eastAsia="zh-CN"/>
        </w:rPr>
      </w:pPr>
    </w:p>
    <w:p w14:paraId="33A867A3">
      <w:pPr>
        <w:rPr>
          <w:rFonts w:hint="eastAsia"/>
          <w:lang w:val="en-US" w:eastAsia="zh-CN"/>
        </w:rPr>
        <w:sectPr>
          <w:pgSz w:w="11906" w:h="16838"/>
          <w:pgMar w:top="1417" w:right="1134" w:bottom="1417" w:left="1701" w:header="851" w:footer="851" w:gutter="0"/>
          <w:pgBorders>
            <w:top w:val="none" w:sz="0" w:space="0"/>
            <w:left w:val="none" w:sz="0" w:space="0"/>
            <w:bottom w:val="none" w:sz="0" w:space="0"/>
            <w:right w:val="none" w:sz="0" w:space="0"/>
          </w:pgBorders>
          <w:cols w:space="720" w:num="1"/>
          <w:docGrid w:linePitch="312" w:charSpace="0"/>
        </w:sectPr>
      </w:pPr>
    </w:p>
    <w:p w14:paraId="01D922D9">
      <w:pPr>
        <w:pStyle w:val="14"/>
        <w:numPr>
          <w:ilvl w:val="0"/>
          <w:numId w:val="23"/>
        </w:numPr>
        <w:tabs>
          <w:tab w:val="left" w:pos="283"/>
        </w:tabs>
        <w:spacing w:line="360" w:lineRule="auto"/>
        <w:ind w:left="283" w:hanging="283"/>
        <w:jc w:val="left"/>
        <w:outlineLvl w:val="0"/>
      </w:pPr>
      <w:bookmarkStart w:id="108" w:name="_Toc9416"/>
      <w:bookmarkStart w:id="109" w:name="_Toc10379"/>
      <w:bookmarkStart w:id="110" w:name="_Toc25262"/>
      <w:bookmarkStart w:id="111" w:name="_Toc5634"/>
      <w:bookmarkStart w:id="112" w:name="_Toc17918"/>
      <w:r>
        <w:rPr>
          <w:rFonts w:hint="eastAsia"/>
          <w:b/>
          <w:bCs/>
          <w:sz w:val="28"/>
          <w:szCs w:val="28"/>
          <w:lang w:val="en-US" w:eastAsia="zh-CN"/>
        </w:rPr>
        <w:t>监测报告</w:t>
      </w:r>
      <w:bookmarkEnd w:id="108"/>
      <w:bookmarkEnd w:id="109"/>
      <w:bookmarkEnd w:id="110"/>
      <w:bookmarkEnd w:id="111"/>
      <w:bookmarkEnd w:id="112"/>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6"/>
      </w:tblGrid>
      <w:tr w14:paraId="6F535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4812FFD7">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8" name="图片 8" descr="童记三利和2024.8月检测数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童记三利和2024.8月检测数据_00"/>
                          <pic:cNvPicPr>
                            <a:picLocks noChangeAspect="1"/>
                          </pic:cNvPicPr>
                        </pic:nvPicPr>
                        <pic:blipFill>
                          <a:blip r:embed="rId67"/>
                          <a:stretch>
                            <a:fillRect/>
                          </a:stretch>
                        </pic:blipFill>
                        <pic:spPr>
                          <a:xfrm>
                            <a:off x="0" y="0"/>
                            <a:ext cx="5615305" cy="7947660"/>
                          </a:xfrm>
                          <a:prstGeom prst="rect">
                            <a:avLst/>
                          </a:prstGeom>
                        </pic:spPr>
                      </pic:pic>
                    </a:graphicData>
                  </a:graphic>
                </wp:inline>
              </w:drawing>
            </w:r>
          </w:p>
        </w:tc>
      </w:tr>
      <w:tr w14:paraId="7073C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73AA4C37">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9" name="图片 9" descr="童记三利和2024.8月检测数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童记三利和2024.8月检测数据_01"/>
                          <pic:cNvPicPr>
                            <a:picLocks noChangeAspect="1"/>
                          </pic:cNvPicPr>
                        </pic:nvPicPr>
                        <pic:blipFill>
                          <a:blip r:embed="rId68"/>
                          <a:stretch>
                            <a:fillRect/>
                          </a:stretch>
                        </pic:blipFill>
                        <pic:spPr>
                          <a:xfrm>
                            <a:off x="0" y="0"/>
                            <a:ext cx="5615305" cy="7947660"/>
                          </a:xfrm>
                          <a:prstGeom prst="rect">
                            <a:avLst/>
                          </a:prstGeom>
                        </pic:spPr>
                      </pic:pic>
                    </a:graphicData>
                  </a:graphic>
                </wp:inline>
              </w:drawing>
            </w:r>
          </w:p>
        </w:tc>
      </w:tr>
      <w:tr w14:paraId="46404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49EFE3FB">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17" name="图片 17" descr="童记三利和2024.8月检测数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童记三利和2024.8月检测数据_02"/>
                          <pic:cNvPicPr>
                            <a:picLocks noChangeAspect="1"/>
                          </pic:cNvPicPr>
                        </pic:nvPicPr>
                        <pic:blipFill>
                          <a:blip r:embed="rId69"/>
                          <a:stretch>
                            <a:fillRect/>
                          </a:stretch>
                        </pic:blipFill>
                        <pic:spPr>
                          <a:xfrm>
                            <a:off x="0" y="0"/>
                            <a:ext cx="5615305" cy="7947660"/>
                          </a:xfrm>
                          <a:prstGeom prst="rect">
                            <a:avLst/>
                          </a:prstGeom>
                        </pic:spPr>
                      </pic:pic>
                    </a:graphicData>
                  </a:graphic>
                </wp:inline>
              </w:drawing>
            </w:r>
          </w:p>
        </w:tc>
      </w:tr>
      <w:tr w14:paraId="79A03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3C7C55B0">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19" name="图片 19" descr="童记三利和2024.8月检测数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童记三利和2024.8月检测数据_03"/>
                          <pic:cNvPicPr>
                            <a:picLocks noChangeAspect="1"/>
                          </pic:cNvPicPr>
                        </pic:nvPicPr>
                        <pic:blipFill>
                          <a:blip r:embed="rId70"/>
                          <a:stretch>
                            <a:fillRect/>
                          </a:stretch>
                        </pic:blipFill>
                        <pic:spPr>
                          <a:xfrm>
                            <a:off x="0" y="0"/>
                            <a:ext cx="5615305" cy="7947660"/>
                          </a:xfrm>
                          <a:prstGeom prst="rect">
                            <a:avLst/>
                          </a:prstGeom>
                        </pic:spPr>
                      </pic:pic>
                    </a:graphicData>
                  </a:graphic>
                </wp:inline>
              </w:drawing>
            </w:r>
          </w:p>
        </w:tc>
      </w:tr>
      <w:tr w14:paraId="20A5A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43411FC7">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20" name="图片 20" descr="童记三利和2024.8月检测数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童记三利和2024.8月检测数据_04"/>
                          <pic:cNvPicPr>
                            <a:picLocks noChangeAspect="1"/>
                          </pic:cNvPicPr>
                        </pic:nvPicPr>
                        <pic:blipFill>
                          <a:blip r:embed="rId71"/>
                          <a:stretch>
                            <a:fillRect/>
                          </a:stretch>
                        </pic:blipFill>
                        <pic:spPr>
                          <a:xfrm>
                            <a:off x="0" y="0"/>
                            <a:ext cx="5615305" cy="7947660"/>
                          </a:xfrm>
                          <a:prstGeom prst="rect">
                            <a:avLst/>
                          </a:prstGeom>
                        </pic:spPr>
                      </pic:pic>
                    </a:graphicData>
                  </a:graphic>
                </wp:inline>
              </w:drawing>
            </w:r>
          </w:p>
        </w:tc>
      </w:tr>
      <w:tr w14:paraId="2987FE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20200CC0">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23" name="图片 23" descr="童记三利和2024.8月检测数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童记三利和2024.8月检测数据_05"/>
                          <pic:cNvPicPr>
                            <a:picLocks noChangeAspect="1"/>
                          </pic:cNvPicPr>
                        </pic:nvPicPr>
                        <pic:blipFill>
                          <a:blip r:embed="rId72"/>
                          <a:stretch>
                            <a:fillRect/>
                          </a:stretch>
                        </pic:blipFill>
                        <pic:spPr>
                          <a:xfrm>
                            <a:off x="0" y="0"/>
                            <a:ext cx="5615305" cy="7947660"/>
                          </a:xfrm>
                          <a:prstGeom prst="rect">
                            <a:avLst/>
                          </a:prstGeom>
                        </pic:spPr>
                      </pic:pic>
                    </a:graphicData>
                  </a:graphic>
                </wp:inline>
              </w:drawing>
            </w:r>
          </w:p>
        </w:tc>
      </w:tr>
      <w:tr w14:paraId="1EFCC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727A9F11">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24" name="图片 24" descr="童记三利和2024.8月检测数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童记三利和2024.8月检测数据_06"/>
                          <pic:cNvPicPr>
                            <a:picLocks noChangeAspect="1"/>
                          </pic:cNvPicPr>
                        </pic:nvPicPr>
                        <pic:blipFill>
                          <a:blip r:embed="rId73"/>
                          <a:stretch>
                            <a:fillRect/>
                          </a:stretch>
                        </pic:blipFill>
                        <pic:spPr>
                          <a:xfrm>
                            <a:off x="0" y="0"/>
                            <a:ext cx="5615305" cy="7947660"/>
                          </a:xfrm>
                          <a:prstGeom prst="rect">
                            <a:avLst/>
                          </a:prstGeom>
                        </pic:spPr>
                      </pic:pic>
                    </a:graphicData>
                  </a:graphic>
                </wp:inline>
              </w:drawing>
            </w:r>
          </w:p>
        </w:tc>
      </w:tr>
      <w:tr w14:paraId="261D8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5CD0469A">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53" name="图片 53" descr="童记三利和2024.8月检测数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童记三利和2024.8月检测数据_07"/>
                          <pic:cNvPicPr>
                            <a:picLocks noChangeAspect="1"/>
                          </pic:cNvPicPr>
                        </pic:nvPicPr>
                        <pic:blipFill>
                          <a:blip r:embed="rId74"/>
                          <a:stretch>
                            <a:fillRect/>
                          </a:stretch>
                        </pic:blipFill>
                        <pic:spPr>
                          <a:xfrm>
                            <a:off x="0" y="0"/>
                            <a:ext cx="5615305" cy="7947660"/>
                          </a:xfrm>
                          <a:prstGeom prst="rect">
                            <a:avLst/>
                          </a:prstGeom>
                        </pic:spPr>
                      </pic:pic>
                    </a:graphicData>
                  </a:graphic>
                </wp:inline>
              </w:drawing>
            </w:r>
          </w:p>
        </w:tc>
      </w:tr>
      <w:tr w14:paraId="3BB4F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1FAC2C92">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57" name="图片 57" descr="童记三利和2024.8月检测数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童记三利和2024.8月检测数据_08"/>
                          <pic:cNvPicPr>
                            <a:picLocks noChangeAspect="1"/>
                          </pic:cNvPicPr>
                        </pic:nvPicPr>
                        <pic:blipFill>
                          <a:blip r:embed="rId75"/>
                          <a:stretch>
                            <a:fillRect/>
                          </a:stretch>
                        </pic:blipFill>
                        <pic:spPr>
                          <a:xfrm>
                            <a:off x="0" y="0"/>
                            <a:ext cx="5615305" cy="7947660"/>
                          </a:xfrm>
                          <a:prstGeom prst="rect">
                            <a:avLst/>
                          </a:prstGeom>
                        </pic:spPr>
                      </pic:pic>
                    </a:graphicData>
                  </a:graphic>
                </wp:inline>
              </w:drawing>
            </w:r>
          </w:p>
        </w:tc>
      </w:tr>
      <w:tr w14:paraId="20D63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7D13AB26">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60" name="图片 60" descr="童记三利和2024.8月检测数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童记三利和2024.8月检测数据_09"/>
                          <pic:cNvPicPr>
                            <a:picLocks noChangeAspect="1"/>
                          </pic:cNvPicPr>
                        </pic:nvPicPr>
                        <pic:blipFill>
                          <a:blip r:embed="rId76"/>
                          <a:stretch>
                            <a:fillRect/>
                          </a:stretch>
                        </pic:blipFill>
                        <pic:spPr>
                          <a:xfrm>
                            <a:off x="0" y="0"/>
                            <a:ext cx="5615305" cy="7947660"/>
                          </a:xfrm>
                          <a:prstGeom prst="rect">
                            <a:avLst/>
                          </a:prstGeom>
                        </pic:spPr>
                      </pic:pic>
                    </a:graphicData>
                  </a:graphic>
                </wp:inline>
              </w:drawing>
            </w:r>
          </w:p>
        </w:tc>
      </w:tr>
      <w:tr w14:paraId="0CA35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5C6D506F">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5305" cy="7947660"/>
                  <wp:effectExtent l="0" t="0" r="4445" b="15240"/>
                  <wp:docPr id="64" name="图片 64" descr="童记三利和2024.8月检测数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童记三利和2024.8月检测数据_10"/>
                          <pic:cNvPicPr>
                            <a:picLocks noChangeAspect="1"/>
                          </pic:cNvPicPr>
                        </pic:nvPicPr>
                        <pic:blipFill>
                          <a:blip r:embed="rId77"/>
                          <a:stretch>
                            <a:fillRect/>
                          </a:stretch>
                        </pic:blipFill>
                        <pic:spPr>
                          <a:xfrm>
                            <a:off x="0" y="0"/>
                            <a:ext cx="5615305" cy="7947660"/>
                          </a:xfrm>
                          <a:prstGeom prst="rect">
                            <a:avLst/>
                          </a:prstGeom>
                        </pic:spPr>
                      </pic:pic>
                    </a:graphicData>
                  </a:graphic>
                </wp:inline>
              </w:drawing>
            </w:r>
          </w:p>
        </w:tc>
      </w:tr>
    </w:tbl>
    <w:p w14:paraId="2650A324"/>
    <w:p w14:paraId="15FD49EB">
      <w:pPr>
        <w:sectPr>
          <w:pgSz w:w="11906" w:h="16838"/>
          <w:pgMar w:top="1417" w:right="1134" w:bottom="1417" w:left="1701" w:header="851" w:footer="851" w:gutter="0"/>
          <w:pgBorders>
            <w:top w:val="none" w:sz="0" w:space="0"/>
            <w:left w:val="none" w:sz="0" w:space="0"/>
            <w:bottom w:val="none" w:sz="0" w:space="0"/>
            <w:right w:val="none" w:sz="0" w:space="0"/>
          </w:pgBorders>
          <w:cols w:space="720" w:num="1"/>
          <w:docGrid w:linePitch="312" w:charSpace="0"/>
        </w:sectPr>
      </w:pPr>
    </w:p>
    <w:p w14:paraId="59EA0155">
      <w:pPr>
        <w:pStyle w:val="14"/>
        <w:numPr>
          <w:ilvl w:val="0"/>
          <w:numId w:val="23"/>
        </w:numPr>
        <w:tabs>
          <w:tab w:val="left" w:pos="283"/>
        </w:tabs>
        <w:spacing w:line="360" w:lineRule="auto"/>
        <w:ind w:left="283" w:hanging="283"/>
        <w:jc w:val="left"/>
        <w:outlineLvl w:val="0"/>
        <w:rPr>
          <w:rFonts w:hAnsi="Times New Roman"/>
          <w:b/>
          <w:bCs/>
          <w:sz w:val="28"/>
          <w:szCs w:val="28"/>
        </w:rPr>
      </w:pPr>
      <w:bookmarkStart w:id="113" w:name="_Toc16564"/>
      <w:bookmarkStart w:id="114" w:name="_Toc31611"/>
      <w:bookmarkStart w:id="115" w:name="_Toc16391"/>
      <w:bookmarkStart w:id="116" w:name="_Toc2765"/>
      <w:bookmarkStart w:id="117" w:name="_Toc9012"/>
      <w:bookmarkStart w:id="118" w:name="_Toc21776"/>
      <w:r>
        <w:rPr>
          <w:rFonts w:hint="eastAsia" w:hAnsi="Times New Roman"/>
          <w:b/>
          <w:bCs/>
          <w:sz w:val="28"/>
          <w:szCs w:val="28"/>
          <w:lang w:val="en-US" w:eastAsia="zh-CN"/>
        </w:rPr>
        <w:t>固定污染源排放登记表回执</w:t>
      </w:r>
      <w:bookmarkEnd w:id="113"/>
      <w:bookmarkEnd w:id="114"/>
      <w:bookmarkEnd w:id="115"/>
      <w:bookmarkEnd w:id="116"/>
      <w:bookmarkEnd w:id="117"/>
      <w:bookmarkEnd w:id="118"/>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0"/>
      </w:tblGrid>
      <w:tr w14:paraId="7D271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55FD99F8">
            <w:pPr>
              <w:keepNext w:val="0"/>
              <w:keepLines w:val="0"/>
              <w:suppressLineNumbers w:val="0"/>
              <w:spacing w:before="0" w:beforeAutospacing="0" w:after="0" w:afterAutospacing="0"/>
              <w:ind w:left="0" w:right="0"/>
              <w:jc w:val="center"/>
              <w:rPr>
                <w:rFonts w:hint="default"/>
              </w:rPr>
            </w:pPr>
            <w:bookmarkStart w:id="119" w:name="_Toc15425"/>
            <w:r>
              <w:rPr>
                <w:rFonts w:hint="eastAsia"/>
                <w:lang w:eastAsia="zh-CN"/>
              </w:rPr>
              <w:drawing>
                <wp:inline distT="0" distB="0" distL="114300" distR="114300">
                  <wp:extent cx="5505450" cy="7785100"/>
                  <wp:effectExtent l="0" t="0" r="0" b="6350"/>
                  <wp:docPr id="29" name="图片 29" descr="登记回执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登记回执_00"/>
                          <pic:cNvPicPr>
                            <a:picLocks noChangeAspect="1"/>
                          </pic:cNvPicPr>
                        </pic:nvPicPr>
                        <pic:blipFill>
                          <a:blip r:embed="rId78"/>
                          <a:stretch>
                            <a:fillRect/>
                          </a:stretch>
                        </pic:blipFill>
                        <pic:spPr>
                          <a:xfrm>
                            <a:off x="0" y="0"/>
                            <a:ext cx="5505450" cy="7785100"/>
                          </a:xfrm>
                          <a:prstGeom prst="rect">
                            <a:avLst/>
                          </a:prstGeom>
                        </pic:spPr>
                      </pic:pic>
                    </a:graphicData>
                  </a:graphic>
                </wp:inline>
              </w:drawing>
            </w:r>
          </w:p>
        </w:tc>
      </w:tr>
    </w:tbl>
    <w:p w14:paraId="7DF32AC4">
      <w:pPr>
        <w:pStyle w:val="21"/>
        <w:jc w:val="both"/>
        <w:outlineLvl w:val="9"/>
        <w:rPr>
          <w:rFonts w:ascii="Times New Roman" w:hAnsi="Times New Roman"/>
        </w:rPr>
        <w:sectPr>
          <w:pgSz w:w="11906" w:h="16838"/>
          <w:pgMar w:top="1417" w:right="1531" w:bottom="1417" w:left="1701" w:header="851" w:footer="851" w:gutter="0"/>
          <w:pgBorders>
            <w:top w:val="none" w:sz="0" w:space="0"/>
            <w:left w:val="none" w:sz="0" w:space="0"/>
            <w:bottom w:val="none" w:sz="0" w:space="0"/>
            <w:right w:val="none" w:sz="0" w:space="0"/>
          </w:pgBorders>
          <w:cols w:space="720" w:num="1"/>
          <w:docGrid w:linePitch="312" w:charSpace="0"/>
        </w:sectPr>
      </w:pPr>
    </w:p>
    <w:p w14:paraId="55DFCA88">
      <w:pPr>
        <w:pStyle w:val="14"/>
        <w:numPr>
          <w:ilvl w:val="0"/>
          <w:numId w:val="23"/>
        </w:numPr>
        <w:tabs>
          <w:tab w:val="left" w:pos="283"/>
        </w:tabs>
        <w:spacing w:line="360" w:lineRule="auto"/>
        <w:ind w:left="283" w:hanging="283"/>
        <w:jc w:val="left"/>
        <w:outlineLvl w:val="0"/>
      </w:pPr>
      <w:bookmarkStart w:id="120" w:name="_Toc14290"/>
      <w:bookmarkStart w:id="121" w:name="_Toc1616"/>
      <w:bookmarkStart w:id="122" w:name="_Toc4175"/>
      <w:r>
        <w:rPr>
          <w:rFonts w:hint="eastAsia"/>
          <w:b/>
          <w:bCs/>
          <w:sz w:val="28"/>
          <w:szCs w:val="28"/>
          <w:lang w:val="en-US" w:eastAsia="zh-CN"/>
        </w:rPr>
        <w:t>辐射安全许可证</w:t>
      </w:r>
      <w:bookmarkEnd w:id="120"/>
      <w:bookmarkEnd w:id="121"/>
      <w:bookmarkEnd w:id="122"/>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0"/>
      </w:tblGrid>
      <w:tr w14:paraId="263A4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060" w:type="dxa"/>
          </w:tcPr>
          <w:p w14:paraId="3889A6D6">
            <w:pPr>
              <w:keepNext w:val="0"/>
              <w:keepLines w:val="0"/>
              <w:suppressLineNumbers w:val="0"/>
              <w:spacing w:before="0" w:beforeAutospacing="0" w:after="0" w:afterAutospacing="0"/>
              <w:ind w:left="0" w:right="0"/>
              <w:rPr>
                <w:rFonts w:hint="eastAsia" w:eastAsia="宋体"/>
                <w:vertAlign w:val="baseline"/>
                <w:lang w:eastAsia="zh-CN"/>
              </w:rPr>
            </w:pPr>
            <w:r>
              <w:rPr>
                <w:rFonts w:hint="eastAsia" w:eastAsia="宋体"/>
                <w:vertAlign w:val="baseline"/>
                <w:lang w:eastAsia="zh-CN"/>
              </w:rPr>
              <w:drawing>
                <wp:inline distT="0" distB="0" distL="114300" distR="114300">
                  <wp:extent cx="5611495" cy="7948295"/>
                  <wp:effectExtent l="0" t="0" r="8255" b="14605"/>
                  <wp:docPr id="129" name="图片 129" descr="2020辐射许可证正本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2020辐射许可证正本_00"/>
                          <pic:cNvPicPr>
                            <a:picLocks noChangeAspect="1"/>
                          </pic:cNvPicPr>
                        </pic:nvPicPr>
                        <pic:blipFill>
                          <a:blip r:embed="rId79"/>
                          <a:stretch>
                            <a:fillRect/>
                          </a:stretch>
                        </pic:blipFill>
                        <pic:spPr>
                          <a:xfrm>
                            <a:off x="0" y="0"/>
                            <a:ext cx="5611495" cy="7948295"/>
                          </a:xfrm>
                          <a:prstGeom prst="rect">
                            <a:avLst/>
                          </a:prstGeom>
                        </pic:spPr>
                      </pic:pic>
                    </a:graphicData>
                  </a:graphic>
                </wp:inline>
              </w:drawing>
            </w:r>
          </w:p>
        </w:tc>
      </w:tr>
    </w:tbl>
    <w:p w14:paraId="51A7D5EC">
      <w:pPr>
        <w:sectPr>
          <w:pgSz w:w="11906" w:h="16838"/>
          <w:pgMar w:top="1417" w:right="1531" w:bottom="1417" w:left="1701" w:header="851" w:footer="851" w:gutter="0"/>
          <w:pgBorders>
            <w:top w:val="none" w:sz="0" w:space="0"/>
            <w:left w:val="none" w:sz="0" w:space="0"/>
            <w:bottom w:val="none" w:sz="0" w:space="0"/>
            <w:right w:val="none" w:sz="0" w:space="0"/>
          </w:pgBorders>
          <w:cols w:space="720" w:num="1"/>
          <w:docGrid w:linePitch="312" w:charSpace="0"/>
        </w:sectPr>
      </w:pPr>
    </w:p>
    <w:p w14:paraId="6CC0BE78">
      <w:pPr>
        <w:pStyle w:val="14"/>
        <w:numPr>
          <w:ilvl w:val="0"/>
          <w:numId w:val="23"/>
        </w:numPr>
        <w:tabs>
          <w:tab w:val="left" w:pos="283"/>
        </w:tabs>
        <w:spacing w:line="360" w:lineRule="auto"/>
        <w:ind w:left="283" w:hanging="283"/>
        <w:jc w:val="left"/>
        <w:outlineLvl w:val="0"/>
      </w:pPr>
      <w:bookmarkStart w:id="123" w:name="_Toc21532"/>
      <w:r>
        <w:rPr>
          <w:rFonts w:hint="eastAsia"/>
          <w:b/>
          <w:bCs/>
          <w:sz w:val="28"/>
          <w:szCs w:val="28"/>
          <w:lang w:val="en-US" w:eastAsia="zh-CN"/>
        </w:rPr>
        <w:t>岳阳市主要污染物初始排污权指标核定结果汇总表</w:t>
      </w:r>
      <w:bookmarkEnd w:id="123"/>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04"/>
      </w:tblGrid>
      <w:tr w14:paraId="059B0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7" w:hRule="atLeast"/>
        </w:trPr>
        <w:tc>
          <w:tcPr>
            <w:tcW w:w="9004" w:type="dxa"/>
            <w:vAlign w:val="center"/>
          </w:tcPr>
          <w:p w14:paraId="675AF919">
            <w:pPr>
              <w:keepNext w:val="0"/>
              <w:keepLines w:val="0"/>
              <w:suppressLineNumbers w:val="0"/>
              <w:spacing w:before="0" w:beforeAutospacing="0" w:after="0" w:afterAutospacing="0"/>
              <w:ind w:left="0" w:right="0"/>
              <w:jc w:val="center"/>
              <w:rPr>
                <w:rFonts w:hint="eastAsia"/>
                <w:vertAlign w:val="baseline"/>
                <w:lang w:eastAsia="zh-CN"/>
              </w:rPr>
            </w:pPr>
            <w:r>
              <w:rPr>
                <w:rFonts w:hint="default"/>
              </w:rPr>
              <w:drawing>
                <wp:inline distT="0" distB="0" distL="114300" distR="114300">
                  <wp:extent cx="5305425" cy="4919980"/>
                  <wp:effectExtent l="0" t="0" r="9525" b="1397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80"/>
                          <a:stretch>
                            <a:fillRect/>
                          </a:stretch>
                        </pic:blipFill>
                        <pic:spPr>
                          <a:xfrm>
                            <a:off x="0" y="0"/>
                            <a:ext cx="5305425" cy="4919980"/>
                          </a:xfrm>
                          <a:prstGeom prst="rect">
                            <a:avLst/>
                          </a:prstGeom>
                          <a:noFill/>
                          <a:ln>
                            <a:noFill/>
                          </a:ln>
                        </pic:spPr>
                      </pic:pic>
                    </a:graphicData>
                  </a:graphic>
                </wp:inline>
              </w:drawing>
            </w:r>
          </w:p>
          <w:p w14:paraId="2FCA55D6">
            <w:pPr>
              <w:keepNext w:val="0"/>
              <w:keepLines w:val="0"/>
              <w:suppressLineNumbers w:val="0"/>
              <w:spacing w:before="0" w:beforeAutospacing="0" w:after="0" w:afterAutospacing="0"/>
              <w:ind w:left="0" w:right="0"/>
              <w:jc w:val="center"/>
              <w:rPr>
                <w:rFonts w:hint="eastAsia"/>
                <w:vertAlign w:val="baseline"/>
                <w:lang w:eastAsia="zh-CN"/>
              </w:rPr>
            </w:pPr>
          </w:p>
        </w:tc>
      </w:tr>
    </w:tbl>
    <w:p w14:paraId="582A352D">
      <w:p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20"/>
      </w:tblGrid>
      <w:tr w14:paraId="00965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27" w:hRule="atLeast"/>
        </w:trPr>
        <w:tc>
          <w:tcPr>
            <w:tcW w:w="5000" w:type="pct"/>
            <w:vAlign w:val="center"/>
          </w:tcPr>
          <w:p w14:paraId="1B903B37">
            <w:pPr>
              <w:keepNext w:val="0"/>
              <w:keepLines w:val="0"/>
              <w:suppressLineNumbers w:val="0"/>
              <w:spacing w:before="0" w:beforeAutospacing="0" w:after="0" w:afterAutospacing="0"/>
              <w:ind w:left="0" w:leftChars="0" w:right="0" w:rightChars="0" w:firstLine="0" w:firstLineChars="0"/>
              <w:jc w:val="center"/>
              <w:rPr>
                <w:rFonts w:hint="default"/>
                <w:sz w:val="21"/>
                <w:lang w:eastAsia="zh-CN"/>
              </w:rPr>
            </w:pPr>
            <w:r>
              <w:rPr>
                <w:rFonts w:hint="default"/>
                <w:sz w:val="21"/>
                <w:lang w:eastAsia="zh-CN"/>
              </w:rPr>
              <w:drawing>
                <wp:inline distT="0" distB="0" distL="114300" distR="114300">
                  <wp:extent cx="8529320" cy="3229610"/>
                  <wp:effectExtent l="0" t="0" r="5080" b="8890"/>
                  <wp:docPr id="88" name="图片 88" descr="64b788988510f0f510efd850ec86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64b788988510f0f510efd850ec86d5f"/>
                          <pic:cNvPicPr>
                            <a:picLocks noChangeAspect="1"/>
                          </pic:cNvPicPr>
                        </pic:nvPicPr>
                        <pic:blipFill>
                          <a:blip r:embed="rId81"/>
                          <a:stretch>
                            <a:fillRect/>
                          </a:stretch>
                        </pic:blipFill>
                        <pic:spPr>
                          <a:xfrm>
                            <a:off x="0" y="0"/>
                            <a:ext cx="8529320" cy="3229610"/>
                          </a:xfrm>
                          <a:prstGeom prst="rect">
                            <a:avLst/>
                          </a:prstGeom>
                        </pic:spPr>
                      </pic:pic>
                    </a:graphicData>
                  </a:graphic>
                </wp:inline>
              </w:drawing>
            </w:r>
          </w:p>
          <w:p w14:paraId="0727EB13">
            <w:pPr>
              <w:keepNext w:val="0"/>
              <w:keepLines w:val="0"/>
              <w:suppressLineNumbers w:val="0"/>
              <w:spacing w:before="0" w:beforeAutospacing="0" w:after="0" w:afterAutospacing="0"/>
              <w:ind w:left="0" w:leftChars="0" w:right="0" w:rightChars="0" w:firstLine="0" w:firstLineChars="0"/>
              <w:jc w:val="center"/>
              <w:rPr>
                <w:rFonts w:hint="default"/>
                <w:sz w:val="21"/>
              </w:rPr>
            </w:pPr>
            <w:r>
              <w:rPr>
                <w:rFonts w:hint="default"/>
                <w:sz w:val="21"/>
              </w:rPr>
              <mc:AlternateContent>
                <mc:Choice Requires="wps">
                  <w:drawing>
                    <wp:anchor distT="0" distB="0" distL="114300" distR="114300" simplePos="0" relativeHeight="251712512" behindDoc="0" locked="0" layoutInCell="1" allowOverlap="1">
                      <wp:simplePos x="0" y="0"/>
                      <wp:positionH relativeFrom="column">
                        <wp:posOffset>650875</wp:posOffset>
                      </wp:positionH>
                      <wp:positionV relativeFrom="paragraph">
                        <wp:posOffset>1656715</wp:posOffset>
                      </wp:positionV>
                      <wp:extent cx="8052435" cy="146050"/>
                      <wp:effectExtent l="15875" t="13970" r="27940" b="30480"/>
                      <wp:wrapNone/>
                      <wp:docPr id="107" name="任意多边形 107"/>
                      <wp:cNvGraphicFramePr/>
                      <a:graphic xmlns:a="http://schemas.openxmlformats.org/drawingml/2006/main">
                        <a:graphicData uri="http://schemas.microsoft.com/office/word/2010/wordprocessingShape">
                          <wps:wsp>
                            <wps:cNvSpPr/>
                            <wps:spPr>
                              <a:xfrm>
                                <a:off x="1543685" y="2644775"/>
                                <a:ext cx="8052435" cy="146050"/>
                              </a:xfrm>
                              <a:custGeom>
                                <a:avLst/>
                                <a:gdLst>
                                  <a:gd name="connisteX0" fmla="*/ 14605 w 8052435"/>
                                  <a:gd name="connsiteY0" fmla="*/ 0 h 146050"/>
                                  <a:gd name="connisteX1" fmla="*/ 8037195 w 8052435"/>
                                  <a:gd name="connsiteY1" fmla="*/ 0 h 146050"/>
                                  <a:gd name="connisteX2" fmla="*/ 8052435 w 8052435"/>
                                  <a:gd name="connsiteY2" fmla="*/ 146050 h 146050"/>
                                  <a:gd name="connisteX3" fmla="*/ 0 w 8052435"/>
                                  <a:gd name="connsiteY3" fmla="*/ 146050 h 146050"/>
                                  <a:gd name="connisteX4" fmla="*/ 14605 w 8052435"/>
                                  <a:gd name="connsiteY4" fmla="*/ 0 h 1460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052435" h="146050">
                                    <a:moveTo>
                                      <a:pt x="14605" y="0"/>
                                    </a:moveTo>
                                    <a:lnTo>
                                      <a:pt x="8037195" y="0"/>
                                    </a:lnTo>
                                    <a:lnTo>
                                      <a:pt x="8052435" y="146050"/>
                                    </a:lnTo>
                                    <a:lnTo>
                                      <a:pt x="0" y="146050"/>
                                    </a:lnTo>
                                    <a:lnTo>
                                      <a:pt x="14605" y="0"/>
                                    </a:lnTo>
                                    <a:close/>
                                  </a:path>
                                </a:pathLst>
                              </a:cu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1.25pt;margin-top:130.45pt;height:11.5pt;width:634.05pt;z-index:251712512;mso-width-relative:page;mso-height-relative:page;" filled="f" stroked="t" coordsize="8052435,146050" o:gfxdata="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" path="m14605,0l8037195,0,8052435,146050,0,146050,14605,0xe">
                      <v:path o:connectlocs="14605,0;8037195,0;8052435,146050;0,146050;14605,0" o:connectangles="0,0,0,0,0"/>
                      <v:fill on="f" focussize="0,0"/>
                      <v:stroke weight="2.25pt" color="#FF0000 [2404]" miterlimit="8" joinstyle="miter"/>
                      <v:imagedata o:title=""/>
                      <o:lock v:ext="edit" aspectratio="f"/>
                    </v:shape>
                  </w:pict>
                </mc:Fallback>
              </mc:AlternateContent>
            </w:r>
            <w:r>
              <w:rPr>
                <w:rFonts w:hint="default"/>
                <w:sz w:val="21"/>
                <w:lang w:eastAsia="zh-CN"/>
              </w:rPr>
              <w:drawing>
                <wp:inline distT="0" distB="0" distL="114300" distR="114300">
                  <wp:extent cx="8521065" cy="3239770"/>
                  <wp:effectExtent l="0" t="0" r="13335" b="17780"/>
                  <wp:docPr id="97" name="图片 97" descr="b2305b4bbaa625e0631e9b3f0926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b2305b4bbaa625e0631e9b3f0926e55"/>
                          <pic:cNvPicPr>
                            <a:picLocks noChangeAspect="1"/>
                          </pic:cNvPicPr>
                        </pic:nvPicPr>
                        <pic:blipFill>
                          <a:blip r:embed="rId82"/>
                          <a:stretch>
                            <a:fillRect/>
                          </a:stretch>
                        </pic:blipFill>
                        <pic:spPr>
                          <a:xfrm>
                            <a:off x="0" y="0"/>
                            <a:ext cx="8521065" cy="3239770"/>
                          </a:xfrm>
                          <a:prstGeom prst="rect">
                            <a:avLst/>
                          </a:prstGeom>
                        </pic:spPr>
                      </pic:pic>
                    </a:graphicData>
                  </a:graphic>
                </wp:inline>
              </w:drawing>
            </w:r>
          </w:p>
        </w:tc>
      </w:tr>
    </w:tbl>
    <w:p w14:paraId="488F42C7">
      <w:pPr>
        <w:sectPr>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pPr>
    </w:p>
    <w:p w14:paraId="6AA5BFD9">
      <w:pPr>
        <w:pStyle w:val="14"/>
        <w:numPr>
          <w:ilvl w:val="0"/>
          <w:numId w:val="23"/>
        </w:numPr>
        <w:tabs>
          <w:tab w:val="left" w:pos="283"/>
        </w:tabs>
        <w:spacing w:after="157" w:afterLines="50" w:line="240" w:lineRule="auto"/>
        <w:ind w:left="283" w:hanging="283"/>
        <w:jc w:val="left"/>
        <w:outlineLvl w:val="0"/>
      </w:pPr>
      <w:bookmarkStart w:id="124" w:name="_Toc16459"/>
      <w:r>
        <w:rPr>
          <w:rFonts w:hint="eastAsia"/>
          <w:b/>
          <w:bCs/>
          <w:sz w:val="28"/>
          <w:szCs w:val="28"/>
          <w:lang w:val="en-US" w:eastAsia="zh-CN"/>
        </w:rPr>
        <w:t>岳阳市君山产业开发区管理委员会《关于同意湖南童记三利和食品有限公司使用生物质蒸汽锅炉替换现有生物质导热油锅炉的请示》</w:t>
      </w:r>
      <w:bookmarkEnd w:id="124"/>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1E8A6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353B03DB">
            <w:pPr>
              <w:keepNext w:val="0"/>
              <w:keepLines w:val="0"/>
              <w:suppressLineNumbers w:val="0"/>
              <w:spacing w:before="0" w:beforeAutospacing="0" w:after="0" w:afterAutospacing="0"/>
              <w:ind w:left="0" w:right="0"/>
              <w:jc w:val="center"/>
              <w:rPr>
                <w:rFonts w:hint="eastAsia" w:eastAsia="宋体"/>
                <w:vertAlign w:val="baseline"/>
                <w:lang w:eastAsia="zh-CN"/>
              </w:rPr>
            </w:pPr>
            <w:r>
              <w:rPr>
                <w:rFonts w:hint="eastAsia" w:eastAsia="宋体"/>
                <w:vertAlign w:val="baseline"/>
                <w:lang w:eastAsia="zh-CN"/>
              </w:rPr>
              <w:drawing>
                <wp:inline distT="0" distB="0" distL="114300" distR="114300">
                  <wp:extent cx="5615305" cy="7945755"/>
                  <wp:effectExtent l="0" t="0" r="4445" b="17145"/>
                  <wp:docPr id="69" name="图片 69" descr="扫描全能王 2025-04-16 09.2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扫描全能王 2025-04-16 09.21_00"/>
                          <pic:cNvPicPr>
                            <a:picLocks noChangeAspect="1"/>
                          </pic:cNvPicPr>
                        </pic:nvPicPr>
                        <pic:blipFill>
                          <a:blip r:embed="rId83"/>
                          <a:stretch>
                            <a:fillRect/>
                          </a:stretch>
                        </pic:blipFill>
                        <pic:spPr>
                          <a:xfrm>
                            <a:off x="0" y="0"/>
                            <a:ext cx="5615305" cy="7945755"/>
                          </a:xfrm>
                          <a:prstGeom prst="rect">
                            <a:avLst/>
                          </a:prstGeom>
                        </pic:spPr>
                      </pic:pic>
                    </a:graphicData>
                  </a:graphic>
                </wp:inline>
              </w:drawing>
            </w:r>
          </w:p>
        </w:tc>
      </w:tr>
    </w:tbl>
    <w:p w14:paraId="7772A022">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153092E">
      <w:pPr>
        <w:pStyle w:val="14"/>
        <w:numPr>
          <w:ilvl w:val="0"/>
          <w:numId w:val="23"/>
        </w:numPr>
        <w:tabs>
          <w:tab w:val="left" w:pos="283"/>
        </w:tabs>
        <w:spacing w:line="360" w:lineRule="auto"/>
        <w:ind w:left="283" w:hanging="283"/>
        <w:jc w:val="left"/>
        <w:outlineLvl w:val="0"/>
        <w:rPr>
          <w:b/>
          <w:bCs/>
          <w:sz w:val="28"/>
          <w:szCs w:val="28"/>
        </w:rPr>
      </w:pPr>
      <w:bookmarkStart w:id="125" w:name="_Toc19561"/>
      <w:r>
        <w:rPr>
          <w:rFonts w:hint="eastAsia"/>
          <w:b/>
          <w:bCs/>
          <w:sz w:val="28"/>
          <w:szCs w:val="28"/>
          <w:lang w:val="en-US" w:eastAsia="zh-CN"/>
        </w:rPr>
        <w:t>布袋除尘器检验报告</w:t>
      </w:r>
      <w:bookmarkEnd w:id="125"/>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7C64E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651B665B">
            <w:pPr>
              <w:keepNext w:val="0"/>
              <w:keepLines w:val="0"/>
              <w:suppressLineNumbers w:val="0"/>
              <w:spacing w:before="0" w:beforeAutospacing="0" w:after="0" w:afterAutospacing="0"/>
              <w:ind w:left="0" w:right="0"/>
              <w:jc w:val="center"/>
              <w:rPr>
                <w:rFonts w:hint="eastAsia" w:eastAsia="宋体"/>
                <w:vertAlign w:val="baseline"/>
                <w:lang w:eastAsia="zh-CN"/>
              </w:rPr>
            </w:pPr>
            <w:r>
              <w:rPr>
                <w:rFonts w:hint="eastAsia" w:eastAsia="宋体"/>
                <w:vertAlign w:val="baseline"/>
                <w:lang w:eastAsia="zh-CN"/>
              </w:rPr>
              <w:drawing>
                <wp:inline distT="0" distB="0" distL="114300" distR="114300">
                  <wp:extent cx="5615305" cy="7945755"/>
                  <wp:effectExtent l="0" t="0" r="4445" b="17145"/>
                  <wp:docPr id="46" name="图片 46" descr="检验报告(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检验报告(1)_00"/>
                          <pic:cNvPicPr>
                            <a:picLocks noChangeAspect="1"/>
                          </pic:cNvPicPr>
                        </pic:nvPicPr>
                        <pic:blipFill>
                          <a:blip r:embed="rId84"/>
                          <a:stretch>
                            <a:fillRect/>
                          </a:stretch>
                        </pic:blipFill>
                        <pic:spPr>
                          <a:xfrm>
                            <a:off x="0" y="0"/>
                            <a:ext cx="5615305" cy="7945755"/>
                          </a:xfrm>
                          <a:prstGeom prst="rect">
                            <a:avLst/>
                          </a:prstGeom>
                        </pic:spPr>
                      </pic:pic>
                    </a:graphicData>
                  </a:graphic>
                </wp:inline>
              </w:drawing>
            </w:r>
          </w:p>
        </w:tc>
      </w:tr>
    </w:tbl>
    <w:p w14:paraId="17D94C82"/>
    <w:p w14:paraId="65C1E004">
      <w:pPr>
        <w:pStyle w:val="11"/>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4573D8D">
      <w:pPr>
        <w:pStyle w:val="14"/>
        <w:spacing w:line="360" w:lineRule="auto"/>
        <w:jc w:val="center"/>
        <w:rPr>
          <w:rFonts w:hAnsi="Times New Roman"/>
        </w:rPr>
      </w:pPr>
      <w:r>
        <w:rPr>
          <w:sz w:val="21"/>
        </w:rPr>
        <mc:AlternateContent>
          <mc:Choice Requires="wps">
            <w:drawing>
              <wp:anchor distT="0" distB="0" distL="114300" distR="114300" simplePos="0" relativeHeight="251668480" behindDoc="0" locked="0" layoutInCell="1" allowOverlap="1">
                <wp:simplePos x="0" y="0"/>
                <wp:positionH relativeFrom="column">
                  <wp:posOffset>3639820</wp:posOffset>
                </wp:positionH>
                <wp:positionV relativeFrom="paragraph">
                  <wp:posOffset>2167255</wp:posOffset>
                </wp:positionV>
                <wp:extent cx="75565" cy="75565"/>
                <wp:effectExtent l="6350" t="6350" r="13335" b="13335"/>
                <wp:wrapNone/>
                <wp:docPr id="49" name="椭圆 49"/>
                <wp:cNvGraphicFramePr/>
                <a:graphic xmlns:a="http://schemas.openxmlformats.org/drawingml/2006/main">
                  <a:graphicData uri="http://schemas.microsoft.com/office/word/2010/wordprocessingShape">
                    <wps:wsp>
                      <wps:cNvSpPr/>
                      <wps:spPr>
                        <a:xfrm>
                          <a:off x="4663440" y="3173095"/>
                          <a:ext cx="75565" cy="7556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6.6pt;margin-top:170.65pt;height:5.95pt;width:5.95pt;z-index:251668480;v-text-anchor:middle;mso-width-relative:page;mso-height-relative:page;" fillcolor="#FF0000" filled="t" stroked="t" coordsize="21600,21600" o:gfxdata="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MrLjM1gAAAAsBAAAPAAAAAAAAAAEAIAAAACIAAABkcnMv&#10;ZG93bnJldi54bWxQSwECFAAUAAAACACHTuJAk7jitXcCAAACBQAADgAAAAAAAAABACAAAAAlAQAA&#10;ZHJzL2Uyb0RvYy54bWxQSwUGAAAAAAYABgBZAQAADgYAAAAA&#10;">
                <v:fill on="t" focussize="0,0"/>
                <v:stroke weight="1pt" color="#FF0000 [2404]"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72576" behindDoc="0" locked="0" layoutInCell="1" allowOverlap="1">
                <wp:simplePos x="0" y="0"/>
                <wp:positionH relativeFrom="column">
                  <wp:posOffset>-2540</wp:posOffset>
                </wp:positionH>
                <wp:positionV relativeFrom="paragraph">
                  <wp:posOffset>4288790</wp:posOffset>
                </wp:positionV>
                <wp:extent cx="1504315" cy="727075"/>
                <wp:effectExtent l="4445" t="4445" r="15240" b="11430"/>
                <wp:wrapNone/>
                <wp:docPr id="51" name="文本框 51"/>
                <wp:cNvGraphicFramePr/>
                <a:graphic xmlns:a="http://schemas.openxmlformats.org/drawingml/2006/main">
                  <a:graphicData uri="http://schemas.microsoft.com/office/word/2010/wordprocessingShape">
                    <wps:wsp>
                      <wps:cNvSpPr txBox="1">
                        <a:spLocks noChangeArrowheads="1"/>
                      </wps:cNvSpPr>
                      <wps:spPr bwMode="auto">
                        <a:xfrm>
                          <a:off x="0" y="0"/>
                          <a:ext cx="1504315" cy="727075"/>
                        </a:xfrm>
                        <a:prstGeom prst="rect">
                          <a:avLst/>
                        </a:prstGeom>
                        <a:solidFill>
                          <a:srgbClr val="FFFFFF"/>
                        </a:solidFill>
                        <a:ln w="9525">
                          <a:solidFill>
                            <a:srgbClr val="000000"/>
                          </a:solidFill>
                          <a:miter lim="800000"/>
                        </a:ln>
                        <a:effectLst/>
                      </wps:spPr>
                      <wps:txbx>
                        <w:txbxContent>
                          <w:p w14:paraId="1D35BAD3">
                            <w:pPr>
                              <w:keepNext w:val="0"/>
                              <w:keepLines w:val="0"/>
                              <w:pageBreakBefore w:val="0"/>
                              <w:widowControl/>
                              <w:kinsoku/>
                              <w:wordWrap/>
                              <w:overflowPunct/>
                              <w:topLinePunct w:val="0"/>
                              <w:bidi w:val="0"/>
                              <w:adjustRightInd/>
                              <w:snapToGrid/>
                              <w:spacing w:line="240" w:lineRule="auto"/>
                              <w:ind w:firstLine="0" w:firstLineChars="0"/>
                              <w:textAlignment w:val="auto"/>
                              <w:rPr>
                                <w:b/>
                              </w:rPr>
                            </w:pPr>
                            <w:r>
                              <w:rPr>
                                <w:rFonts w:hint="eastAsia"/>
                                <w:b/>
                              </w:rPr>
                              <w:t>比例：</w:t>
                            </w:r>
                          </w:p>
                          <w:p w14:paraId="1E4110C1">
                            <w:pPr>
                              <w:keepNext w:val="0"/>
                              <w:keepLines w:val="0"/>
                              <w:pageBreakBefore w:val="0"/>
                              <w:widowControl/>
                              <w:kinsoku/>
                              <w:wordWrap/>
                              <w:overflowPunct/>
                              <w:topLinePunct w:val="0"/>
                              <w:bidi w:val="0"/>
                              <w:adjustRightInd/>
                              <w:snapToGrid/>
                              <w:spacing w:line="240" w:lineRule="auto"/>
                              <w:ind w:firstLine="0" w:firstLineChars="0"/>
                              <w:jc w:val="center"/>
                              <w:textAlignment w:val="auto"/>
                            </w:pPr>
                            <w:r>
                              <w:drawing>
                                <wp:inline distT="0" distB="0" distL="114300" distR="114300">
                                  <wp:extent cx="1193800" cy="111125"/>
                                  <wp:effectExtent l="0" t="0" r="6350" b="3175"/>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85"/>
                                          <a:stretch>
                                            <a:fillRect/>
                                          </a:stretch>
                                        </pic:blipFill>
                                        <pic:spPr>
                                          <a:xfrm>
                                            <a:off x="0" y="0"/>
                                            <a:ext cx="1193800" cy="111125"/>
                                          </a:xfrm>
                                          <a:prstGeom prst="rect">
                                            <a:avLst/>
                                          </a:prstGeom>
                                          <a:noFill/>
                                          <a:ln>
                                            <a:noFill/>
                                          </a:ln>
                                        </pic:spPr>
                                      </pic:pic>
                                    </a:graphicData>
                                  </a:graphic>
                                </wp:inline>
                              </w:drawing>
                            </w:r>
                          </w:p>
                          <w:p w14:paraId="79C10C90">
                            <w:pPr>
                              <w:keepNext w:val="0"/>
                              <w:keepLines w:val="0"/>
                              <w:pageBreakBefore w:val="0"/>
                              <w:widowControl/>
                              <w:kinsoku/>
                              <w:wordWrap/>
                              <w:overflowPunct/>
                              <w:topLinePunct w:val="0"/>
                              <w:bidi w:val="0"/>
                              <w:adjustRightInd/>
                              <w:snapToGrid/>
                              <w:spacing w:line="240" w:lineRule="auto"/>
                              <w:ind w:right="-210" w:rightChars="-100"/>
                              <w:textAlignment w:val="auto"/>
                              <w:rPr>
                                <w:rFonts w:ascii="Times New Roman" w:hAnsi="Times New Roman" w:cs="Times New Roman"/>
                                <w:sz w:val="20"/>
                              </w:rPr>
                            </w:pPr>
                            <w:r>
                              <w:rPr>
                                <w:rFonts w:ascii="Times New Roman" w:hAnsi="Times New Roman" w:cs="Times New Roman"/>
                                <w:sz w:val="20"/>
                              </w:rPr>
                              <w:t>0</w:t>
                            </w:r>
                            <w:r>
                              <w:rPr>
                                <w:rFonts w:hint="eastAsia" w:cs="Times New Roman"/>
                                <w:sz w:val="20"/>
                                <w:lang w:val="en-US" w:eastAsia="zh-CN"/>
                              </w:rPr>
                              <w:t xml:space="preserve">     </w:t>
                            </w:r>
                            <w:r>
                              <w:rPr>
                                <w:rFonts w:hint="eastAsia" w:ascii="Times New Roman" w:hAnsi="Times New Roman" w:cs="Times New Roman"/>
                                <w:sz w:val="20"/>
                                <w:lang w:val="en-US" w:eastAsia="zh-CN"/>
                              </w:rPr>
                              <w:t>5</w:t>
                            </w:r>
                            <w:r>
                              <w:rPr>
                                <w:rFonts w:hint="eastAsia" w:cs="Times New Roman"/>
                                <w:sz w:val="20"/>
                                <w:lang w:val="en-US" w:eastAsia="zh-CN"/>
                              </w:rPr>
                              <w:t xml:space="preserve"> </w:t>
                            </w:r>
                            <w:r>
                              <w:rPr>
                                <w:rFonts w:ascii="Times New Roman" w:hAnsi="Times New Roman" w:cs="Times New Roman"/>
                                <w:sz w:val="20"/>
                              </w:rPr>
                              <w:t xml:space="preserve">  </w:t>
                            </w:r>
                            <w:r>
                              <w:rPr>
                                <w:rFonts w:hint="eastAsia" w:cs="Times New Roman"/>
                                <w:sz w:val="20"/>
                                <w:lang w:val="en-US" w:eastAsia="zh-CN"/>
                              </w:rPr>
                              <w:t xml:space="preserve">  </w:t>
                            </w:r>
                            <w:r>
                              <w:rPr>
                                <w:rFonts w:hint="eastAsia" w:ascii="Times New Roman" w:hAnsi="Times New Roman" w:cs="Times New Roman"/>
                                <w:sz w:val="20"/>
                                <w:lang w:val="en-US" w:eastAsia="zh-CN"/>
                              </w:rPr>
                              <w:t>1</w:t>
                            </w:r>
                            <w:r>
                              <w:rPr>
                                <w:rFonts w:hint="eastAsia" w:cs="Times New Roman"/>
                                <w:sz w:val="20"/>
                                <w:lang w:val="en-US" w:eastAsia="zh-CN"/>
                              </w:rPr>
                              <w:t xml:space="preserve">0  </w:t>
                            </w:r>
                            <w:r>
                              <w:rPr>
                                <w:rFonts w:ascii="Times New Roman" w:hAnsi="Times New Roman" w:cs="Times New Roman"/>
                                <w:sz w:val="20"/>
                              </w:rPr>
                              <w:t xml:space="preserve"> </w:t>
                            </w:r>
                            <w:r>
                              <w:rPr>
                                <w:rFonts w:hint="eastAsia" w:cs="Times New Roman"/>
                                <w:sz w:val="20"/>
                                <w:lang w:val="en-US" w:eastAsia="zh-CN"/>
                              </w:rPr>
                              <w:t xml:space="preserve"> 15k</w:t>
                            </w:r>
                            <w:r>
                              <w:rPr>
                                <w:rFonts w:ascii="Times New Roman" w:hAnsi="Times New Roman" w:cs="Times New Roman"/>
                                <w:sz w:val="20"/>
                              </w:rPr>
                              <w:t>m</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0.2pt;margin-top:337.7pt;height:57.25pt;width:118.45pt;z-index:251672576;mso-width-relative:page;mso-height-relative:page;" fillcolor="#FFFFFF" filled="t" stroked="t" coordsize="21600,21600" o:gfxdata="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nwyrINkAAAAJAQAADwAAAAAAAAAB&#10;ACAAAAAiAAAAZHJzL2Rvd25yZXYueG1sUEsBAhQAFAAAAAgAh07iQPCKkWhIAgAAlwQAAA4AAAAA&#10;AAAAAQAgAAAAKAEAAGRycy9lMm9Eb2MueG1sUEsFBgAAAAAGAAYAWQEAAOIFAAAAAA==&#10;">
                <v:fill on="t" focussize="0,0"/>
                <v:stroke color="#000000" miterlimit="8" joinstyle="miter"/>
                <v:imagedata o:title=""/>
                <o:lock v:ext="edit" aspectratio="f"/>
                <v:textbox>
                  <w:txbxContent>
                    <w:p w14:paraId="1D35BAD3">
                      <w:pPr>
                        <w:keepNext w:val="0"/>
                        <w:keepLines w:val="0"/>
                        <w:pageBreakBefore w:val="0"/>
                        <w:widowControl/>
                        <w:kinsoku/>
                        <w:wordWrap/>
                        <w:overflowPunct/>
                        <w:topLinePunct w:val="0"/>
                        <w:bidi w:val="0"/>
                        <w:adjustRightInd/>
                        <w:snapToGrid/>
                        <w:spacing w:line="240" w:lineRule="auto"/>
                        <w:ind w:firstLine="0" w:firstLineChars="0"/>
                        <w:textAlignment w:val="auto"/>
                        <w:rPr>
                          <w:b/>
                        </w:rPr>
                      </w:pPr>
                      <w:r>
                        <w:rPr>
                          <w:rFonts w:hint="eastAsia"/>
                          <w:b/>
                        </w:rPr>
                        <w:t>比例：</w:t>
                      </w:r>
                    </w:p>
                    <w:p w14:paraId="1E4110C1">
                      <w:pPr>
                        <w:keepNext w:val="0"/>
                        <w:keepLines w:val="0"/>
                        <w:pageBreakBefore w:val="0"/>
                        <w:widowControl/>
                        <w:kinsoku/>
                        <w:wordWrap/>
                        <w:overflowPunct/>
                        <w:topLinePunct w:val="0"/>
                        <w:bidi w:val="0"/>
                        <w:adjustRightInd/>
                        <w:snapToGrid/>
                        <w:spacing w:line="240" w:lineRule="auto"/>
                        <w:ind w:firstLine="0" w:firstLineChars="0"/>
                        <w:jc w:val="center"/>
                        <w:textAlignment w:val="auto"/>
                      </w:pPr>
                      <w:r>
                        <w:drawing>
                          <wp:inline distT="0" distB="0" distL="114300" distR="114300">
                            <wp:extent cx="1193800" cy="111125"/>
                            <wp:effectExtent l="0" t="0" r="6350" b="3175"/>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85"/>
                                    <a:stretch>
                                      <a:fillRect/>
                                    </a:stretch>
                                  </pic:blipFill>
                                  <pic:spPr>
                                    <a:xfrm>
                                      <a:off x="0" y="0"/>
                                      <a:ext cx="1193800" cy="111125"/>
                                    </a:xfrm>
                                    <a:prstGeom prst="rect">
                                      <a:avLst/>
                                    </a:prstGeom>
                                    <a:noFill/>
                                    <a:ln>
                                      <a:noFill/>
                                    </a:ln>
                                  </pic:spPr>
                                </pic:pic>
                              </a:graphicData>
                            </a:graphic>
                          </wp:inline>
                        </w:drawing>
                      </w:r>
                    </w:p>
                    <w:p w14:paraId="79C10C90">
                      <w:pPr>
                        <w:keepNext w:val="0"/>
                        <w:keepLines w:val="0"/>
                        <w:pageBreakBefore w:val="0"/>
                        <w:widowControl/>
                        <w:kinsoku/>
                        <w:wordWrap/>
                        <w:overflowPunct/>
                        <w:topLinePunct w:val="0"/>
                        <w:bidi w:val="0"/>
                        <w:adjustRightInd/>
                        <w:snapToGrid/>
                        <w:spacing w:line="240" w:lineRule="auto"/>
                        <w:ind w:right="-210" w:rightChars="-100"/>
                        <w:textAlignment w:val="auto"/>
                        <w:rPr>
                          <w:rFonts w:ascii="Times New Roman" w:hAnsi="Times New Roman" w:cs="Times New Roman"/>
                          <w:sz w:val="20"/>
                        </w:rPr>
                      </w:pPr>
                      <w:r>
                        <w:rPr>
                          <w:rFonts w:ascii="Times New Roman" w:hAnsi="Times New Roman" w:cs="Times New Roman"/>
                          <w:sz w:val="20"/>
                        </w:rPr>
                        <w:t>0</w:t>
                      </w:r>
                      <w:r>
                        <w:rPr>
                          <w:rFonts w:hint="eastAsia" w:cs="Times New Roman"/>
                          <w:sz w:val="20"/>
                          <w:lang w:val="en-US" w:eastAsia="zh-CN"/>
                        </w:rPr>
                        <w:t xml:space="preserve">     </w:t>
                      </w:r>
                      <w:r>
                        <w:rPr>
                          <w:rFonts w:hint="eastAsia" w:ascii="Times New Roman" w:hAnsi="Times New Roman" w:cs="Times New Roman"/>
                          <w:sz w:val="20"/>
                          <w:lang w:val="en-US" w:eastAsia="zh-CN"/>
                        </w:rPr>
                        <w:t>5</w:t>
                      </w:r>
                      <w:r>
                        <w:rPr>
                          <w:rFonts w:hint="eastAsia" w:cs="Times New Roman"/>
                          <w:sz w:val="20"/>
                          <w:lang w:val="en-US" w:eastAsia="zh-CN"/>
                        </w:rPr>
                        <w:t xml:space="preserve"> </w:t>
                      </w:r>
                      <w:r>
                        <w:rPr>
                          <w:rFonts w:ascii="Times New Roman" w:hAnsi="Times New Roman" w:cs="Times New Roman"/>
                          <w:sz w:val="20"/>
                        </w:rPr>
                        <w:t xml:space="preserve">  </w:t>
                      </w:r>
                      <w:r>
                        <w:rPr>
                          <w:rFonts w:hint="eastAsia" w:cs="Times New Roman"/>
                          <w:sz w:val="20"/>
                          <w:lang w:val="en-US" w:eastAsia="zh-CN"/>
                        </w:rPr>
                        <w:t xml:space="preserve">  </w:t>
                      </w:r>
                      <w:r>
                        <w:rPr>
                          <w:rFonts w:hint="eastAsia" w:ascii="Times New Roman" w:hAnsi="Times New Roman" w:cs="Times New Roman"/>
                          <w:sz w:val="20"/>
                          <w:lang w:val="en-US" w:eastAsia="zh-CN"/>
                        </w:rPr>
                        <w:t>1</w:t>
                      </w:r>
                      <w:r>
                        <w:rPr>
                          <w:rFonts w:hint="eastAsia" w:cs="Times New Roman"/>
                          <w:sz w:val="20"/>
                          <w:lang w:val="en-US" w:eastAsia="zh-CN"/>
                        </w:rPr>
                        <w:t xml:space="preserve">0  </w:t>
                      </w:r>
                      <w:r>
                        <w:rPr>
                          <w:rFonts w:ascii="Times New Roman" w:hAnsi="Times New Roman" w:cs="Times New Roman"/>
                          <w:sz w:val="20"/>
                        </w:rPr>
                        <w:t xml:space="preserve"> </w:t>
                      </w:r>
                      <w:r>
                        <w:rPr>
                          <w:rFonts w:hint="eastAsia" w:cs="Times New Roman"/>
                          <w:sz w:val="20"/>
                          <w:lang w:val="en-US" w:eastAsia="zh-CN"/>
                        </w:rPr>
                        <w:t xml:space="preserve"> 15k</w:t>
                      </w:r>
                      <w:r>
                        <w:rPr>
                          <w:rFonts w:ascii="Times New Roman" w:hAnsi="Times New Roman" w:cs="Times New Roman"/>
                          <w:sz w:val="20"/>
                        </w:rPr>
                        <w:t>m</w:t>
                      </w:r>
                    </w:p>
                  </w:txbxContent>
                </v:textbox>
              </v:shape>
            </w:pict>
          </mc:Fallback>
        </mc:AlternateContent>
      </w:r>
      <w:r>
        <w:drawing>
          <wp:anchor distT="0" distB="0" distL="114300" distR="114300" simplePos="0" relativeHeight="251671552" behindDoc="0" locked="0" layoutInCell="1" allowOverlap="1">
            <wp:simplePos x="0" y="0"/>
            <wp:positionH relativeFrom="column">
              <wp:posOffset>8191500</wp:posOffset>
            </wp:positionH>
            <wp:positionV relativeFrom="paragraph">
              <wp:posOffset>24130</wp:posOffset>
            </wp:positionV>
            <wp:extent cx="323850" cy="752475"/>
            <wp:effectExtent l="0" t="0" r="0" b="9525"/>
            <wp:wrapNone/>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86"/>
                    <a:stretch>
                      <a:fillRect/>
                    </a:stretch>
                  </pic:blipFill>
                  <pic:spPr>
                    <a:xfrm>
                      <a:off x="0" y="0"/>
                      <a:ext cx="323850" cy="752475"/>
                    </a:xfrm>
                    <a:prstGeom prst="rect">
                      <a:avLst/>
                    </a:prstGeom>
                    <a:noFill/>
                    <a:ln>
                      <a:noFill/>
                    </a:ln>
                  </pic:spPr>
                </pic:pic>
              </a:graphicData>
            </a:graphic>
          </wp:anchor>
        </w:drawing>
      </w:r>
      <w:r>
        <w:rPr>
          <w:rFonts w:ascii="Times New Roman" w:hAnsi="Times New Roman" w:cs="Times New Roman"/>
        </w:rPr>
        <mc:AlternateContent>
          <mc:Choice Requires="wps">
            <w:drawing>
              <wp:anchor distT="0" distB="0" distL="114300" distR="114300" simplePos="0" relativeHeight="251670528" behindDoc="0" locked="0" layoutInCell="1" allowOverlap="1">
                <wp:simplePos x="0" y="0"/>
                <wp:positionH relativeFrom="column">
                  <wp:posOffset>6726555</wp:posOffset>
                </wp:positionH>
                <wp:positionV relativeFrom="paragraph">
                  <wp:posOffset>3241675</wp:posOffset>
                </wp:positionV>
                <wp:extent cx="53975" cy="53975"/>
                <wp:effectExtent l="4445" t="4445" r="17780" b="17780"/>
                <wp:wrapNone/>
                <wp:docPr id="310" name="流程图: 联系 310"/>
                <wp:cNvGraphicFramePr/>
                <a:graphic xmlns:a="http://schemas.openxmlformats.org/drawingml/2006/main">
                  <a:graphicData uri="http://schemas.microsoft.com/office/word/2010/wordprocessingShape">
                    <wps:wsp>
                      <wps:cNvSpPr>
                        <a:spLocks noChangeArrowheads="1"/>
                      </wps:cNvSpPr>
                      <wps:spPr bwMode="auto">
                        <a:xfrm>
                          <a:off x="0" y="0"/>
                          <a:ext cx="53975" cy="53975"/>
                        </a:xfrm>
                        <a:prstGeom prst="flowChartConnector">
                          <a:avLst/>
                        </a:prstGeom>
                        <a:solidFill>
                          <a:srgbClr val="FF0000"/>
                        </a:solidFill>
                        <a:ln w="9525">
                          <a:solidFill>
                            <a:srgbClr val="FF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120" type="#_x0000_t120" style="position:absolute;left:0pt;margin-left:529.65pt;margin-top:255.25pt;height:4.25pt;width:4.25pt;z-index:251670528;mso-width-relative:page;mso-height-relative:page;" fillcolor="#FF0000" filled="t" stroked="t" coordsize="21600,21600" o:gfxdata="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2i1712gAAAA0BAAAPAAAAAAAAAAEA&#10;IAAAACIAAABkcnMvZG93bnJldi54bWxQSwECFAAUAAAACACHTuJA0k0liUYCAACKBAAADgAAAAAA&#10;AAABACAAAAApAQAAZHJzL2Uyb0RvYy54bWxQSwUGAAAAAAYABgBZAQAA4QUAAAAA&#10;">
                <v:fill on="t" focussize="0,0"/>
                <v:stroke color="#FF0000" joinstyle="round"/>
                <v:imagedata o:title=""/>
                <o:lock v:ext="edit" aspectratio="f"/>
              </v:shape>
            </w:pict>
          </mc:Fallback>
        </mc:AlternateContent>
      </w:r>
      <w:r>
        <w:rPr>
          <w:rFonts w:ascii="Times New Roman" w:hAnsi="Times New Roman" w:cs="Times New Roman"/>
        </w:rPr>
        <w:drawing>
          <wp:anchor distT="0" distB="0" distL="114300" distR="114300" simplePos="0" relativeHeight="251659264" behindDoc="0" locked="0" layoutInCell="1" allowOverlap="1">
            <wp:simplePos x="0" y="0"/>
            <wp:positionH relativeFrom="column">
              <wp:posOffset>5854700</wp:posOffset>
            </wp:positionH>
            <wp:positionV relativeFrom="paragraph">
              <wp:posOffset>2654300</wp:posOffset>
            </wp:positionV>
            <wp:extent cx="2590800" cy="2324100"/>
            <wp:effectExtent l="9525" t="9525" r="9525" b="9525"/>
            <wp:wrapNone/>
            <wp:docPr id="311" name="图片 10538" descr="20096201827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0538" descr="200962018271571"/>
                    <pic:cNvPicPr>
                      <a:picLocks noChangeAspect="1"/>
                    </pic:cNvPicPr>
                  </pic:nvPicPr>
                  <pic:blipFill>
                    <a:blip r:embed="rId87"/>
                    <a:stretch>
                      <a:fillRect/>
                    </a:stretch>
                  </pic:blipFill>
                  <pic:spPr>
                    <a:xfrm>
                      <a:off x="0" y="0"/>
                      <a:ext cx="2590800" cy="2324100"/>
                    </a:xfrm>
                    <a:prstGeom prst="rect">
                      <a:avLst/>
                    </a:prstGeom>
                    <a:noFill/>
                    <a:ln w="6350" cap="flat" cmpd="sng">
                      <a:solidFill>
                        <a:srgbClr val="000000"/>
                      </a:solidFill>
                      <a:prstDash val="solid"/>
                      <a:miter/>
                      <a:headEnd type="none" w="med" len="med"/>
                      <a:tailEnd type="none" w="med" len="med"/>
                    </a:ln>
                  </pic:spPr>
                </pic:pic>
              </a:graphicData>
            </a:graphic>
          </wp:anchor>
        </w:drawing>
      </w:r>
      <w:r>
        <w:rPr>
          <w:rFonts w:ascii="Times New Roman" w:hAnsi="Times New Roman" w:cs="Times New Roman"/>
        </w:rPr>
        <mc:AlternateContent>
          <mc:Choice Requires="wps">
            <w:drawing>
              <wp:anchor distT="0" distB="0" distL="114300" distR="114300" simplePos="0" relativeHeight="251669504" behindDoc="0" locked="0" layoutInCell="1" allowOverlap="1">
                <wp:simplePos x="0" y="0"/>
                <wp:positionH relativeFrom="column">
                  <wp:posOffset>3704590</wp:posOffset>
                </wp:positionH>
                <wp:positionV relativeFrom="paragraph">
                  <wp:posOffset>2232025</wp:posOffset>
                </wp:positionV>
                <wp:extent cx="3029585" cy="1056005"/>
                <wp:effectExtent l="0" t="10795" r="18415" b="19050"/>
                <wp:wrapNone/>
                <wp:docPr id="309" name="直接箭头连接符 309"/>
                <wp:cNvGraphicFramePr/>
                <a:graphic xmlns:a="http://schemas.openxmlformats.org/drawingml/2006/main">
                  <a:graphicData uri="http://schemas.microsoft.com/office/word/2010/wordprocessingShape">
                    <wps:wsp>
                      <wps:cNvCnPr>
                        <a:stCxn id="310" idx="3"/>
                        <a:endCxn id="49" idx="5"/>
                      </wps:cNvCnPr>
                      <wps:spPr>
                        <a:xfrm flipH="1" flipV="1">
                          <a:off x="0" y="0"/>
                          <a:ext cx="3029585" cy="1056005"/>
                        </a:xfrm>
                        <a:prstGeom prst="straightConnector1">
                          <a:avLst/>
                        </a:prstGeom>
                        <a:ln w="9525" cap="flat" cmpd="sng">
                          <a:solidFill>
                            <a:srgbClr val="FF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 y;margin-left:291.7pt;margin-top:175.75pt;height:83.15pt;width:238.55pt;z-index:251669504;mso-width-relative:page;mso-height-relative:page;" filled="f" stroked="t" coordsize="21600,21600" o:gfxdata="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jaxEHbAAAADAEAAA8AAAAAAAAAAQAgAAAAIgAAAGRycy9kb3du&#10;cmV2LnhtbFBLAQIUABQAAAAIAIdO4kBL74qWNQIAAFEEAAAOAAAAAAAAAAEAIAAAACoBAABkcnMv&#10;ZTJvRG9jLnhtbFBLBQYAAAAABgAGAFkBAADRBQAAAAA=&#10;">
                <v:fill on="f" focussize="0,0"/>
                <v:stroke color="#FF0000" joinstyle="round" endarrow="block"/>
                <v:imagedata o:title=""/>
                <o:lock v:ext="edit" aspectratio="f"/>
              </v:shape>
            </w:pict>
          </mc:Fallback>
        </mc:AlternateContent>
      </w:r>
      <w:r>
        <w:rPr>
          <w:rFonts w:hAnsi="Times New Roman"/>
        </w:rPr>
        <w:drawing>
          <wp:inline distT="0" distB="0" distL="114300" distR="114300">
            <wp:extent cx="8524875" cy="5033010"/>
            <wp:effectExtent l="0" t="0" r="9525" b="1524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pic:cNvPicPr>
                      <a:picLocks noChangeAspect="1"/>
                    </pic:cNvPicPr>
                  </pic:nvPicPr>
                  <pic:blipFill>
                    <a:blip r:embed="rId88"/>
                    <a:stretch>
                      <a:fillRect/>
                    </a:stretch>
                  </pic:blipFill>
                  <pic:spPr>
                    <a:xfrm>
                      <a:off x="0" y="0"/>
                      <a:ext cx="8524875" cy="5033010"/>
                    </a:xfrm>
                    <a:prstGeom prst="rect">
                      <a:avLst/>
                    </a:prstGeom>
                    <a:noFill/>
                    <a:ln>
                      <a:noFill/>
                    </a:ln>
                  </pic:spPr>
                </pic:pic>
              </a:graphicData>
            </a:graphic>
          </wp:inline>
        </w:drawing>
      </w:r>
    </w:p>
    <w:p w14:paraId="5F6653C3">
      <w:pPr>
        <w:pStyle w:val="14"/>
        <w:spacing w:line="360" w:lineRule="auto"/>
        <w:jc w:val="center"/>
        <w:outlineLvl w:val="0"/>
        <w:rPr>
          <w:rFonts w:hAnsi="Times New Roman"/>
        </w:rPr>
      </w:pPr>
      <w:bookmarkStart w:id="126" w:name="_Toc14514"/>
      <w:bookmarkStart w:id="127" w:name="_Toc2588"/>
      <w:bookmarkStart w:id="128" w:name="_Toc4031"/>
      <w:bookmarkStart w:id="129" w:name="_Toc28252"/>
      <w:bookmarkStart w:id="130" w:name="_Toc27452"/>
      <w:bookmarkStart w:id="131" w:name="_Toc13140"/>
      <w:r>
        <w:rPr>
          <w:rFonts w:hAnsi="Times New Roman"/>
          <w:b/>
          <w:bCs/>
          <w:sz w:val="28"/>
          <w:szCs w:val="28"/>
        </w:rPr>
        <w:t>附图1</w:t>
      </w:r>
      <w:r>
        <w:rPr>
          <w:rFonts w:hint="eastAsia" w:hAnsi="Times New Roman"/>
          <w:b/>
          <w:bCs/>
          <w:sz w:val="28"/>
          <w:szCs w:val="28"/>
        </w:rPr>
        <w:t xml:space="preserve"> </w:t>
      </w:r>
      <w:r>
        <w:rPr>
          <w:rFonts w:hAnsi="Times New Roman"/>
          <w:b/>
          <w:bCs/>
          <w:sz w:val="28"/>
          <w:szCs w:val="28"/>
        </w:rPr>
        <w:t>项目地理位置图</w:t>
      </w:r>
      <w:r>
        <w:rPr>
          <w:rFonts w:hAnsi="Times New Roman"/>
        </w:rPr>
        <w:br w:type="page"/>
      </w:r>
      <w:r>
        <w:rPr>
          <w:rFonts w:hAnsi="Times New Roman"/>
        </w:rPr>
        <w:drawing>
          <wp:anchor distT="0" distB="0" distL="114300" distR="114300" simplePos="0" relativeHeight="251660288" behindDoc="0" locked="0" layoutInCell="1" allowOverlap="1">
            <wp:simplePos x="0" y="0"/>
            <wp:positionH relativeFrom="column">
              <wp:posOffset>8051165</wp:posOffset>
            </wp:positionH>
            <wp:positionV relativeFrom="paragraph">
              <wp:posOffset>-3175</wp:posOffset>
            </wp:positionV>
            <wp:extent cx="661035" cy="881380"/>
            <wp:effectExtent l="0" t="0" r="5715" b="13970"/>
            <wp:wrapNone/>
            <wp:docPr id="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6"/>
                    <pic:cNvPicPr>
                      <a:picLocks noChangeAspect="1"/>
                    </pic:cNvPicPr>
                  </pic:nvPicPr>
                  <pic:blipFill>
                    <a:blip r:embed="rId89"/>
                    <a:stretch>
                      <a:fillRect/>
                    </a:stretch>
                  </pic:blipFill>
                  <pic:spPr>
                    <a:xfrm>
                      <a:off x="0" y="0"/>
                      <a:ext cx="661035" cy="881380"/>
                    </a:xfrm>
                    <a:prstGeom prst="rect">
                      <a:avLst/>
                    </a:prstGeom>
                    <a:noFill/>
                    <a:ln>
                      <a:noFill/>
                    </a:ln>
                  </pic:spPr>
                </pic:pic>
              </a:graphicData>
            </a:graphic>
          </wp:anchor>
        </w:drawing>
      </w:r>
      <w:r>
        <w:rPr>
          <w:rFonts w:hAnsi="Times New Roman"/>
        </w:rPr>
        <w:drawing>
          <wp:anchor distT="0" distB="0" distL="114300" distR="114300" simplePos="0" relativeHeight="251664384" behindDoc="0" locked="0" layoutInCell="1" allowOverlap="1">
            <wp:simplePos x="0" y="0"/>
            <wp:positionH relativeFrom="column">
              <wp:posOffset>259080</wp:posOffset>
            </wp:positionH>
            <wp:positionV relativeFrom="paragraph">
              <wp:posOffset>4675505</wp:posOffset>
            </wp:positionV>
            <wp:extent cx="1338580" cy="361315"/>
            <wp:effectExtent l="0" t="0" r="0" b="0"/>
            <wp:wrapNone/>
            <wp:docPr id="16"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01"/>
                    <pic:cNvPicPr>
                      <a:picLocks noChangeAspect="1"/>
                    </pic:cNvPicPr>
                  </pic:nvPicPr>
                  <pic:blipFill>
                    <a:blip r:embed="rId90"/>
                    <a:srcRect b="38286"/>
                    <a:stretch>
                      <a:fillRect/>
                    </a:stretch>
                  </pic:blipFill>
                  <pic:spPr>
                    <a:xfrm>
                      <a:off x="0" y="0"/>
                      <a:ext cx="1338580" cy="361315"/>
                    </a:xfrm>
                    <a:prstGeom prst="rect">
                      <a:avLst/>
                    </a:prstGeom>
                    <a:noFill/>
                    <a:ln>
                      <a:noFill/>
                    </a:ln>
                  </pic:spPr>
                </pic:pic>
              </a:graphicData>
            </a:graphic>
          </wp:anchor>
        </w:drawing>
      </w:r>
      <w:r>
        <w:rPr>
          <w:rFonts w:hAnsi="Times New Roman"/>
        </w:rPr>
        <mc:AlternateContent>
          <mc:Choice Requires="wps">
            <w:drawing>
              <wp:anchor distT="0" distB="0" distL="114300" distR="114300" simplePos="0" relativeHeight="251665408" behindDoc="0" locked="0" layoutInCell="1" allowOverlap="1">
                <wp:simplePos x="0" y="0"/>
                <wp:positionH relativeFrom="column">
                  <wp:posOffset>322580</wp:posOffset>
                </wp:positionH>
                <wp:positionV relativeFrom="paragraph">
                  <wp:posOffset>4530725</wp:posOffset>
                </wp:positionV>
                <wp:extent cx="134620" cy="101600"/>
                <wp:effectExtent l="4445" t="4445" r="13335" b="8255"/>
                <wp:wrapNone/>
                <wp:docPr id="18" name="任意多边形 204"/>
                <wp:cNvGraphicFramePr/>
                <a:graphic xmlns:a="http://schemas.openxmlformats.org/drawingml/2006/main">
                  <a:graphicData uri="http://schemas.microsoft.com/office/word/2010/wordprocessingShape">
                    <wps:wsp>
                      <wps:cNvSpPr/>
                      <wps:spPr>
                        <a:xfrm>
                          <a:off x="0" y="0"/>
                          <a:ext cx="134620" cy="101600"/>
                        </a:xfrm>
                        <a:custGeom>
                          <a:avLst/>
                          <a:gdLst/>
                          <a:ahLst/>
                          <a:cxnLst/>
                          <a:rect l="0" t="0" r="0" b="0"/>
                          <a:pathLst>
                            <a:path w="254" h="162">
                              <a:moveTo>
                                <a:pt x="116" y="0"/>
                              </a:moveTo>
                              <a:lnTo>
                                <a:pt x="0" y="57"/>
                              </a:lnTo>
                              <a:lnTo>
                                <a:pt x="58" y="162"/>
                              </a:lnTo>
                              <a:lnTo>
                                <a:pt x="220" y="115"/>
                              </a:lnTo>
                              <a:lnTo>
                                <a:pt x="254" y="35"/>
                              </a:lnTo>
                              <a:lnTo>
                                <a:pt x="116" y="0"/>
                              </a:lnTo>
                              <a:close/>
                            </a:path>
                          </a:pathLst>
                        </a:custGeom>
                        <a:solidFill>
                          <a:srgbClr val="FFFFFF"/>
                        </a:solidFill>
                        <a:ln w="9525" cap="flat" cmpd="sng">
                          <a:solidFill>
                            <a:srgbClr val="FFC000"/>
                          </a:solidFill>
                          <a:prstDash val="solid"/>
                          <a:headEnd type="none" w="med" len="med"/>
                          <a:tailEnd type="none" w="med" len="med"/>
                        </a:ln>
                      </wps:spPr>
                      <wps:bodyPr vert="horz" wrap="square" anchor="t" anchorCtr="0" upright="1"/>
                    </wps:wsp>
                  </a:graphicData>
                </a:graphic>
              </wp:anchor>
            </w:drawing>
          </mc:Choice>
          <mc:Fallback>
            <w:pict>
              <v:shape id="任意多边形 204" o:spid="_x0000_s1026" o:spt="100" style="position:absolute;left:0pt;margin-left:25.4pt;margin-top:356.75pt;height:8pt;width:10.6pt;z-index:251665408;mso-width-relative:page;mso-height-relative:page;" fillcolor="#FFFFFF" filled="t" stroked="t" coordsize="254,162" o:gfxdata="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orT3W2gAA&#10;AAkBAAAPAAAAAAAAAAEAIAAAACIAAABkcnMvZG93bnJldi54bWxQSwECFAAUAAAACACHTuJAG/C1&#10;MI4CAACzBQAADgAAAAAAAAABACAAAAApAQAAZHJzL2Uyb0RvYy54bWxQSwUGAAAAAAYABgBZAQAA&#10;KQYAAAAA&#10;" path="m116,0l0,57,58,162,220,115,254,35,116,0xe">
                <v:fill on="t" focussize="0,0"/>
                <v:stroke color="#FFC000" joinstyle="round"/>
                <v:imagedata o:title=""/>
                <o:lock v:ext="edit" aspectratio="f"/>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343535</wp:posOffset>
                </wp:positionH>
                <wp:positionV relativeFrom="paragraph">
                  <wp:posOffset>4352290</wp:posOffset>
                </wp:positionV>
                <wp:extent cx="101600" cy="107950"/>
                <wp:effectExtent l="6350" t="6350" r="6350" b="19050"/>
                <wp:wrapNone/>
                <wp:docPr id="67" name="矩形 67"/>
                <wp:cNvGraphicFramePr/>
                <a:graphic xmlns:a="http://schemas.openxmlformats.org/drawingml/2006/main">
                  <a:graphicData uri="http://schemas.microsoft.com/office/word/2010/wordprocessingShape">
                    <wps:wsp>
                      <wps:cNvSpPr/>
                      <wps:spPr>
                        <a:xfrm>
                          <a:off x="1367790" y="5271135"/>
                          <a:ext cx="101600" cy="107950"/>
                        </a:xfrm>
                        <a:prstGeom prst="rect">
                          <a:avLst/>
                        </a:prstGeom>
                        <a:noFill/>
                        <a:ln>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05pt;margin-top:342.7pt;height:8.5pt;width:8pt;z-index:251679744;v-text-anchor:middle;mso-width-relative:page;mso-height-relative:page;" filled="f" stroked="t" coordsize="21600,21600" o:gfxdata="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H5RqX7VAAAACQEAAA8AAAAAAAAAAQAgAAAAIgAAAGRycy9k&#10;b3ducmV2LnhtbFBLAQIUABQAAAAIAIdO4kAe//OwdwIAANgEAAAOAAAAAAAAAAEAIAAAACQBAABk&#10;cnMvZTJvRG9jLnhtbFBLBQYAAAAABgAGAFkBAAANBgAAAAA=&#10;">
                <v:fill on="f" focussize="0,0"/>
                <v:stroke weight="1pt" color="#0070C0 [2404]" miterlimit="8" joinstyle="miter"/>
                <v:imagedata o:title=""/>
                <o:lock v:ext="edit" aspectratio="f"/>
              </v:rect>
            </w:pict>
          </mc:Fallback>
        </mc:AlternateContent>
      </w:r>
      <w:r>
        <w:rPr>
          <w:sz w:val="28"/>
        </w:rPr>
        <mc:AlternateContent>
          <mc:Choice Requires="wps">
            <w:drawing>
              <wp:anchor distT="0" distB="0" distL="114300" distR="114300" simplePos="0" relativeHeight="251678720" behindDoc="0" locked="0" layoutInCell="1" allowOverlap="1">
                <wp:simplePos x="0" y="0"/>
                <wp:positionH relativeFrom="column">
                  <wp:posOffset>360045</wp:posOffset>
                </wp:positionH>
                <wp:positionV relativeFrom="paragraph">
                  <wp:posOffset>4195445</wp:posOffset>
                </wp:positionV>
                <wp:extent cx="95250" cy="126365"/>
                <wp:effectExtent l="6985" t="6350" r="12065" b="19685"/>
                <wp:wrapNone/>
                <wp:docPr id="66" name="任意多边形 66"/>
                <wp:cNvGraphicFramePr/>
                <a:graphic xmlns:a="http://schemas.openxmlformats.org/drawingml/2006/main">
                  <a:graphicData uri="http://schemas.microsoft.com/office/word/2010/wordprocessingShape">
                    <wps:wsp>
                      <wps:cNvSpPr/>
                      <wps:spPr>
                        <a:xfrm>
                          <a:off x="0" y="0"/>
                          <a:ext cx="95250" cy="126365"/>
                        </a:xfrm>
                        <a:custGeom>
                          <a:avLst/>
                          <a:gdLst>
                            <a:gd name="connisteX0" fmla="*/ 0 w 450850"/>
                            <a:gd name="connsiteY0" fmla="*/ 165100 h 596900"/>
                            <a:gd name="connisteX1" fmla="*/ 25400 w 450850"/>
                            <a:gd name="connsiteY1" fmla="*/ 38100 h 596900"/>
                            <a:gd name="connisteX2" fmla="*/ 76200 w 450850"/>
                            <a:gd name="connsiteY2" fmla="*/ 0 h 596900"/>
                            <a:gd name="connisteX3" fmla="*/ 450850 w 450850"/>
                            <a:gd name="connsiteY3" fmla="*/ 38100 h 596900"/>
                            <a:gd name="connisteX4" fmla="*/ 368300 w 450850"/>
                            <a:gd name="connsiteY4" fmla="*/ 596900 h 596900"/>
                            <a:gd name="connisteX5" fmla="*/ 0 w 450850"/>
                            <a:gd name="connsiteY5" fmla="*/ 165100 h 596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50850" h="596900">
                              <a:moveTo>
                                <a:pt x="0" y="165100"/>
                              </a:moveTo>
                              <a:lnTo>
                                <a:pt x="25400" y="38100"/>
                              </a:lnTo>
                              <a:lnTo>
                                <a:pt x="76200" y="0"/>
                              </a:lnTo>
                              <a:lnTo>
                                <a:pt x="450850" y="38100"/>
                              </a:lnTo>
                              <a:lnTo>
                                <a:pt x="368300" y="596900"/>
                              </a:lnTo>
                              <a:lnTo>
                                <a:pt x="0" y="16510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35pt;margin-top:330.35pt;height:9.95pt;width:7.5pt;z-index:251678720;mso-width-relative:page;mso-height-relative:page;" filled="f" stroked="t" coordsize="450850,596900" o:gfxdata="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" path="m0,165100l25400,38100,76200,0,450850,38100,368300,596900,0,165100xe">
                <v:path o:connectlocs="0,34952;5366,8065;16098,0;95250,8065;77809,126365;0,34952" o:connectangles="0,0,0,0,0,0"/>
                <v:fill on="f" focussize="0,0"/>
                <v:stroke weight="1pt" color="#FF0000 [2404]" miterlimit="8" joinstyle="miter"/>
                <v:imagedata o:title=""/>
                <o:lock v:ext="edit" aspectratio="f"/>
              </v:shape>
            </w:pict>
          </mc:Fallback>
        </mc:AlternateContent>
      </w:r>
      <w:r>
        <w:rPr>
          <w:rFonts w:hAnsi="Times New Roman"/>
        </w:rPr>
        <mc:AlternateContent>
          <mc:Choice Requires="wps">
            <w:drawing>
              <wp:anchor distT="0" distB="0" distL="114300" distR="114300" simplePos="0" relativeHeight="251663360" behindDoc="0" locked="0" layoutInCell="1" allowOverlap="1">
                <wp:simplePos x="0" y="0"/>
                <wp:positionH relativeFrom="column">
                  <wp:posOffset>208915</wp:posOffset>
                </wp:positionH>
                <wp:positionV relativeFrom="paragraph">
                  <wp:posOffset>3927475</wp:posOffset>
                </wp:positionV>
                <wp:extent cx="1443355" cy="1200785"/>
                <wp:effectExtent l="5080" t="4445" r="18415" b="13970"/>
                <wp:wrapNone/>
                <wp:docPr id="15" name="文本框 200"/>
                <wp:cNvGraphicFramePr/>
                <a:graphic xmlns:a="http://schemas.openxmlformats.org/drawingml/2006/main">
                  <a:graphicData uri="http://schemas.microsoft.com/office/word/2010/wordprocessingShape">
                    <wps:wsp>
                      <wps:cNvSpPr txBox="1"/>
                      <wps:spPr>
                        <a:xfrm>
                          <a:off x="0" y="0"/>
                          <a:ext cx="1443355" cy="12007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AC3CBA6">
                            <w:pPr>
                              <w:rPr>
                                <w:b/>
                                <w:bCs/>
                              </w:rPr>
                            </w:pPr>
                            <w:r>
                              <w:rPr>
                                <w:rFonts w:hint="eastAsia"/>
                                <w:b/>
                                <w:bCs/>
                              </w:rPr>
                              <w:t>图例：</w:t>
                            </w:r>
                          </w:p>
                          <w:p w14:paraId="0A98897C">
                            <w:pPr>
                              <w:pStyle w:val="11"/>
                              <w:keepNext w:val="0"/>
                              <w:keepLines w:val="0"/>
                              <w:pageBreakBefore w:val="0"/>
                              <w:widowControl/>
                              <w:kinsoku/>
                              <w:wordWrap/>
                              <w:overflowPunct/>
                              <w:topLinePunct w:val="0"/>
                              <w:bidi w:val="0"/>
                              <w:adjustRightInd/>
                              <w:snapToGrid/>
                              <w:spacing w:line="240" w:lineRule="auto"/>
                              <w:textAlignment w:val="auto"/>
                              <w:rPr>
                                <w:b/>
                                <w:bCs/>
                                <w:sz w:val="21"/>
                                <w:szCs w:val="21"/>
                              </w:rPr>
                            </w:pPr>
                            <w:r>
                              <w:rPr>
                                <w:rFonts w:hint="eastAsia"/>
                                <w:b/>
                                <w:bCs/>
                                <w:sz w:val="21"/>
                                <w:szCs w:val="21"/>
                              </w:rPr>
                              <w:t>本项目</w:t>
                            </w:r>
                          </w:p>
                          <w:p w14:paraId="6DB527A6">
                            <w:pPr>
                              <w:pStyle w:val="11"/>
                              <w:keepNext w:val="0"/>
                              <w:keepLines w:val="0"/>
                              <w:pageBreakBefore w:val="0"/>
                              <w:widowControl/>
                              <w:kinsoku/>
                              <w:wordWrap/>
                              <w:overflowPunct/>
                              <w:topLinePunct w:val="0"/>
                              <w:bidi w:val="0"/>
                              <w:adjustRightInd/>
                              <w:snapToGrid/>
                              <w:spacing w:before="0" w:after="0" w:line="240" w:lineRule="auto"/>
                              <w:textAlignment w:val="auto"/>
                              <w:rPr>
                                <w:rFonts w:hint="eastAsia" w:eastAsia="宋体"/>
                                <w:b/>
                                <w:bCs/>
                                <w:sz w:val="21"/>
                                <w:szCs w:val="21"/>
                                <w:lang w:val="en-US" w:eastAsia="zh-CN"/>
                              </w:rPr>
                            </w:pPr>
                            <w:r>
                              <w:rPr>
                                <w:rFonts w:hint="eastAsia"/>
                                <w:b/>
                                <w:bCs/>
                                <w:sz w:val="21"/>
                                <w:szCs w:val="21"/>
                                <w:lang w:val="en-US" w:eastAsia="zh-CN"/>
                              </w:rPr>
                              <w:t>大气防护距离</w:t>
                            </w:r>
                          </w:p>
                          <w:p w14:paraId="0A9D911B">
                            <w:pPr>
                              <w:pStyle w:val="11"/>
                              <w:keepNext w:val="0"/>
                              <w:keepLines w:val="0"/>
                              <w:pageBreakBefore w:val="0"/>
                              <w:widowControl/>
                              <w:kinsoku/>
                              <w:wordWrap/>
                              <w:overflowPunct/>
                              <w:topLinePunct w:val="0"/>
                              <w:bidi w:val="0"/>
                              <w:adjustRightInd/>
                              <w:snapToGrid/>
                              <w:spacing w:before="0" w:after="0" w:line="240" w:lineRule="auto"/>
                              <w:textAlignment w:val="auto"/>
                              <w:rPr>
                                <w:b/>
                                <w:bCs/>
                              </w:rPr>
                            </w:pPr>
                            <w:r>
                              <w:rPr>
                                <w:rFonts w:hint="eastAsia"/>
                                <w:b/>
                                <w:bCs/>
                                <w:sz w:val="21"/>
                                <w:szCs w:val="21"/>
                              </w:rPr>
                              <w:t>大气保护目标</w:t>
                            </w:r>
                          </w:p>
                        </w:txbxContent>
                      </wps:txbx>
                      <wps:bodyPr wrap="square" upright="1"/>
                    </wps:wsp>
                  </a:graphicData>
                </a:graphic>
              </wp:anchor>
            </w:drawing>
          </mc:Choice>
          <mc:Fallback>
            <w:pict>
              <v:shape id="文本框 200" o:spid="_x0000_s1026" o:spt="202" type="#_x0000_t202" style="position:absolute;left:0pt;margin-left:16.45pt;margin-top:309.25pt;height:94.55pt;width:113.65pt;z-index:251663360;mso-width-relative:page;mso-height-relative:page;" fillcolor="#FFFFFF" filled="t" stroked="t" coordsize="21600,21600" o:gfxdata="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jMVTrZAAAACgEAAA8A&#10;AAAAAAAAAQAgAAAAIgAAAGRycy9kb3ducmV2LnhtbFBLAQIUABQAAAAIAIdO4kB7edZQFgIAAEgE&#10;AAAOAAAAAAAAAAEAIAAAACgBAABkcnMvZTJvRG9jLnhtbFBLBQYAAAAABgAGAFkBAACwBQAAAAA=&#10;">
                <v:fill on="t" focussize="0,0"/>
                <v:stroke color="#000000" joinstyle="miter"/>
                <v:imagedata o:title=""/>
                <o:lock v:ext="edit" aspectratio="f"/>
                <v:textbox>
                  <w:txbxContent>
                    <w:p w14:paraId="6AC3CBA6">
                      <w:pPr>
                        <w:rPr>
                          <w:b/>
                          <w:bCs/>
                        </w:rPr>
                      </w:pPr>
                      <w:r>
                        <w:rPr>
                          <w:rFonts w:hint="eastAsia"/>
                          <w:b/>
                          <w:bCs/>
                        </w:rPr>
                        <w:t>图例：</w:t>
                      </w:r>
                    </w:p>
                    <w:p w14:paraId="0A98897C">
                      <w:pPr>
                        <w:pStyle w:val="11"/>
                        <w:keepNext w:val="0"/>
                        <w:keepLines w:val="0"/>
                        <w:pageBreakBefore w:val="0"/>
                        <w:widowControl/>
                        <w:kinsoku/>
                        <w:wordWrap/>
                        <w:overflowPunct/>
                        <w:topLinePunct w:val="0"/>
                        <w:bidi w:val="0"/>
                        <w:adjustRightInd/>
                        <w:snapToGrid/>
                        <w:spacing w:line="240" w:lineRule="auto"/>
                        <w:textAlignment w:val="auto"/>
                        <w:rPr>
                          <w:b/>
                          <w:bCs/>
                          <w:sz w:val="21"/>
                          <w:szCs w:val="21"/>
                        </w:rPr>
                      </w:pPr>
                      <w:r>
                        <w:rPr>
                          <w:rFonts w:hint="eastAsia"/>
                          <w:b/>
                          <w:bCs/>
                          <w:sz w:val="21"/>
                          <w:szCs w:val="21"/>
                        </w:rPr>
                        <w:t>本项目</w:t>
                      </w:r>
                    </w:p>
                    <w:p w14:paraId="6DB527A6">
                      <w:pPr>
                        <w:pStyle w:val="11"/>
                        <w:keepNext w:val="0"/>
                        <w:keepLines w:val="0"/>
                        <w:pageBreakBefore w:val="0"/>
                        <w:widowControl/>
                        <w:kinsoku/>
                        <w:wordWrap/>
                        <w:overflowPunct/>
                        <w:topLinePunct w:val="0"/>
                        <w:bidi w:val="0"/>
                        <w:adjustRightInd/>
                        <w:snapToGrid/>
                        <w:spacing w:before="0" w:after="0" w:line="240" w:lineRule="auto"/>
                        <w:textAlignment w:val="auto"/>
                        <w:rPr>
                          <w:rFonts w:hint="eastAsia" w:eastAsia="宋体"/>
                          <w:b/>
                          <w:bCs/>
                          <w:sz w:val="21"/>
                          <w:szCs w:val="21"/>
                          <w:lang w:val="en-US" w:eastAsia="zh-CN"/>
                        </w:rPr>
                      </w:pPr>
                      <w:r>
                        <w:rPr>
                          <w:rFonts w:hint="eastAsia"/>
                          <w:b/>
                          <w:bCs/>
                          <w:sz w:val="21"/>
                          <w:szCs w:val="21"/>
                          <w:lang w:val="en-US" w:eastAsia="zh-CN"/>
                        </w:rPr>
                        <w:t>大气防护距离</w:t>
                      </w:r>
                    </w:p>
                    <w:p w14:paraId="0A9D911B">
                      <w:pPr>
                        <w:pStyle w:val="11"/>
                        <w:keepNext w:val="0"/>
                        <w:keepLines w:val="0"/>
                        <w:pageBreakBefore w:val="0"/>
                        <w:widowControl/>
                        <w:kinsoku/>
                        <w:wordWrap/>
                        <w:overflowPunct/>
                        <w:topLinePunct w:val="0"/>
                        <w:bidi w:val="0"/>
                        <w:adjustRightInd/>
                        <w:snapToGrid/>
                        <w:spacing w:before="0" w:after="0" w:line="240" w:lineRule="auto"/>
                        <w:textAlignment w:val="auto"/>
                        <w:rPr>
                          <w:b/>
                          <w:bCs/>
                        </w:rPr>
                      </w:pPr>
                      <w:r>
                        <w:rPr>
                          <w:rFonts w:hint="eastAsia"/>
                          <w:b/>
                          <w:bCs/>
                          <w:sz w:val="21"/>
                          <w:szCs w:val="21"/>
                        </w:rPr>
                        <w:t>大气保护目标</w:t>
                      </w:r>
                    </w:p>
                  </w:txbxContent>
                </v:textbox>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1863090</wp:posOffset>
                </wp:positionH>
                <wp:positionV relativeFrom="paragraph">
                  <wp:posOffset>1546860</wp:posOffset>
                </wp:positionV>
                <wp:extent cx="1218565" cy="260350"/>
                <wp:effectExtent l="0" t="0" r="0" b="0"/>
                <wp:wrapNone/>
                <wp:docPr id="4" name="文本框 4"/>
                <wp:cNvGraphicFramePr/>
                <a:graphic xmlns:a="http://schemas.openxmlformats.org/drawingml/2006/main">
                  <a:graphicData uri="http://schemas.microsoft.com/office/word/2010/wordprocessingShape">
                    <wps:wsp>
                      <wps:cNvSpPr txBox="1"/>
                      <wps:spPr>
                        <a:xfrm>
                          <a:off x="3449955" y="2745105"/>
                          <a:ext cx="121856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B06891">
                            <w:pPr>
                              <w:rPr>
                                <w:rFonts w:hint="default" w:eastAsia="宋体"/>
                                <w:b/>
                                <w:bCs/>
                                <w:color w:val="FF0000"/>
                                <w:lang w:val="en-US" w:eastAsia="zh-CN"/>
                              </w:rPr>
                            </w:pPr>
                            <w:r>
                              <w:rPr>
                                <w:rFonts w:hint="eastAsia"/>
                                <w:b/>
                                <w:bCs/>
                                <w:color w:val="FF0000"/>
                                <w:lang w:val="en-US" w:eastAsia="zh-CN"/>
                              </w:rPr>
                              <w:t>岳华村丁字组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6.7pt;margin-top:121.8pt;height:20.5pt;width:95.95pt;z-index:251680768;mso-width-relative:page;mso-height-relative:page;" filled="f" stroked="f" coordsize="21600,21600" o:gfxdata="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oBeiNsAAAALAQAADwAAAAAAAAAB&#10;ACAAAAAiAAAAZHJzL2Rvd25yZXYueG1sUEsBAhQAFAAAAAgAh07iQLn+PIxGAgAAcgQAAA4AAAAA&#10;AAAAAQAgAAAAKgEAAGRycy9lMm9Eb2MueG1sUEsFBgAAAAAGAAYAWQEAAOIFAAAAAA==&#10;">
                <v:fill on="f" focussize="0,0"/>
                <v:stroke on="f" weight="0.5pt"/>
                <v:imagedata o:title=""/>
                <o:lock v:ext="edit" aspectratio="f"/>
                <v:textbox>
                  <w:txbxContent>
                    <w:p w14:paraId="7CB06891">
                      <w:pPr>
                        <w:rPr>
                          <w:rFonts w:hint="default" w:eastAsia="宋体"/>
                          <w:b/>
                          <w:bCs/>
                          <w:color w:val="FF0000"/>
                          <w:lang w:val="en-US" w:eastAsia="zh-CN"/>
                        </w:rPr>
                      </w:pPr>
                      <w:r>
                        <w:rPr>
                          <w:rFonts w:hint="eastAsia"/>
                          <w:b/>
                          <w:bCs/>
                          <w:color w:val="FF0000"/>
                          <w:lang w:val="en-US" w:eastAsia="zh-CN"/>
                        </w:rPr>
                        <w:t>岳华村丁字组</w:t>
                      </w:r>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5332095</wp:posOffset>
                </wp:positionH>
                <wp:positionV relativeFrom="paragraph">
                  <wp:posOffset>2284730</wp:posOffset>
                </wp:positionV>
                <wp:extent cx="1021715" cy="26035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02171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4DD443">
                            <w:pPr>
                              <w:rPr>
                                <w:rFonts w:hint="default" w:eastAsia="宋体"/>
                                <w:b/>
                                <w:bCs/>
                                <w:color w:val="FF0000"/>
                                <w:lang w:val="en-US" w:eastAsia="zh-CN"/>
                              </w:rPr>
                            </w:pPr>
                            <w:r>
                              <w:rPr>
                                <w:rFonts w:hint="eastAsia"/>
                                <w:b/>
                                <w:bCs/>
                                <w:color w:val="FF0000"/>
                                <w:lang w:val="en-US" w:eastAsia="zh-CN"/>
                              </w:rPr>
                              <w:t>岳华村居民点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9.85pt;margin-top:179.9pt;height:20.5pt;width:80.45pt;z-index:251705344;mso-width-relative:page;mso-height-relative:page;" filled="f" stroked="f" coordsize="21600,21600" o:gfxdata="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Ecmwp3AAAAAwBAAAPAAAAAAAAAAEAIAAAACIAAABk&#10;cnMvZG93bnJldi54bWxQSwECFAAUAAAACACHTuJAXSKhfDsCAABoBAAADgAAAAAAAAABACAAAAAr&#10;AQAAZHJzL2Uyb0RvYy54bWxQSwUGAAAAAAYABgBZAQAA2AUAAAAA&#10;">
                <v:fill on="f" focussize="0,0"/>
                <v:stroke on="f" weight="0.5pt"/>
                <v:imagedata o:title=""/>
                <o:lock v:ext="edit" aspectratio="f"/>
                <v:textbox>
                  <w:txbxContent>
                    <w:p w14:paraId="4C4DD443">
                      <w:pPr>
                        <w:rPr>
                          <w:rFonts w:hint="default" w:eastAsia="宋体"/>
                          <w:b/>
                          <w:bCs/>
                          <w:color w:val="FF0000"/>
                          <w:lang w:val="en-US" w:eastAsia="zh-CN"/>
                        </w:rPr>
                      </w:pPr>
                      <w:r>
                        <w:rPr>
                          <w:rFonts w:hint="eastAsia"/>
                          <w:b/>
                          <w:bCs/>
                          <w:color w:val="FF0000"/>
                          <w:lang w:val="en-US" w:eastAsia="zh-CN"/>
                        </w:rPr>
                        <w:t>岳华村居民点</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4542155</wp:posOffset>
                </wp:positionH>
                <wp:positionV relativeFrom="paragraph">
                  <wp:posOffset>1510030</wp:posOffset>
                </wp:positionV>
                <wp:extent cx="1021715" cy="26035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02171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8232DC">
                            <w:pPr>
                              <w:rPr>
                                <w:rFonts w:hint="default" w:eastAsia="宋体"/>
                                <w:b/>
                                <w:bCs/>
                                <w:color w:val="FF0000"/>
                                <w:lang w:val="en-US" w:eastAsia="zh-CN"/>
                              </w:rPr>
                            </w:pPr>
                            <w:r>
                              <w:rPr>
                                <w:rFonts w:hint="eastAsia" w:eastAsia="宋体"/>
                                <w:b/>
                                <w:bCs/>
                                <w:color w:val="FF0000"/>
                                <w:lang w:val="en-US" w:eastAsia="zh-CN"/>
                              </w:rPr>
                              <w:t>君山区管委会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65pt;margin-top:118.9pt;height:20.5pt;width:80.45pt;z-index:251682816;mso-width-relative:page;mso-height-relative:page;" filled="f" stroked="f" coordsize="21600,21600" o:gfxdata="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&#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Cz6bAbcAAAACwEAAA8AAAAAAAAAAQAgAAAAIgAAAGRy&#10;cy9kb3ducmV2LnhtbFBLAQIUABQAAAAIAIdO4kB0I/ZIOgIAAGYEAAAOAAAAAAAAAAEAIAAAACsB&#10;AABkcnMvZTJvRG9jLnhtbFBLBQYAAAAABgAGAFkBAADXBQAAAAA=&#10;">
                <v:fill on="f" focussize="0,0"/>
                <v:stroke on="f" weight="0.5pt"/>
                <v:imagedata o:title=""/>
                <o:lock v:ext="edit" aspectratio="f"/>
                <v:textbox>
                  <w:txbxContent>
                    <w:p w14:paraId="3D8232DC">
                      <w:pPr>
                        <w:rPr>
                          <w:rFonts w:hint="default" w:eastAsia="宋体"/>
                          <w:b/>
                          <w:bCs/>
                          <w:color w:val="FF0000"/>
                          <w:lang w:val="en-US" w:eastAsia="zh-CN"/>
                        </w:rPr>
                      </w:pPr>
                      <w:r>
                        <w:rPr>
                          <w:rFonts w:hint="eastAsia" w:eastAsia="宋体"/>
                          <w:b/>
                          <w:bCs/>
                          <w:color w:val="FF0000"/>
                          <w:lang w:val="en-US" w:eastAsia="zh-CN"/>
                        </w:rPr>
                        <w:t>君山区管委会</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3596005</wp:posOffset>
                </wp:positionH>
                <wp:positionV relativeFrom="paragraph">
                  <wp:posOffset>2192655</wp:posOffset>
                </wp:positionV>
                <wp:extent cx="926465" cy="260350"/>
                <wp:effectExtent l="0" t="0" r="0" b="0"/>
                <wp:wrapNone/>
                <wp:docPr id="5" name="文本框 5"/>
                <wp:cNvGraphicFramePr/>
                <a:graphic xmlns:a="http://schemas.openxmlformats.org/drawingml/2006/main">
                  <a:graphicData uri="http://schemas.microsoft.com/office/word/2010/wordprocessingShape">
                    <wps:wsp>
                      <wps:cNvSpPr txBox="1"/>
                      <wps:spPr>
                        <a:xfrm>
                          <a:off x="0" y="0"/>
                          <a:ext cx="92646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17E364">
                            <w:pPr>
                              <w:rPr>
                                <w:rFonts w:hint="default" w:eastAsia="宋体"/>
                                <w:b/>
                                <w:bCs/>
                                <w:color w:val="FF0000"/>
                                <w:lang w:val="en-US" w:eastAsia="zh-CN"/>
                              </w:rPr>
                            </w:pPr>
                            <w:r>
                              <w:rPr>
                                <w:rFonts w:hint="eastAsia" w:eastAsia="宋体"/>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15pt;margin-top:172.65pt;height:20.5pt;width:72.95pt;z-index:251681792;mso-width-relative:page;mso-height-relative:page;" filled="f" stroked="f" coordsize="21600,21600" o:gfxdata="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JP4h62wAAAAsBAAAPAAAAAAAAAAEAIAAAACIAAABkcnMv&#10;ZG93bnJldi54bWxQSwECFAAUAAAACACHTuJAXYLT9DkCAABlBAAADgAAAAAAAAABACAAAAAqAQAA&#10;ZHJzL2Uyb0RvYy54bWxQSwUGAAAAAAYABgBZAQAA1QUAAAAA&#10;">
                <v:fill on="f" focussize="0,0"/>
                <v:stroke on="f" weight="0.5pt"/>
                <v:imagedata o:title=""/>
                <o:lock v:ext="edit" aspectratio="f"/>
                <v:textbox>
                  <w:txbxContent>
                    <w:p w14:paraId="3F17E364">
                      <w:pPr>
                        <w:rPr>
                          <w:rFonts w:hint="default" w:eastAsia="宋体"/>
                          <w:b/>
                          <w:bCs/>
                          <w:color w:val="FF0000"/>
                          <w:lang w:val="en-US" w:eastAsia="zh-CN"/>
                        </w:rPr>
                      </w:pPr>
                      <w:r>
                        <w:rPr>
                          <w:rFonts w:hint="eastAsia" w:eastAsia="宋体"/>
                          <w:b/>
                          <w:bCs/>
                          <w:color w:val="FF0000"/>
                          <w:lang w:val="en-US" w:eastAsia="zh-CN"/>
                        </w:rPr>
                        <w:t>项目所在地</w:t>
                      </w:r>
                    </w:p>
                  </w:txbxContent>
                </v:textbox>
              </v:shape>
            </w:pict>
          </mc:Fallback>
        </mc:AlternateContent>
      </w:r>
      <w:r>
        <w:rPr>
          <w:sz w:val="28"/>
        </w:rPr>
        <w:drawing>
          <wp:inline distT="0" distB="0" distL="114300" distR="114300">
            <wp:extent cx="8526780" cy="5126355"/>
            <wp:effectExtent l="0" t="0" r="7620" b="17145"/>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91"/>
                    <a:stretch>
                      <a:fillRect/>
                    </a:stretch>
                  </pic:blipFill>
                  <pic:spPr>
                    <a:xfrm>
                      <a:off x="0" y="0"/>
                      <a:ext cx="8526780" cy="5126355"/>
                    </a:xfrm>
                    <a:prstGeom prst="rect">
                      <a:avLst/>
                    </a:prstGeom>
                    <a:noFill/>
                    <a:ln>
                      <a:noFill/>
                    </a:ln>
                  </pic:spPr>
                </pic:pic>
              </a:graphicData>
            </a:graphic>
          </wp:inline>
        </w:drawing>
      </w:r>
      <w:bookmarkEnd w:id="126"/>
      <w:bookmarkEnd w:id="127"/>
      <w:bookmarkEnd w:id="128"/>
      <w:bookmarkEnd w:id="129"/>
      <w:bookmarkEnd w:id="130"/>
      <w:bookmarkEnd w:id="131"/>
    </w:p>
    <w:p w14:paraId="6DB657E5">
      <w:pPr>
        <w:pStyle w:val="14"/>
        <w:spacing w:line="360" w:lineRule="auto"/>
        <w:jc w:val="center"/>
        <w:outlineLvl w:val="0"/>
        <w:rPr>
          <w:rFonts w:hAnsi="Times New Roman"/>
          <w:b/>
          <w:bCs/>
          <w:sz w:val="28"/>
          <w:szCs w:val="28"/>
        </w:rPr>
        <w:sectPr>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pPr>
      <w:bookmarkStart w:id="132" w:name="_Toc11368"/>
      <w:bookmarkStart w:id="133" w:name="_Toc23168"/>
      <w:bookmarkStart w:id="134" w:name="_Toc12831"/>
      <w:bookmarkStart w:id="135" w:name="_Toc16796"/>
      <w:bookmarkStart w:id="136" w:name="_Toc27293"/>
      <w:bookmarkStart w:id="137" w:name="_Toc3052"/>
      <w:r>
        <w:rPr>
          <w:rFonts w:hAnsi="Times New Roman"/>
          <w:b/>
          <w:bCs/>
          <w:sz w:val="28"/>
          <w:szCs w:val="28"/>
        </w:rPr>
        <w:t>附图2</w:t>
      </w:r>
      <w:r>
        <w:rPr>
          <w:rFonts w:hint="eastAsia" w:hAnsi="Times New Roman"/>
          <w:b/>
          <w:bCs/>
          <w:sz w:val="28"/>
          <w:szCs w:val="28"/>
        </w:rPr>
        <w:t xml:space="preserve"> </w:t>
      </w:r>
      <w:r>
        <w:rPr>
          <w:rFonts w:hAnsi="Times New Roman"/>
          <w:b/>
          <w:bCs/>
          <w:sz w:val="28"/>
          <w:szCs w:val="28"/>
        </w:rPr>
        <w:t>环境保护目标图</w:t>
      </w:r>
      <w:bookmarkEnd w:id="132"/>
      <w:bookmarkEnd w:id="133"/>
      <w:bookmarkEnd w:id="134"/>
      <w:bookmarkEnd w:id="135"/>
      <w:bookmarkEnd w:id="136"/>
      <w:bookmarkEnd w:id="137"/>
    </w:p>
    <w:p w14:paraId="033AA99F">
      <w:pPr>
        <w:spacing w:line="360" w:lineRule="auto"/>
        <w:jc w:val="center"/>
        <w:rPr>
          <w:rFonts w:hint="eastAsia"/>
          <w:b/>
          <w:bCs/>
          <w:sz w:val="28"/>
          <w:szCs w:val="28"/>
          <w:lang w:val="en-US" w:eastAsia="zh-CN"/>
        </w:rPr>
      </w:pPr>
      <w:r>
        <w:rPr>
          <w:sz w:val="21"/>
        </w:rPr>
        <mc:AlternateContent>
          <mc:Choice Requires="wps">
            <w:drawing>
              <wp:anchor distT="0" distB="0" distL="114300" distR="114300" simplePos="0" relativeHeight="251706368" behindDoc="0" locked="0" layoutInCell="1" allowOverlap="1">
                <wp:simplePos x="0" y="0"/>
                <wp:positionH relativeFrom="column">
                  <wp:posOffset>2531110</wp:posOffset>
                </wp:positionH>
                <wp:positionV relativeFrom="paragraph">
                  <wp:posOffset>2534920</wp:posOffset>
                </wp:positionV>
                <wp:extent cx="75565" cy="75565"/>
                <wp:effectExtent l="6350" t="6350" r="13335" b="13335"/>
                <wp:wrapNone/>
                <wp:docPr id="133" name="椭圆 13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9.3pt;margin-top:199.6pt;height:5.95pt;width:5.95pt;z-index:251706368;v-text-anchor:middle;mso-width-relative:page;mso-height-relative:page;" fillcolor="#FF0000" filled="t" stroked="t" coordsize="21600,21600" o:gfxdata="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MY0cn1gAAAAsBAAAPAAAAAAAAAAEAIAAAACIAAABkcnMvZG93bnJldi54bWxQ&#10;SwECFAAUAAAACACHTuJAGA/M52sCAAD4BAAADgAAAAAAAAABACAAAAAlAQAAZHJzL2Uyb0RvYy54&#10;bWxQSwUGAAAAAAYABgBZAQAAAgYAAAAA&#10;">
                <v:fill on="t"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3453765</wp:posOffset>
                </wp:positionH>
                <wp:positionV relativeFrom="paragraph">
                  <wp:posOffset>1377950</wp:posOffset>
                </wp:positionV>
                <wp:extent cx="974725" cy="328930"/>
                <wp:effectExtent l="0" t="0" r="0" b="0"/>
                <wp:wrapNone/>
                <wp:docPr id="135" name="文本框 135"/>
                <wp:cNvGraphicFramePr/>
                <a:graphic xmlns:a="http://schemas.openxmlformats.org/drawingml/2006/main">
                  <a:graphicData uri="http://schemas.microsoft.com/office/word/2010/wordprocessingShape">
                    <wps:wsp>
                      <wps:cNvSpPr txBox="1"/>
                      <wps:spPr>
                        <a:xfrm>
                          <a:off x="4425950" y="2458085"/>
                          <a:ext cx="974725" cy="3289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6079E9">
                            <w:pPr>
                              <w:rPr>
                                <w:rFonts w:hint="eastAsia" w:eastAsia="宋体"/>
                                <w:b/>
                                <w:bCs/>
                                <w:color w:val="FF0000"/>
                                <w:sz w:val="24"/>
                                <w:lang w:val="en-US" w:eastAsia="zh-CN"/>
                              </w:rPr>
                            </w:pPr>
                            <w:r>
                              <w:rPr>
                                <w:rFonts w:hint="eastAsia"/>
                                <w:b/>
                                <w:bCs/>
                                <w:color w:val="FF0000"/>
                                <w:sz w:val="24"/>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95pt;margin-top:108.5pt;height:25.9pt;width:76.75pt;z-index:251708416;mso-width-relative:page;mso-height-relative:page;" filled="f" stroked="f" coordsize="21600,21600" o:gfxdata="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DqQ9L3AAAAAsBAAAPAAAA&#10;AAAAAAEAIAAAACIAAABkcnMvZG93bnJldi54bWxQSwECFAAUAAAACACHTuJATFy9qEoCAAB1BAAA&#10;DgAAAAAAAAABACAAAAArAQAAZHJzL2Uyb0RvYy54bWxQSwUGAAAAAAYABgBZAQAA5wUAAAAA&#10;">
                <v:fill on="f" focussize="0,0"/>
                <v:stroke on="f" weight="0.5pt"/>
                <v:imagedata o:title=""/>
                <o:lock v:ext="edit" aspectratio="f"/>
                <v:textbox>
                  <w:txbxContent>
                    <w:p w14:paraId="596079E9">
                      <w:pPr>
                        <w:rPr>
                          <w:rFonts w:hint="eastAsia" w:eastAsia="宋体"/>
                          <w:b/>
                          <w:bCs/>
                          <w:color w:val="FF0000"/>
                          <w:sz w:val="24"/>
                          <w:lang w:val="en-US" w:eastAsia="zh-CN"/>
                        </w:rPr>
                      </w:pPr>
                      <w:r>
                        <w:rPr>
                          <w:rFonts w:hint="eastAsia"/>
                          <w:b/>
                          <w:bCs/>
                          <w:color w:val="FF0000"/>
                          <w:sz w:val="24"/>
                          <w:lang w:val="en-US" w:eastAsia="zh-CN"/>
                        </w:rPr>
                        <w:t>项目所在地</w:t>
                      </w:r>
                    </w:p>
                  </w:txbxContent>
                </v:textbox>
              </v:shape>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2606675</wp:posOffset>
                </wp:positionH>
                <wp:positionV relativeFrom="paragraph">
                  <wp:posOffset>1663700</wp:posOffset>
                </wp:positionV>
                <wp:extent cx="1036955" cy="909320"/>
                <wp:effectExtent l="4445" t="0" r="6350" b="5080"/>
                <wp:wrapNone/>
                <wp:docPr id="134" name="直接箭头连接符 134"/>
                <wp:cNvGraphicFramePr/>
                <a:graphic xmlns:a="http://schemas.openxmlformats.org/drawingml/2006/main">
                  <a:graphicData uri="http://schemas.microsoft.com/office/word/2010/wordprocessingShape">
                    <wps:wsp>
                      <wps:cNvCnPr>
                        <a:stCxn id="133" idx="6"/>
                      </wps:cNvCnPr>
                      <wps:spPr>
                        <a:xfrm flipV="1">
                          <a:off x="3601085" y="2729230"/>
                          <a:ext cx="1036955" cy="90932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5.25pt;margin-top:131pt;height:71.6pt;width:81.65pt;z-index:251707392;mso-width-relative:page;mso-height-relative:page;" filled="f" stroked="t" coordsize="21600,21600" o:gfxdata="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AmyL21wAAAAsBAAAPAAAAAAAAAAEAIAAAACIAAABkcnMvZG93bnJldi54bWxQ&#10;SwECFAAUAAAACACHTuJAFFqchDECAAAmBAAADgAAAAAAAAABACAAAAAmAQAAZHJzL2Uyb0RvYy54&#10;bWxQSwUGAAAAAAYABgBZAQAAyQUAAAAA&#10;">
                <v:fill on="f" focussize="0,0"/>
                <v:stroke weight="1pt" color="#FF0000 [3204]" miterlimit="8" joinstyle="miter" endarrow="open"/>
                <v:imagedata o:title=""/>
                <o:lock v:ext="edit" aspectratio="f"/>
              </v:shape>
            </w:pict>
          </mc:Fallback>
        </mc:AlternateContent>
      </w:r>
      <w:r>
        <w:rPr>
          <w:rFonts w:hint="eastAsia"/>
          <w:b/>
          <w:bCs/>
          <w:sz w:val="28"/>
          <w:szCs w:val="28"/>
          <w:lang w:val="en-US" w:eastAsia="zh-CN"/>
        </w:rPr>
        <w:drawing>
          <wp:inline distT="0" distB="0" distL="114300" distR="114300">
            <wp:extent cx="5473065" cy="7733030"/>
            <wp:effectExtent l="0" t="0" r="13335" b="1270"/>
            <wp:docPr id="27" name="图片 27" descr="eb86cf68b4c19ce9b6fdab563cdb5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b86cf68b4c19ce9b6fdab563cdb52a"/>
                    <pic:cNvPicPr>
                      <a:picLocks noChangeAspect="1"/>
                    </pic:cNvPicPr>
                  </pic:nvPicPr>
                  <pic:blipFill>
                    <a:blip r:embed="rId92"/>
                    <a:stretch>
                      <a:fillRect/>
                    </a:stretch>
                  </pic:blipFill>
                  <pic:spPr>
                    <a:xfrm>
                      <a:off x="0" y="0"/>
                      <a:ext cx="5473065" cy="7733030"/>
                    </a:xfrm>
                    <a:prstGeom prst="rect">
                      <a:avLst/>
                    </a:prstGeom>
                  </pic:spPr>
                </pic:pic>
              </a:graphicData>
            </a:graphic>
          </wp:inline>
        </w:drawing>
      </w:r>
    </w:p>
    <w:p w14:paraId="01E6E2E9">
      <w:pPr>
        <w:spacing w:line="360" w:lineRule="auto"/>
        <w:jc w:val="center"/>
        <w:outlineLvl w:val="0"/>
        <w:rPr>
          <w:rFonts w:hint="default" w:eastAsia="宋体"/>
          <w:lang w:val="en-US" w:eastAsia="zh-CN"/>
        </w:r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bookmarkStart w:id="138" w:name="_Toc16793"/>
      <w:bookmarkStart w:id="139" w:name="_Toc1370"/>
      <w:bookmarkStart w:id="140" w:name="_Toc24470"/>
      <w:bookmarkStart w:id="141" w:name="_Toc3882"/>
      <w:r>
        <w:rPr>
          <w:rFonts w:hint="eastAsia"/>
          <w:b/>
          <w:bCs/>
          <w:sz w:val="28"/>
          <w:szCs w:val="28"/>
          <w:lang w:val="en-US" w:eastAsia="zh-CN"/>
        </w:rPr>
        <w:t>附图3 湖南东洞庭湖国家级自然保护区功能区划图</w:t>
      </w:r>
      <w:bookmarkEnd w:id="138"/>
      <w:bookmarkEnd w:id="139"/>
      <w:bookmarkEnd w:id="140"/>
      <w:bookmarkEnd w:id="141"/>
    </w:p>
    <w:p w14:paraId="00D3F6A1">
      <w:pPr>
        <w:jc w:val="center"/>
      </w:pPr>
      <w:r>
        <w:rPr>
          <w:sz w:val="21"/>
        </w:rPr>
        <mc:AlternateContent>
          <mc:Choice Requires="wps">
            <w:drawing>
              <wp:anchor distT="0" distB="0" distL="114300" distR="114300" simplePos="0" relativeHeight="251704320" behindDoc="0" locked="0" layoutInCell="1" allowOverlap="1">
                <wp:simplePos x="0" y="0"/>
                <wp:positionH relativeFrom="column">
                  <wp:posOffset>3067685</wp:posOffset>
                </wp:positionH>
                <wp:positionV relativeFrom="paragraph">
                  <wp:posOffset>4158615</wp:posOffset>
                </wp:positionV>
                <wp:extent cx="768985" cy="28702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768985"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9E0A58">
                            <w:pPr>
                              <w:rPr>
                                <w:rFonts w:hint="default" w:eastAsia="宋体"/>
                                <w:color w:val="FF0000"/>
                                <w:lang w:val="en-US" w:eastAsia="zh-CN"/>
                              </w:rPr>
                            </w:pPr>
                            <w:r>
                              <w:rPr>
                                <w:rFonts w:hint="eastAsia"/>
                                <w:color w:val="FF0000"/>
                                <w:lang w:val="en-US" w:eastAsia="zh-CN"/>
                              </w:rPr>
                              <w:t>成品仓库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55pt;margin-top:327.45pt;height:22.6pt;width:60.55pt;z-index:251704320;mso-width-relative:page;mso-height-relative:page;" filled="f" stroked="f" coordsize="21600,21600" o:gfxdata="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5XUkNtwAAAALAQAADwAAAAAAAAABACAAAAAi&#10;AAAAZHJzL2Rvd25yZXYueG1sUEsBAhQAFAAAAAgAh07iQA1HKL4/AgAAZwQAAA4AAAAAAAAAAQAg&#10;AAAAKwEAAGRycy9lMm9Eb2MueG1sUEsFBgAAAAAGAAYAWQEAANwFAAAAAA==&#10;">
                <v:fill on="f" focussize="0,0"/>
                <v:stroke on="f" weight="0.5pt"/>
                <v:imagedata o:title=""/>
                <o:lock v:ext="edit" aspectratio="f"/>
                <v:textbox>
                  <w:txbxContent>
                    <w:p w14:paraId="1A9E0A58">
                      <w:pPr>
                        <w:rPr>
                          <w:rFonts w:hint="default" w:eastAsia="宋体"/>
                          <w:color w:val="FF0000"/>
                          <w:lang w:val="en-US" w:eastAsia="zh-CN"/>
                        </w:rPr>
                      </w:pPr>
                      <w:r>
                        <w:rPr>
                          <w:rFonts w:hint="eastAsia"/>
                          <w:color w:val="FF0000"/>
                          <w:lang w:val="en-US" w:eastAsia="zh-CN"/>
                        </w:rPr>
                        <w:t>成品仓库</w:t>
                      </w: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3034030</wp:posOffset>
                </wp:positionH>
                <wp:positionV relativeFrom="paragraph">
                  <wp:posOffset>3949065</wp:posOffset>
                </wp:positionV>
                <wp:extent cx="762000" cy="666750"/>
                <wp:effectExtent l="8890" t="8890" r="10160" b="10160"/>
                <wp:wrapNone/>
                <wp:docPr id="91" name="任意多边形 91"/>
                <wp:cNvGraphicFramePr/>
                <a:graphic xmlns:a="http://schemas.openxmlformats.org/drawingml/2006/main">
                  <a:graphicData uri="http://schemas.microsoft.com/office/word/2010/wordprocessingShape">
                    <wps:wsp>
                      <wps:cNvSpPr/>
                      <wps:spPr>
                        <a:xfrm>
                          <a:off x="4006215" y="5029200"/>
                          <a:ext cx="762000" cy="666750"/>
                        </a:xfrm>
                        <a:custGeom>
                          <a:avLst/>
                          <a:gdLst>
                            <a:gd name="connisteX0" fmla="*/ 598805 w 762000"/>
                            <a:gd name="connsiteY0" fmla="*/ 0 h 666750"/>
                            <a:gd name="connisteX1" fmla="*/ 0 w 762000"/>
                            <a:gd name="connsiteY1" fmla="*/ 461645 h 666750"/>
                            <a:gd name="connisteX2" fmla="*/ 149860 w 762000"/>
                            <a:gd name="connsiteY2" fmla="*/ 666750 h 666750"/>
                            <a:gd name="connisteX3" fmla="*/ 762000 w 762000"/>
                            <a:gd name="connsiteY3" fmla="*/ 183515 h 666750"/>
                            <a:gd name="connisteX4" fmla="*/ 598805 w 762000"/>
                            <a:gd name="connsiteY4" fmla="*/ 0 h 6667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62000" h="666750">
                              <a:moveTo>
                                <a:pt x="598805" y="0"/>
                              </a:moveTo>
                              <a:lnTo>
                                <a:pt x="0" y="461645"/>
                              </a:lnTo>
                              <a:lnTo>
                                <a:pt x="149860" y="666750"/>
                              </a:lnTo>
                              <a:lnTo>
                                <a:pt x="762000" y="183515"/>
                              </a:lnTo>
                              <a:lnTo>
                                <a:pt x="598805"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8.9pt;margin-top:310.95pt;height:52.5pt;width:60pt;z-index:251703296;mso-width-relative:page;mso-height-relative:page;" filled="f" stroked="t" coordsize="762000,666750" o:gfxdata="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" path="m598805,0l0,461645,149860,666750,762000,183515,598805,0xe">
                <v:path o:connectlocs="598805,0;0,461645;149860,666750;762000,183515;598805,0" o:connectangles="0,0,0,0,0"/>
                <v:fill on="f" focussize="0,0"/>
                <v:stroke weight="1pt" color="#FF0000 [2404]" miterlimit="8" joinstyle="miter"/>
                <v:imagedata o:title=""/>
                <o:lock v:ext="edit" aspectratio="f"/>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3602990</wp:posOffset>
                </wp:positionH>
                <wp:positionV relativeFrom="paragraph">
                  <wp:posOffset>3051175</wp:posOffset>
                </wp:positionV>
                <wp:extent cx="741045" cy="238125"/>
                <wp:effectExtent l="0" t="0" r="0" b="0"/>
                <wp:wrapNone/>
                <wp:docPr id="70" name="文本框 70"/>
                <wp:cNvGraphicFramePr/>
                <a:graphic xmlns:a="http://schemas.openxmlformats.org/drawingml/2006/main">
                  <a:graphicData uri="http://schemas.microsoft.com/office/word/2010/wordprocessingShape">
                    <wps:wsp>
                      <wps:cNvSpPr txBox="1"/>
                      <wps:spPr>
                        <a:xfrm>
                          <a:off x="4935220" y="4261485"/>
                          <a:ext cx="74104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167A13">
                            <w:pPr>
                              <w:rPr>
                                <w:rFonts w:hint="eastAsia" w:eastAsia="宋体"/>
                                <w:color w:val="FF0000"/>
                                <w:lang w:val="en-US" w:eastAsia="zh-CN"/>
                              </w:rPr>
                            </w:pPr>
                            <w:r>
                              <w:rPr>
                                <w:rFonts w:hint="eastAsia"/>
                                <w:color w:val="FF0000"/>
                                <w:lang w:val="en-US"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7pt;margin-top:240.25pt;height:18.75pt;width:58.35pt;z-index:251685888;mso-width-relative:page;mso-height-relative:page;" filled="f" stroked="f" coordsize="21600,21600" o:gfxdata="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N2MPNsAAAALAQAADwAAAAAA&#10;AAABACAAAAAiAAAAZHJzL2Rvd25yZXYueG1sUEsBAhQAFAAAAAgAh07iQLPuB45JAgAAcwQAAA4A&#10;AAAAAAAAAQAgAAAAKgEAAGRycy9lMm9Eb2MueG1sUEsFBgAAAAAGAAYAWQEAAOUFAAAAAA==&#10;">
                <v:fill on="f" focussize="0,0"/>
                <v:stroke on="f" weight="0.5pt"/>
                <v:imagedata o:title=""/>
                <o:lock v:ext="edit" aspectratio="f"/>
                <v:textbox>
                  <w:txbxContent>
                    <w:p w14:paraId="3E167A13">
                      <w:pPr>
                        <w:rPr>
                          <w:rFonts w:hint="eastAsia" w:eastAsia="宋体"/>
                          <w:color w:val="FF0000"/>
                          <w:lang w:val="en-US" w:eastAsia="zh-CN"/>
                        </w:rPr>
                      </w:pPr>
                      <w:r>
                        <w:rPr>
                          <w:rFonts w:hint="eastAsia"/>
                          <w:color w:val="FF0000"/>
                          <w:lang w:val="en-US" w:eastAsia="zh-CN"/>
                        </w:rPr>
                        <w:t>锅炉房</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3950970</wp:posOffset>
                </wp:positionH>
                <wp:positionV relativeFrom="paragraph">
                  <wp:posOffset>3199765</wp:posOffset>
                </wp:positionV>
                <wp:extent cx="76200" cy="76200"/>
                <wp:effectExtent l="4445" t="4445" r="14605" b="14605"/>
                <wp:wrapNone/>
                <wp:docPr id="54" name="自选图形 214"/>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自选图形 214" o:spid="_x0000_s1026" o:spt="100" style="position:absolute;left:0pt;margin-left:311.1pt;margin-top:251.95pt;height:6pt;width:6pt;z-index:251673600;mso-width-relative:page;mso-height-relative:page;" fillcolor="#FFFF00" filled="t" stroked="t" coordsize="21600,21600" o:gfxdata="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2095500</wp:posOffset>
                </wp:positionH>
                <wp:positionV relativeFrom="paragraph">
                  <wp:posOffset>3477260</wp:posOffset>
                </wp:positionV>
                <wp:extent cx="1021080" cy="238125"/>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0210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BE0D3D">
                            <w:pPr>
                              <w:rPr>
                                <w:rFonts w:hint="default" w:eastAsia="宋体"/>
                                <w:color w:val="FF0000"/>
                                <w:sz w:val="18"/>
                                <w:szCs w:val="18"/>
                                <w:lang w:val="en-US" w:eastAsia="zh-CN"/>
                              </w:rPr>
                            </w:pPr>
                            <w:r>
                              <w:rPr>
                                <w:rFonts w:hint="eastAsia"/>
                                <w:color w:val="FF0000"/>
                                <w:sz w:val="18"/>
                                <w:szCs w:val="18"/>
                                <w:lang w:val="en-US" w:eastAsia="zh-CN"/>
                              </w:rPr>
                              <w:t>废食用油储罐区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273.8pt;height:18.75pt;width:80.4pt;z-index:251702272;mso-width-relative:page;mso-height-relative:page;" filled="f" stroked="f" coordsize="21600,21600" o:gfxdata="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VQyOdwAAAALAQAADwAAAAAAAAABACAAAAAiAAAA&#10;ZHJzL2Rvd25yZXYueG1sUEsBAhQAFAAAAAgAh07iQA7q9Ec8AgAAaAQAAA4AAAAAAAAAAQAgAAAA&#10;KwEAAGRycy9lMm9Eb2MueG1sUEsFBgAAAAAGAAYAWQEAANkFAAAAAA==&#10;">
                <v:fill on="f" focussize="0,0"/>
                <v:stroke on="f" weight="0.5pt"/>
                <v:imagedata o:title=""/>
                <o:lock v:ext="edit" aspectratio="f"/>
                <v:textbox>
                  <w:txbxContent>
                    <w:p w14:paraId="73BE0D3D">
                      <w:pPr>
                        <w:rPr>
                          <w:rFonts w:hint="default" w:eastAsia="宋体"/>
                          <w:color w:val="FF0000"/>
                          <w:sz w:val="18"/>
                          <w:szCs w:val="18"/>
                          <w:lang w:val="en-US" w:eastAsia="zh-CN"/>
                        </w:rPr>
                      </w:pPr>
                      <w:r>
                        <w:rPr>
                          <w:rFonts w:hint="eastAsia"/>
                          <w:color w:val="FF0000"/>
                          <w:sz w:val="18"/>
                          <w:szCs w:val="18"/>
                          <w:lang w:val="en-US" w:eastAsia="zh-CN"/>
                        </w:rPr>
                        <w:t>废食用油储罐区</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1751965</wp:posOffset>
                </wp:positionH>
                <wp:positionV relativeFrom="paragraph">
                  <wp:posOffset>3693160</wp:posOffset>
                </wp:positionV>
                <wp:extent cx="2068195" cy="287020"/>
                <wp:effectExtent l="0" t="0" r="0" b="0"/>
                <wp:wrapNone/>
                <wp:docPr id="68" name="文本框 68"/>
                <wp:cNvGraphicFramePr/>
                <a:graphic xmlns:a="http://schemas.openxmlformats.org/drawingml/2006/main">
                  <a:graphicData uri="http://schemas.microsoft.com/office/word/2010/wordprocessingShape">
                    <wps:wsp>
                      <wps:cNvSpPr txBox="1"/>
                      <wps:spPr>
                        <a:xfrm>
                          <a:off x="2689860" y="4691380"/>
                          <a:ext cx="2068195"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50037C">
                            <w:pPr>
                              <w:rPr>
                                <w:rFonts w:hint="default" w:eastAsia="宋体"/>
                                <w:color w:val="FF0000"/>
                                <w:lang w:val="en-US" w:eastAsia="zh-CN"/>
                              </w:rPr>
                            </w:pPr>
                            <w:r>
                              <w:rPr>
                                <w:rFonts w:hint="eastAsia"/>
                                <w:color w:val="FF0000"/>
                                <w:lang w:val="en-US" w:eastAsia="zh-CN"/>
                              </w:rPr>
                              <w:t>综合生产车间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7.95pt;margin-top:290.8pt;height:22.6pt;width:162.85pt;z-index:251684864;mso-width-relative:page;mso-height-relative:page;" filled="f" stroked="f" coordsize="21600,21600" o:gfxdata="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OuhH42gAAAAsBAAAPAAAAAAAA&#10;AAEAIAAAACIAAABkcnMvZG93bnJldi54bWxQSwECFAAUAAAACACHTuJAgIceTUkCAAB0BAAADgAA&#10;AAAAAAABACAAAAApAQAAZHJzL2Uyb0RvYy54bWxQSwUGAAAAAAYABgBZAQAA5AUAAAAA&#10;">
                <v:fill on="f" focussize="0,0"/>
                <v:stroke on="f" weight="0.5pt"/>
                <v:imagedata o:title=""/>
                <o:lock v:ext="edit" aspectratio="f"/>
                <v:textbox>
                  <w:txbxContent>
                    <w:p w14:paraId="4050037C">
                      <w:pPr>
                        <w:rPr>
                          <w:rFonts w:hint="default" w:eastAsia="宋体"/>
                          <w:color w:val="FF0000"/>
                          <w:lang w:val="en-US" w:eastAsia="zh-CN"/>
                        </w:rPr>
                      </w:pPr>
                      <w:r>
                        <w:rPr>
                          <w:rFonts w:hint="eastAsia"/>
                          <w:color w:val="FF0000"/>
                          <w:lang w:val="en-US" w:eastAsia="zh-CN"/>
                        </w:rPr>
                        <w:t>综合生产车间</w:t>
                      </w:r>
                    </w:p>
                  </w:txbxContent>
                </v:textbox>
              </v:shape>
            </w:pict>
          </mc:Fallback>
        </mc:AlternateContent>
      </w:r>
      <w:r>
        <w:rPr>
          <w:sz w:val="21"/>
        </w:rPr>
        <mc:AlternateContent>
          <mc:Choice Requires="wps">
            <w:drawing>
              <wp:anchor distT="0" distB="0" distL="114300" distR="114300" simplePos="0" relativeHeight="251701248" behindDoc="0" locked="0" layoutInCell="1" allowOverlap="1">
                <wp:simplePos x="0" y="0"/>
                <wp:positionH relativeFrom="column">
                  <wp:posOffset>2331720</wp:posOffset>
                </wp:positionH>
                <wp:positionV relativeFrom="paragraph">
                  <wp:posOffset>3441065</wp:posOffset>
                </wp:positionV>
                <wp:extent cx="313055" cy="102870"/>
                <wp:effectExtent l="11430" t="22860" r="18415" b="26670"/>
                <wp:wrapNone/>
                <wp:docPr id="89" name="矩形 89"/>
                <wp:cNvGraphicFramePr/>
                <a:graphic xmlns:a="http://schemas.openxmlformats.org/drawingml/2006/main">
                  <a:graphicData uri="http://schemas.microsoft.com/office/word/2010/wordprocessingShape">
                    <wps:wsp>
                      <wps:cNvSpPr/>
                      <wps:spPr>
                        <a:xfrm rot="360000">
                          <a:off x="0" y="0"/>
                          <a:ext cx="313055" cy="10287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3.6pt;margin-top:270.95pt;height:8.1pt;width:24.65pt;rotation:393216f;z-index:251701248;v-text-anchor:middle;mso-width-relative:page;mso-height-relative:page;" filled="f" stroked="t" coordsize="21600,21600" o:gfxdata="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IxpBedgAAAALAQAADwAAAAAAAAABACAAAAAiAAAAZHJzL2Rvd25y&#10;ZXYueG1sUEsBAhQAFAAAAAgAh07iQOlRJIRwAgAA2QQAAA4AAAAAAAAAAQAgAAAAJwEAAGRycy9l&#10;Mm9Eb2MueG1sUEsFBgAAAAAGAAYAWQEAAAkGA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3004820</wp:posOffset>
                </wp:positionH>
                <wp:positionV relativeFrom="paragraph">
                  <wp:posOffset>3379470</wp:posOffset>
                </wp:positionV>
                <wp:extent cx="1021080" cy="238125"/>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0210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2BF034">
                            <w:pPr>
                              <w:rPr>
                                <w:rFonts w:hint="default" w:eastAsia="宋体"/>
                                <w:color w:val="FF0000"/>
                                <w:sz w:val="18"/>
                                <w:szCs w:val="18"/>
                                <w:lang w:val="en-US" w:eastAsia="zh-CN"/>
                              </w:rPr>
                            </w:pPr>
                            <w:r>
                              <w:rPr>
                                <w:rFonts w:hint="eastAsia"/>
                                <w:color w:val="FF0000"/>
                                <w:sz w:val="18"/>
                                <w:szCs w:val="18"/>
                                <w:lang w:val="en-US" w:eastAsia="zh-CN"/>
                              </w:rPr>
                              <w:t>固废间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6.6pt;margin-top:266.1pt;height:18.75pt;width:80.4pt;z-index:251700224;mso-width-relative:page;mso-height-relative:page;" filled="f" stroked="f" coordsize="21600,21600" o:gfxdata="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J176B3QAAAAsBAAAPAAAAAAAAAAEAIAAAACIA&#10;AABkcnMvZG93bnJldi54bWxQSwECFAAUAAAACACHTuJA17VbwT0CAABoBAAADgAAAAAAAAABACAA&#10;AAAsAQAAZHJzL2Uyb0RvYy54bWxQSwUGAAAAAAYABgBZAQAA2wUAAAAA&#10;">
                <v:fill on="f" focussize="0,0"/>
                <v:stroke on="f" weight="0.5pt"/>
                <v:imagedata o:title=""/>
                <o:lock v:ext="edit" aspectratio="f"/>
                <v:textbox>
                  <w:txbxContent>
                    <w:p w14:paraId="0B2BF034">
                      <w:pPr>
                        <w:rPr>
                          <w:rFonts w:hint="default" w:eastAsia="宋体"/>
                          <w:color w:val="FF0000"/>
                          <w:sz w:val="18"/>
                          <w:szCs w:val="18"/>
                          <w:lang w:val="en-US" w:eastAsia="zh-CN"/>
                        </w:rPr>
                      </w:pPr>
                      <w:r>
                        <w:rPr>
                          <w:rFonts w:hint="eastAsia"/>
                          <w:color w:val="FF0000"/>
                          <w:sz w:val="18"/>
                          <w:szCs w:val="18"/>
                          <w:lang w:val="en-US" w:eastAsia="zh-CN"/>
                        </w:rPr>
                        <w:t>固废间</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2941320</wp:posOffset>
                </wp:positionH>
                <wp:positionV relativeFrom="paragraph">
                  <wp:posOffset>3458845</wp:posOffset>
                </wp:positionV>
                <wp:extent cx="116840" cy="76200"/>
                <wp:effectExtent l="6350" t="6350" r="10160" b="12700"/>
                <wp:wrapNone/>
                <wp:docPr id="85" name="矩形 85"/>
                <wp:cNvGraphicFramePr/>
                <a:graphic xmlns:a="http://schemas.openxmlformats.org/drawingml/2006/main">
                  <a:graphicData uri="http://schemas.microsoft.com/office/word/2010/wordprocessingShape">
                    <wps:wsp>
                      <wps:cNvSpPr/>
                      <wps:spPr>
                        <a:xfrm>
                          <a:off x="0" y="0"/>
                          <a:ext cx="116840" cy="762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6pt;margin-top:272.35pt;height:6pt;width:9.2pt;z-index:251699200;v-text-anchor:middle;mso-width-relative:page;mso-height-relative:page;" filled="f" stroked="t" coordsize="21600,21600" o:gfxdata="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090PPdgAAAALAQAADwAAAAAAAAABACAAAAAiAAAAZHJzL2Rvd25yZXYueG1sUEsB&#10;AhQAFAAAAAgAh07iQClXVnBnAgAAywQAAA4AAAAAAAAAAQAgAAAAJwEAAGRycy9lMm9Eb2MueG1s&#10;UEsFBgAAAAAGAAYAWQEAAAAGA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98176" behindDoc="0" locked="0" layoutInCell="1" allowOverlap="1">
                <wp:simplePos x="0" y="0"/>
                <wp:positionH relativeFrom="column">
                  <wp:posOffset>3791585</wp:posOffset>
                </wp:positionH>
                <wp:positionV relativeFrom="paragraph">
                  <wp:posOffset>2451100</wp:posOffset>
                </wp:positionV>
                <wp:extent cx="1021080" cy="23812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0210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B59505">
                            <w:pPr>
                              <w:rPr>
                                <w:rFonts w:hint="default" w:eastAsia="宋体"/>
                                <w:color w:val="FF0000"/>
                                <w:sz w:val="18"/>
                                <w:szCs w:val="18"/>
                                <w:lang w:val="en-US" w:eastAsia="zh-CN"/>
                              </w:rPr>
                            </w:pPr>
                            <w:r>
                              <w:rPr>
                                <w:rFonts w:hint="eastAsia"/>
                                <w:color w:val="FF0000"/>
                                <w:sz w:val="18"/>
                                <w:szCs w:val="18"/>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55pt;margin-top:193pt;height:18.75pt;width:80.4pt;z-index:251698176;mso-width-relative:page;mso-height-relative:page;" filled="f" stroked="f" coordsize="21600,21600" o:gfxdata="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uQrF3dAAAACwEAAA8AAAAAAAAAAQAgAAAAIgAA&#10;AGRycy9kb3ducmV2LnhtbFBLAQIUABQAAAAIAIdO4kApP9CHPAIAAGgEAAAOAAAAAAAAAAEAIAAA&#10;ACwBAABkcnMvZTJvRG9jLnhtbFBLBQYAAAAABgAGAFkBAADaBQAAAAA=&#10;">
                <v:fill on="f" focussize="0,0"/>
                <v:stroke on="f" weight="0.5pt"/>
                <v:imagedata o:title=""/>
                <o:lock v:ext="edit" aspectratio="f"/>
                <v:textbox>
                  <w:txbxContent>
                    <w:p w14:paraId="7EB59505">
                      <w:pPr>
                        <w:rPr>
                          <w:rFonts w:hint="default" w:eastAsia="宋体"/>
                          <w:color w:val="FF0000"/>
                          <w:sz w:val="18"/>
                          <w:szCs w:val="18"/>
                          <w:lang w:val="en-US" w:eastAsia="zh-CN"/>
                        </w:rPr>
                      </w:pPr>
                      <w:r>
                        <w:rPr>
                          <w:rFonts w:hint="eastAsia"/>
                          <w:color w:val="FF0000"/>
                          <w:sz w:val="18"/>
                          <w:szCs w:val="18"/>
                          <w:lang w:val="en-US" w:eastAsia="zh-CN"/>
                        </w:rPr>
                        <w:t>危废间</w:t>
                      </w:r>
                    </w:p>
                  </w:txbxContent>
                </v:textbox>
              </v:shape>
            </w:pict>
          </mc:Fallback>
        </mc:AlternateContent>
      </w:r>
      <w:r>
        <w:rPr>
          <w:sz w:val="21"/>
        </w:rPr>
        <mc:AlternateContent>
          <mc:Choice Requires="wps">
            <w:drawing>
              <wp:anchor distT="0" distB="0" distL="114300" distR="114300" simplePos="0" relativeHeight="251697152" behindDoc="0" locked="0" layoutInCell="1" allowOverlap="1">
                <wp:simplePos x="0" y="0"/>
                <wp:positionH relativeFrom="column">
                  <wp:posOffset>3747770</wp:posOffset>
                </wp:positionH>
                <wp:positionV relativeFrom="paragraph">
                  <wp:posOffset>2537460</wp:posOffset>
                </wp:positionV>
                <wp:extent cx="116840" cy="76200"/>
                <wp:effectExtent l="6350" t="6350" r="10160" b="12700"/>
                <wp:wrapNone/>
                <wp:docPr id="83" name="矩形 83"/>
                <wp:cNvGraphicFramePr/>
                <a:graphic xmlns:a="http://schemas.openxmlformats.org/drawingml/2006/main">
                  <a:graphicData uri="http://schemas.microsoft.com/office/word/2010/wordprocessingShape">
                    <wps:wsp>
                      <wps:cNvSpPr/>
                      <wps:spPr>
                        <a:xfrm>
                          <a:off x="4700270" y="3604260"/>
                          <a:ext cx="116840" cy="762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5.1pt;margin-top:199.8pt;height:6pt;width:9.2pt;z-index:251697152;v-text-anchor:middle;mso-width-relative:page;mso-height-relative:page;" filled="f" stroked="t" coordsize="21600,21600" o:gfxdata="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hk9VbYAAAACwEAAA8AAAAAAAAAAQAgAAAAIgAAAGRycy9k&#10;b3ducmV2LnhtbFBLAQIUABQAAAAIAIdO4kB/o8tgdAIAANcEAAAOAAAAAAAAAAEAIAAAACcBAABk&#10;cnMvZTJvRG9jLnhtbFBLBQYAAAAABgAGAFkBAAANBgAAAAA=&#10;">
                <v:fill on="f" focussize="0,0"/>
                <v:stroke weight="1pt" color="#FF0000 [2404]" miterlimit="8" joinstyle="miter"/>
                <v:imagedata o:title=""/>
                <o:lock v:ext="edit" aspectratio="f"/>
              </v:rect>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3898265</wp:posOffset>
                </wp:positionH>
                <wp:positionV relativeFrom="paragraph">
                  <wp:posOffset>1864995</wp:posOffset>
                </wp:positionV>
                <wp:extent cx="612775" cy="283845"/>
                <wp:effectExtent l="0" t="0" r="0" b="0"/>
                <wp:wrapNone/>
                <wp:docPr id="82" name="文本框 213"/>
                <wp:cNvGraphicFramePr/>
                <a:graphic xmlns:a="http://schemas.openxmlformats.org/drawingml/2006/main">
                  <a:graphicData uri="http://schemas.microsoft.com/office/word/2010/wordprocessingShape">
                    <wps:wsp>
                      <wps:cNvSpPr txBox="1"/>
                      <wps:spPr>
                        <a:xfrm>
                          <a:off x="0" y="0"/>
                          <a:ext cx="612775" cy="283845"/>
                        </a:xfrm>
                        <a:prstGeom prst="rect">
                          <a:avLst/>
                        </a:prstGeom>
                        <a:noFill/>
                        <a:ln>
                          <a:noFill/>
                        </a:ln>
                      </wps:spPr>
                      <wps:txbx>
                        <w:txbxContent>
                          <w:p w14:paraId="728E043D">
                            <w:pPr>
                              <w:rPr>
                                <w:rFonts w:hint="default"/>
                                <w:lang w:val="en-US"/>
                              </w:rPr>
                            </w:pPr>
                            <w:r>
                              <w:rPr>
                                <w:rFonts w:hint="eastAsia"/>
                                <w:lang w:val="en-US" w:eastAsia="zh-CN"/>
                              </w:rPr>
                              <w:t>DW001</w:t>
                            </w:r>
                          </w:p>
                        </w:txbxContent>
                      </wps:txbx>
                      <wps:bodyPr wrap="square" upright="1"/>
                    </wps:wsp>
                  </a:graphicData>
                </a:graphic>
              </wp:anchor>
            </w:drawing>
          </mc:Choice>
          <mc:Fallback>
            <w:pict>
              <v:shape id="文本框 213" o:spid="_x0000_s1026" o:spt="202" type="#_x0000_t202" style="position:absolute;left:0pt;margin-left:306.95pt;margin-top:146.85pt;height:22.35pt;width:48.25pt;z-index:251696128;mso-width-relative:page;mso-height-relative:page;" filled="f" stroked="f" coordsize="21600,21600" o:gfxdata="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J5m2c2QAAAAsBAAAPAAAAAAAAAAEAIAAAACIAAABkcnMvZG93bnJldi54bWxQSwEC&#10;FAAUAAAACACHTuJASV1G4LoBAABeAwAADgAAAAAAAAABACAAAAAoAQAAZHJzL2Uyb0RvYy54bWxQ&#10;SwUGAAAAAAYABgBZAQAAVAUAAAAA&#10;">
                <v:fill on="f" focussize="0,0"/>
                <v:stroke on="f"/>
                <v:imagedata o:title=""/>
                <o:lock v:ext="edit" aspectratio="f"/>
                <v:textbox>
                  <w:txbxContent>
                    <w:p w14:paraId="728E043D">
                      <w:pPr>
                        <w:rPr>
                          <w:rFonts w:hint="default"/>
                          <w:lang w:val="en-US"/>
                        </w:rPr>
                      </w:pPr>
                      <w:r>
                        <w:rPr>
                          <w:rFonts w:hint="eastAsia"/>
                          <w:lang w:val="en-US" w:eastAsia="zh-CN"/>
                        </w:rPr>
                        <w:t>DW001</w:t>
                      </w:r>
                    </w:p>
                  </w:txbxContent>
                </v:textbox>
              </v:shap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4085590</wp:posOffset>
                </wp:positionH>
                <wp:positionV relativeFrom="paragraph">
                  <wp:posOffset>1819910</wp:posOffset>
                </wp:positionV>
                <wp:extent cx="76200" cy="76200"/>
                <wp:effectExtent l="4445" t="4445" r="14605" b="14605"/>
                <wp:wrapNone/>
                <wp:docPr id="81" name="自选图形 214"/>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00B050"/>
                          </a:solidFill>
                          <a:prstDash val="solid"/>
                          <a:headEnd type="none" w="med" len="med"/>
                          <a:tailEnd type="none" w="med" len="med"/>
                        </a:ln>
                      </wps:spPr>
                      <wps:bodyPr wrap="square" upright="1"/>
                    </wps:wsp>
                  </a:graphicData>
                </a:graphic>
              </wp:anchor>
            </w:drawing>
          </mc:Choice>
          <mc:Fallback>
            <w:pict>
              <v:shape id="自选图形 214" o:spid="_x0000_s1026" o:spt="100" style="position:absolute;left:0pt;margin-left:321.7pt;margin-top:143.3pt;height:6pt;width:6pt;z-index:251695104;mso-width-relative:page;mso-height-relative:page;" fillcolor="#FFFF00" filled="t" stroked="t" coordsize="21600,21600" o:gfxdata="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DT5qCJ2gAAAAsBAAAPAAAAAAAAAAEAIAAAACIAAABkcnMvZG93bnJldi54&#10;bWxQSwECFAAUAAAACACHTuJAzc0fwU4DAABTCQAADgAAAAAAAAABACAAAAApAQAAZHJzL2Uyb0Rv&#10;Yy54bWxQSwUGAAAAAAYABgBZAQAA6QY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B050" joinstyle="round"/>
                <v:imagedata o:title=""/>
                <o:lock v:ext="edit" aspectratio="f"/>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3618865</wp:posOffset>
                </wp:positionH>
                <wp:positionV relativeFrom="paragraph">
                  <wp:posOffset>2795905</wp:posOffset>
                </wp:positionV>
                <wp:extent cx="1021080" cy="23812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0210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3622E7">
                            <w:pPr>
                              <w:rPr>
                                <w:rFonts w:hint="default" w:eastAsia="宋体"/>
                                <w:color w:val="FF0000"/>
                                <w:sz w:val="18"/>
                                <w:szCs w:val="18"/>
                                <w:lang w:val="en-US" w:eastAsia="zh-CN"/>
                              </w:rPr>
                            </w:pPr>
                            <w:r>
                              <w:rPr>
                                <w:rFonts w:hint="eastAsia"/>
                                <w:color w:val="FF0000"/>
                                <w:sz w:val="18"/>
                                <w:szCs w:val="18"/>
                                <w:lang w:val="en-US" w:eastAsia="zh-CN"/>
                              </w:rPr>
                              <w:t>生物质燃料仓库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95pt;margin-top:220.15pt;height:18.75pt;width:80.4pt;z-index:251694080;mso-width-relative:page;mso-height-relative:page;" filled="f" stroked="f" coordsize="21600,21600" o:gfxdata="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uJnSG3AAAAAsBAAAPAAAAAAAAAAEAIAAAACIAAABk&#10;cnMvZG93bnJldi54bWxQSwECFAAUAAAACACHTuJAvtsaxzsCAABoBAAADgAAAAAAAAABACAAAAAr&#10;AQAAZHJzL2Uyb0RvYy54bWxQSwUGAAAAAAYABgBZAQAA2AUAAAAA&#10;">
                <v:fill on="f" focussize="0,0"/>
                <v:stroke on="f" weight="0.5pt"/>
                <v:imagedata o:title=""/>
                <o:lock v:ext="edit" aspectratio="f"/>
                <v:textbox>
                  <w:txbxContent>
                    <w:p w14:paraId="7E3622E7">
                      <w:pPr>
                        <w:rPr>
                          <w:rFonts w:hint="default" w:eastAsia="宋体"/>
                          <w:color w:val="FF0000"/>
                          <w:sz w:val="18"/>
                          <w:szCs w:val="18"/>
                          <w:lang w:val="en-US" w:eastAsia="zh-CN"/>
                        </w:rPr>
                      </w:pPr>
                      <w:r>
                        <w:rPr>
                          <w:rFonts w:hint="eastAsia"/>
                          <w:color w:val="FF0000"/>
                          <w:sz w:val="18"/>
                          <w:szCs w:val="18"/>
                          <w:lang w:val="en-US" w:eastAsia="zh-CN"/>
                        </w:rPr>
                        <w:t>生物质燃料仓库</w:t>
                      </w:r>
                    </w:p>
                  </w:txbxContent>
                </v:textbox>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3696335</wp:posOffset>
                </wp:positionH>
                <wp:positionV relativeFrom="paragraph">
                  <wp:posOffset>2806065</wp:posOffset>
                </wp:positionV>
                <wp:extent cx="354330" cy="245110"/>
                <wp:effectExtent l="6350" t="6350" r="20320" b="15240"/>
                <wp:wrapNone/>
                <wp:docPr id="79" name="矩形 79"/>
                <wp:cNvGraphicFramePr/>
                <a:graphic xmlns:a="http://schemas.openxmlformats.org/drawingml/2006/main">
                  <a:graphicData uri="http://schemas.microsoft.com/office/word/2010/wordprocessingShape">
                    <wps:wsp>
                      <wps:cNvSpPr/>
                      <wps:spPr>
                        <a:xfrm>
                          <a:off x="0" y="0"/>
                          <a:ext cx="354330" cy="24511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1.05pt;margin-top:220.95pt;height:19.3pt;width:27.9pt;z-index:251693056;v-text-anchor:middle;mso-width-relative:page;mso-height-relative:page;" filled="f" stroked="t" coordsize="21600,21600" o:gfxdata="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dOh0fYAAAACwEAAA8AAAAAAAAAAQAgAAAAIgAAAGRycy9kb3ducmV2Lnht&#10;bFBLAQIUABQAAAAIAIdO4kCitan2awIAAMwEAAAOAAAAAAAAAAEAIAAAACcBAABkcnMvZTJvRG9j&#10;LnhtbFBLBQYAAAAABgAGAFkBAAAEBgAAAAA=&#10;">
                <v:fill on="f" focussize="0,0"/>
                <v:stroke weight="1pt" color="#FF0000 [2404]" miterlimit="8" joinstyle="miter"/>
                <v:imagedata o:title=""/>
                <o:lock v:ext="edit" aspectratio="f"/>
              </v:rect>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3724275</wp:posOffset>
                </wp:positionH>
                <wp:positionV relativeFrom="paragraph">
                  <wp:posOffset>3227705</wp:posOffset>
                </wp:positionV>
                <wp:extent cx="612775" cy="283845"/>
                <wp:effectExtent l="0" t="0" r="0" b="0"/>
                <wp:wrapNone/>
                <wp:docPr id="55" name="文本框 213"/>
                <wp:cNvGraphicFramePr/>
                <a:graphic xmlns:a="http://schemas.openxmlformats.org/drawingml/2006/main">
                  <a:graphicData uri="http://schemas.microsoft.com/office/word/2010/wordprocessingShape">
                    <wps:wsp>
                      <wps:cNvSpPr txBox="1"/>
                      <wps:spPr>
                        <a:xfrm>
                          <a:off x="0" y="0"/>
                          <a:ext cx="612775" cy="283845"/>
                        </a:xfrm>
                        <a:prstGeom prst="rect">
                          <a:avLst/>
                        </a:prstGeom>
                        <a:noFill/>
                        <a:ln>
                          <a:noFill/>
                        </a:ln>
                      </wps:spPr>
                      <wps:txbx>
                        <w:txbxContent>
                          <w:p w14:paraId="7394F306">
                            <w:pPr>
                              <w:rPr>
                                <w:rFonts w:hint="default"/>
                                <w:lang w:val="en-US"/>
                              </w:rPr>
                            </w:pPr>
                            <w:r>
                              <w:rPr>
                                <w:rFonts w:hint="eastAsia"/>
                                <w:lang w:val="en-US" w:eastAsia="zh-CN"/>
                              </w:rPr>
                              <w:t>DA001</w:t>
                            </w:r>
                          </w:p>
                        </w:txbxContent>
                      </wps:txbx>
                      <wps:bodyPr wrap="square" upright="1"/>
                    </wps:wsp>
                  </a:graphicData>
                </a:graphic>
              </wp:anchor>
            </w:drawing>
          </mc:Choice>
          <mc:Fallback>
            <w:pict>
              <v:shape id="文本框 213" o:spid="_x0000_s1026" o:spt="202" type="#_x0000_t202" style="position:absolute;left:0pt;margin-left:293.25pt;margin-top:254.15pt;height:22.35pt;width:48.25pt;z-index:251674624;mso-width-relative:page;mso-height-relative:page;" filled="f" stroked="f" coordsize="21600,21600" o:gfxdata="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DF42nWAAAACwEAAA8AAAAAAAAAAQAgAAAAIgAAAGRycy9kb3ducmV2LnhtbFBLAQIUABQA&#10;AAAIAIdO4kA3Ckr6uQEAAF4DAAAOAAAAAAAAAAEAIAAAACUBAABkcnMvZTJvRG9jLnhtbFBLBQYA&#10;AAAABgAGAFkBAABQBQAAAAA=&#10;">
                <v:fill on="f" focussize="0,0"/>
                <v:stroke on="f"/>
                <v:imagedata o:title=""/>
                <o:lock v:ext="edit" aspectratio="f"/>
                <v:textbox>
                  <w:txbxContent>
                    <w:p w14:paraId="7394F306">
                      <w:pPr>
                        <w:rPr>
                          <w:rFonts w:hint="default"/>
                          <w:lang w:val="en-US"/>
                        </w:rPr>
                      </w:pPr>
                      <w:r>
                        <w:rPr>
                          <w:rFonts w:hint="eastAsia"/>
                          <w:lang w:val="en-US" w:eastAsia="zh-CN"/>
                        </w:rPr>
                        <w:t>DA001</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3693795</wp:posOffset>
                </wp:positionH>
                <wp:positionV relativeFrom="paragraph">
                  <wp:posOffset>3048000</wp:posOffset>
                </wp:positionV>
                <wp:extent cx="354330" cy="245110"/>
                <wp:effectExtent l="6350" t="6350" r="20320" b="15240"/>
                <wp:wrapNone/>
                <wp:docPr id="76" name="矩形 76"/>
                <wp:cNvGraphicFramePr/>
                <a:graphic xmlns:a="http://schemas.openxmlformats.org/drawingml/2006/main">
                  <a:graphicData uri="http://schemas.microsoft.com/office/word/2010/wordprocessingShape">
                    <wps:wsp>
                      <wps:cNvSpPr/>
                      <wps:spPr>
                        <a:xfrm>
                          <a:off x="4665980" y="4128135"/>
                          <a:ext cx="354330" cy="24511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85pt;margin-top:240pt;height:19.3pt;width:27.9pt;z-index:251692032;v-text-anchor:middle;mso-width-relative:page;mso-height-relative:page;" filled="f" stroked="t" coordsize="21600,21600" o:gfxdata="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MGWbZbXAAAACwEAAA8AAAAAAAAAAQAgAAAAIgAAAGRy&#10;cy9kb3ducmV2LnhtbFBLAQIUABQAAAAIAIdO4kDRVZUteAIAANgEAAAOAAAAAAAAAAEAIAAAACYB&#10;AABkcnMvZTJvRG9jLnhtbFBLBQYAAAAABgAGAFkBAAAQBg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1905635</wp:posOffset>
                </wp:positionH>
                <wp:positionV relativeFrom="paragraph">
                  <wp:posOffset>3095625</wp:posOffset>
                </wp:positionV>
                <wp:extent cx="1000125" cy="264160"/>
                <wp:effectExtent l="0" t="0" r="0" b="0"/>
                <wp:wrapNone/>
                <wp:docPr id="78" name="文本框 78"/>
                <wp:cNvGraphicFramePr/>
                <a:graphic xmlns:a="http://schemas.openxmlformats.org/drawingml/2006/main">
                  <a:graphicData uri="http://schemas.microsoft.com/office/word/2010/wordprocessingShape">
                    <wps:wsp>
                      <wps:cNvSpPr txBox="1"/>
                      <wps:spPr>
                        <a:xfrm>
                          <a:off x="2994025" y="4230370"/>
                          <a:ext cx="1000125" cy="264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263731">
                            <w:pPr>
                              <w:rPr>
                                <w:rFonts w:hint="default" w:eastAsia="宋体"/>
                                <w:color w:val="FF0000"/>
                                <w:lang w:val="en-US" w:eastAsia="zh-CN"/>
                              </w:rPr>
                            </w:pPr>
                            <w:r>
                              <w:rPr>
                                <w:rFonts w:hint="eastAsia"/>
                                <w:color w:val="FF0000"/>
                                <w:lang w:val="en-US" w:eastAsia="zh-CN"/>
                              </w:rPr>
                              <w:t>食用油储罐区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05pt;margin-top:243.75pt;height:20.8pt;width:78.75pt;z-index:251691008;mso-width-relative:page;mso-height-relative:page;" filled="f" stroked="f" coordsize="21600,21600" o:gfxdata="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lYAIs3QAAAAsBAAAPAAAA&#10;AAAAAAEAIAAAACIAAABkcnMvZG93bnJldi54bWxQSwECFAAUAAAACACHTuJA0vefJEkCAAB0BAAA&#10;DgAAAAAAAAABACAAAAAsAQAAZHJzL2Uyb0RvYy54bWxQSwUGAAAAAAYABgBZAQAA5wUAAAAA&#10;">
                <v:fill on="f" focussize="0,0"/>
                <v:stroke on="f" weight="0.5pt"/>
                <v:imagedata o:title=""/>
                <o:lock v:ext="edit" aspectratio="f"/>
                <v:textbox>
                  <w:txbxContent>
                    <w:p w14:paraId="30263731">
                      <w:pPr>
                        <w:rPr>
                          <w:rFonts w:hint="default" w:eastAsia="宋体"/>
                          <w:color w:val="FF0000"/>
                          <w:lang w:val="en-US" w:eastAsia="zh-CN"/>
                        </w:rPr>
                      </w:pPr>
                      <w:r>
                        <w:rPr>
                          <w:rFonts w:hint="eastAsia"/>
                          <w:color w:val="FF0000"/>
                          <w:lang w:val="en-US" w:eastAsia="zh-CN"/>
                        </w:rPr>
                        <w:t>食用油储罐区</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1905635</wp:posOffset>
                </wp:positionH>
                <wp:positionV relativeFrom="paragraph">
                  <wp:posOffset>3174365</wp:posOffset>
                </wp:positionV>
                <wp:extent cx="809625" cy="163195"/>
                <wp:effectExtent l="13335" t="48895" r="15240" b="54610"/>
                <wp:wrapNone/>
                <wp:docPr id="77" name="矩形 77"/>
                <wp:cNvGraphicFramePr/>
                <a:graphic xmlns:a="http://schemas.openxmlformats.org/drawingml/2006/main">
                  <a:graphicData uri="http://schemas.microsoft.com/office/word/2010/wordprocessingShape">
                    <wps:wsp>
                      <wps:cNvSpPr/>
                      <wps:spPr>
                        <a:xfrm rot="360000">
                          <a:off x="2877820" y="4240530"/>
                          <a:ext cx="809625" cy="16319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0.05pt;margin-top:249.95pt;height:12.85pt;width:63.75pt;rotation:393216f;z-index:251689984;v-text-anchor:middle;mso-width-relative:page;mso-height-relative:page;" filled="f" stroked="t" coordsize="21600,21600" o:gfxdata="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JcGc6/YAAAACwEAAA8AAAAAAAAAAQAgAAAA&#10;IgAAAGRycy9kb3ducmV2LnhtbFBLAQIUABQAAAAIAIdO4kBuVnQMfQIAAOUEAAAOAAAAAAAAAAEA&#10;IAAAACcBAABkcnMvZTJvRG9jLnhtbFBLBQYAAAAABgAGAFkBAAAWBg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1663065</wp:posOffset>
                </wp:positionH>
                <wp:positionV relativeFrom="paragraph">
                  <wp:posOffset>3366135</wp:posOffset>
                </wp:positionV>
                <wp:extent cx="1428750" cy="1163955"/>
                <wp:effectExtent l="6350" t="6985" r="12700" b="10160"/>
                <wp:wrapNone/>
                <wp:docPr id="65" name="任意多边形 65"/>
                <wp:cNvGraphicFramePr/>
                <a:graphic xmlns:a="http://schemas.openxmlformats.org/drawingml/2006/main">
                  <a:graphicData uri="http://schemas.microsoft.com/office/word/2010/wordprocessingShape">
                    <wps:wsp>
                      <wps:cNvSpPr/>
                      <wps:spPr>
                        <a:xfrm>
                          <a:off x="2635250" y="4446270"/>
                          <a:ext cx="1428750" cy="1163955"/>
                        </a:xfrm>
                        <a:custGeom>
                          <a:avLst/>
                          <a:gdLst>
                            <a:gd name="connisteX0" fmla="*/ 34290 w 1428750"/>
                            <a:gd name="connsiteY0" fmla="*/ 0 h 1163955"/>
                            <a:gd name="connisteX1" fmla="*/ 1428750 w 1428750"/>
                            <a:gd name="connsiteY1" fmla="*/ 95250 h 1163955"/>
                            <a:gd name="connisteX2" fmla="*/ 1401445 w 1428750"/>
                            <a:gd name="connsiteY2" fmla="*/ 462280 h 1163955"/>
                            <a:gd name="connisteX3" fmla="*/ 598805 w 1428750"/>
                            <a:gd name="connsiteY3" fmla="*/ 1163955 h 1163955"/>
                            <a:gd name="connisteX4" fmla="*/ 0 w 1428750"/>
                            <a:gd name="connsiteY4" fmla="*/ 394335 h 1163955"/>
                            <a:gd name="connisteX5" fmla="*/ 34290 w 1428750"/>
                            <a:gd name="connsiteY5" fmla="*/ 0 h 116395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428750" h="1163955">
                              <a:moveTo>
                                <a:pt x="34290" y="0"/>
                              </a:moveTo>
                              <a:lnTo>
                                <a:pt x="1428750" y="95250"/>
                              </a:lnTo>
                              <a:lnTo>
                                <a:pt x="1401445" y="462280"/>
                              </a:lnTo>
                              <a:lnTo>
                                <a:pt x="598805" y="1163955"/>
                              </a:lnTo>
                              <a:lnTo>
                                <a:pt x="0" y="394335"/>
                              </a:lnTo>
                              <a:lnTo>
                                <a:pt x="34290"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30.95pt;margin-top:265.05pt;height:91.65pt;width:112.5pt;z-index:251683840;mso-width-relative:page;mso-height-relative:page;" filled="f" stroked="t" coordsize="1428750,1163955" o:gfxdata="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" path="m34290,0l1428750,95250,1401445,462280,598805,1163955,0,394335,34290,0xe">
                <v:path o:connectlocs="34290,0;1428750,95250;1401445,462280;598805,1163955;0,394335;34290,0" o:connectangles="0,0,0,0,0,0"/>
                <v:fill on="f" focussize="0,0"/>
                <v:stroke weight="1pt" color="#FF0000 [2404]" miterlimit="8" joinstyle="miter"/>
                <v:imagedata o:title=""/>
                <o:lock v:ext="edit" aspectratio="f"/>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1806575</wp:posOffset>
                </wp:positionH>
                <wp:positionV relativeFrom="paragraph">
                  <wp:posOffset>3359150</wp:posOffset>
                </wp:positionV>
                <wp:extent cx="612775" cy="283845"/>
                <wp:effectExtent l="0" t="0" r="0" b="0"/>
                <wp:wrapNone/>
                <wp:docPr id="25" name="文本框 213"/>
                <wp:cNvGraphicFramePr/>
                <a:graphic xmlns:a="http://schemas.openxmlformats.org/drawingml/2006/main">
                  <a:graphicData uri="http://schemas.microsoft.com/office/word/2010/wordprocessingShape">
                    <wps:wsp>
                      <wps:cNvSpPr txBox="1"/>
                      <wps:spPr>
                        <a:xfrm>
                          <a:off x="0" y="0"/>
                          <a:ext cx="612775" cy="283845"/>
                        </a:xfrm>
                        <a:prstGeom prst="rect">
                          <a:avLst/>
                        </a:prstGeom>
                        <a:noFill/>
                        <a:ln>
                          <a:noFill/>
                        </a:ln>
                      </wps:spPr>
                      <wps:txbx>
                        <w:txbxContent>
                          <w:p w14:paraId="23B911B0">
                            <w:r>
                              <w:rPr>
                                <w:rFonts w:hint="eastAsia"/>
                                <w:lang w:val="en-US" w:eastAsia="zh-CN"/>
                              </w:rPr>
                              <w:t>DA002</w:t>
                            </w:r>
                          </w:p>
                        </w:txbxContent>
                      </wps:txbx>
                      <wps:bodyPr wrap="square" upright="1"/>
                    </wps:wsp>
                  </a:graphicData>
                </a:graphic>
              </wp:anchor>
            </w:drawing>
          </mc:Choice>
          <mc:Fallback>
            <w:pict>
              <v:shape id="文本框 213" o:spid="_x0000_s1026" o:spt="202" type="#_x0000_t202" style="position:absolute;left:0pt;margin-left:142.25pt;margin-top:264.5pt;height:22.35pt;width:48.25pt;z-index:251666432;mso-width-relative:page;mso-height-relative:page;" filled="f" stroked="f" coordsize="21600,21600" o:gfxdata="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Aq0DbbZAAAACwEAAA8AAAAAAAAAAQAgAAAAIgAAAGRycy9kb3ducmV2LnhtbFBLAQIU&#10;ABQAAAAIAIdO4kD8jG2cuQEAAF4DAAAOAAAAAAAAAAEAIAAAACgBAABkcnMvZTJvRG9jLnhtbFBL&#10;BQYAAAAABgAGAFkBAABTBQAAAAA=&#10;">
                <v:fill on="f" focussize="0,0"/>
                <v:stroke on="f"/>
                <v:imagedata o:title=""/>
                <o:lock v:ext="edit" aspectratio="f"/>
                <v:textbox>
                  <w:txbxContent>
                    <w:p w14:paraId="23B911B0">
                      <w:r>
                        <w:rPr>
                          <w:rFonts w:hint="eastAsia"/>
                          <w:lang w:val="en-US" w:eastAsia="zh-CN"/>
                        </w:rPr>
                        <w:t>DA002</w:t>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1776730</wp:posOffset>
                </wp:positionH>
                <wp:positionV relativeFrom="paragraph">
                  <wp:posOffset>3429635</wp:posOffset>
                </wp:positionV>
                <wp:extent cx="76200" cy="76200"/>
                <wp:effectExtent l="4445" t="4445" r="14605" b="14605"/>
                <wp:wrapNone/>
                <wp:docPr id="26" name="自选图形 214"/>
                <wp:cNvGraphicFramePr/>
                <a:graphic xmlns:a="http://schemas.openxmlformats.org/drawingml/2006/main">
                  <a:graphicData uri="http://schemas.microsoft.com/office/word/2010/wordprocessingShape">
                    <wps:wsp>
                      <wps:cNvSpPr/>
                      <wps:spPr>
                        <a:xfrm>
                          <a:off x="0" y="0"/>
                          <a:ext cx="76200" cy="76200"/>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00"/>
                        </a:solidFill>
                        <a:ln w="9525" cap="flat" cmpd="sng">
                          <a:solidFill>
                            <a:srgbClr val="000000"/>
                          </a:solidFill>
                          <a:prstDash val="solid"/>
                          <a:headEnd type="none" w="med" len="med"/>
                          <a:tailEnd type="none" w="med" len="med"/>
                        </a:ln>
                      </wps:spPr>
                      <wps:bodyPr wrap="square" upright="1"/>
                    </wps:wsp>
                  </a:graphicData>
                </a:graphic>
              </wp:anchor>
            </w:drawing>
          </mc:Choice>
          <mc:Fallback>
            <w:pict>
              <v:shape id="自选图形 214" o:spid="_x0000_s1026" o:spt="100" style="position:absolute;left:0pt;margin-left:139.9pt;margin-top:270.05pt;height:6pt;width:6pt;z-index:251667456;mso-width-relative:page;mso-height-relative:page;" fillcolor="#FFFF00" filled="t" stroked="t" coordsize="21600,21600" o:gfxdata="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CVOTJ3YAAAACwEAAA8AAAAAAAAAAQAgAAAAIgAAAGRycy9kb3ducmV2LnhtbFBL&#10;AQIUABQAAAAIAIdO4kBVivBMTAMAAFMJAAAOAAAAAAAAAAEAIAAAACcBAABkcnMvZTJvRG9jLnht&#10;bFBLBQYAAAAABgAGAFkBAADlBg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w:pict>
          </mc:Fallback>
        </mc:AlternateContent>
      </w:r>
      <w:r>
        <w:drawing>
          <wp:inline distT="0" distB="0" distL="114300" distR="114300">
            <wp:extent cx="5610860" cy="8214360"/>
            <wp:effectExtent l="0" t="0" r="8890" b="15240"/>
            <wp:docPr id="47" name="图片 47" descr="公司总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公司总平面图"/>
                    <pic:cNvPicPr>
                      <a:picLocks noChangeAspect="1"/>
                    </pic:cNvPicPr>
                  </pic:nvPicPr>
                  <pic:blipFill>
                    <a:blip r:embed="rId93"/>
                    <a:stretch>
                      <a:fillRect/>
                    </a:stretch>
                  </pic:blipFill>
                  <pic:spPr>
                    <a:xfrm>
                      <a:off x="0" y="0"/>
                      <a:ext cx="5610860" cy="8214360"/>
                    </a:xfrm>
                    <a:prstGeom prst="rect">
                      <a:avLst/>
                    </a:prstGeom>
                  </pic:spPr>
                </pic:pic>
              </a:graphicData>
            </a:graphic>
          </wp:inline>
        </w:drawing>
      </w:r>
    </w:p>
    <w:p w14:paraId="1C635872">
      <w:pPr>
        <w:pStyle w:val="41"/>
        <w:keepNext w:val="0"/>
        <w:keepLines w:val="0"/>
        <w:pageBreakBefore w:val="0"/>
        <w:widowControl w:val="0"/>
        <w:kinsoku/>
        <w:wordWrap/>
        <w:overflowPunct/>
        <w:topLinePunct w:val="0"/>
        <w:autoSpaceDE/>
        <w:autoSpaceDN/>
        <w:bidi w:val="0"/>
        <w:adjustRightInd w:val="0"/>
        <w:snapToGrid/>
        <w:jc w:val="center"/>
        <w:textAlignment w:val="auto"/>
        <w:outlineLvl w:val="0"/>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bookmarkStart w:id="142" w:name="_Toc13672"/>
      <w:bookmarkStart w:id="143" w:name="_Toc6988"/>
      <w:bookmarkStart w:id="144" w:name="_Toc24038"/>
      <w:bookmarkStart w:id="145" w:name="_Toc24222"/>
      <w:bookmarkStart w:id="146" w:name="_Toc16060"/>
      <w:bookmarkStart w:id="147" w:name="_Toc19241"/>
      <w:r>
        <w:rPr>
          <w:rFonts w:hint="default"/>
          <w:b/>
          <w:bCs/>
          <w:color w:val="auto"/>
          <w:sz w:val="28"/>
          <w:szCs w:val="28"/>
        </w:rPr>
        <w:t>附图</w:t>
      </w:r>
      <w:r>
        <w:rPr>
          <w:rFonts w:hint="eastAsia"/>
          <w:b/>
          <w:bCs/>
          <w:color w:val="auto"/>
          <w:sz w:val="28"/>
          <w:szCs w:val="28"/>
          <w:lang w:val="en-US" w:eastAsia="zh-CN"/>
        </w:rPr>
        <w:t>4</w:t>
      </w:r>
      <w:r>
        <w:rPr>
          <w:b/>
          <w:bCs/>
          <w:color w:val="auto"/>
          <w:sz w:val="28"/>
          <w:szCs w:val="28"/>
        </w:rPr>
        <w:t xml:space="preserve"> </w:t>
      </w:r>
      <w:r>
        <w:rPr>
          <w:rFonts w:hint="eastAsia"/>
          <w:b/>
          <w:bCs/>
          <w:color w:val="auto"/>
          <w:sz w:val="28"/>
          <w:szCs w:val="28"/>
          <w:lang w:val="en-US" w:eastAsia="zh-CN"/>
        </w:rPr>
        <w:t>厂区总</w:t>
      </w:r>
      <w:r>
        <w:rPr>
          <w:rFonts w:hint="default"/>
          <w:b/>
          <w:bCs/>
          <w:color w:val="auto"/>
          <w:sz w:val="28"/>
          <w:szCs w:val="28"/>
        </w:rPr>
        <w:t>平面布置图</w:t>
      </w:r>
      <w:bookmarkEnd w:id="142"/>
      <w:bookmarkEnd w:id="143"/>
      <w:bookmarkEnd w:id="144"/>
      <w:bookmarkEnd w:id="145"/>
      <w:bookmarkEnd w:id="146"/>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1FD5B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tcPr>
          <w:p w14:paraId="5F39E00D">
            <w:pPr>
              <w:pStyle w:val="41"/>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ind w:left="0" w:right="0"/>
              <w:jc w:val="center"/>
              <w:textAlignment w:val="auto"/>
              <w:outlineLvl w:val="0"/>
              <w:rPr>
                <w:vertAlign w:val="baseline"/>
              </w:rPr>
            </w:pPr>
            <w:bookmarkStart w:id="148" w:name="_Toc20696"/>
            <w:bookmarkStart w:id="149" w:name="_Toc1377"/>
            <w:bookmarkStart w:id="150" w:name="_Toc10510"/>
            <w:bookmarkStart w:id="151" w:name="_Toc1188"/>
            <w:bookmarkStart w:id="152" w:name="_Toc21670"/>
            <w:r>
              <w:rPr>
                <w:sz w:val="24"/>
              </w:rPr>
              <mc:AlternateContent>
                <mc:Choice Requires="wps">
                  <w:drawing>
                    <wp:anchor distT="0" distB="0" distL="114300" distR="114300" simplePos="0" relativeHeight="251711488" behindDoc="0" locked="0" layoutInCell="1" allowOverlap="1">
                      <wp:simplePos x="0" y="0"/>
                      <wp:positionH relativeFrom="column">
                        <wp:posOffset>2293620</wp:posOffset>
                      </wp:positionH>
                      <wp:positionV relativeFrom="paragraph">
                        <wp:posOffset>1802765</wp:posOffset>
                      </wp:positionV>
                      <wp:extent cx="3289300" cy="3121025"/>
                      <wp:effectExtent l="6350" t="6350" r="19050" b="15875"/>
                      <wp:wrapNone/>
                      <wp:docPr id="28" name="任意多边形 28"/>
                      <wp:cNvGraphicFramePr/>
                      <a:graphic xmlns:a="http://schemas.openxmlformats.org/drawingml/2006/main">
                        <a:graphicData uri="http://schemas.microsoft.com/office/word/2010/wordprocessingShape">
                          <wps:wsp>
                            <wps:cNvSpPr/>
                            <wps:spPr>
                              <a:xfrm>
                                <a:off x="3373755" y="2781300"/>
                                <a:ext cx="3289300" cy="3121025"/>
                              </a:xfrm>
                              <a:custGeom>
                                <a:avLst/>
                                <a:gdLst>
                                  <a:gd name="connisteX0" fmla="*/ 168275 w 3289300"/>
                                  <a:gd name="connsiteY0" fmla="*/ 0 h 3121025"/>
                                  <a:gd name="connisteX1" fmla="*/ 2681605 w 3289300"/>
                                  <a:gd name="connsiteY1" fmla="*/ 14605 h 3121025"/>
                                  <a:gd name="connisteX2" fmla="*/ 2681605 w 3289300"/>
                                  <a:gd name="connsiteY2" fmla="*/ 1143000 h 3121025"/>
                                  <a:gd name="connisteX3" fmla="*/ 3289300 w 3289300"/>
                                  <a:gd name="connsiteY3" fmla="*/ 1135380 h 3121025"/>
                                  <a:gd name="connisteX4" fmla="*/ 3267710 w 3289300"/>
                                  <a:gd name="connsiteY4" fmla="*/ 1964055 h 3121025"/>
                                  <a:gd name="connisteX5" fmla="*/ 1787525 w 3289300"/>
                                  <a:gd name="connsiteY5" fmla="*/ 3121025 h 3121025"/>
                                  <a:gd name="connisteX6" fmla="*/ 0 w 3289300"/>
                                  <a:gd name="connsiteY6" fmla="*/ 1692275 h 3121025"/>
                                  <a:gd name="connisteX7" fmla="*/ 168275 w 3289300"/>
                                  <a:gd name="connsiteY7" fmla="*/ 0 h 31210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3289300" h="3121025">
                                    <a:moveTo>
                                      <a:pt x="168275" y="0"/>
                                    </a:moveTo>
                                    <a:lnTo>
                                      <a:pt x="2681605" y="14605"/>
                                    </a:lnTo>
                                    <a:lnTo>
                                      <a:pt x="2681605" y="1143000"/>
                                    </a:lnTo>
                                    <a:lnTo>
                                      <a:pt x="3289300" y="1135380"/>
                                    </a:lnTo>
                                    <a:lnTo>
                                      <a:pt x="3267710" y="1964055"/>
                                    </a:lnTo>
                                    <a:lnTo>
                                      <a:pt x="1787525" y="3121025"/>
                                    </a:lnTo>
                                    <a:lnTo>
                                      <a:pt x="0" y="1692275"/>
                                    </a:lnTo>
                                    <a:lnTo>
                                      <a:pt x="168275" y="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80.6pt;margin-top:141.95pt;height:245.75pt;width:259pt;z-index:251711488;mso-width-relative:page;mso-height-relative:page;" filled="f" stroked="t" coordsize="3289300,3121025" o:gfxdata="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" path="m168275,0l2681605,14605,2681605,1143000,3289300,1135380,3267710,1964055,1787525,3121025,0,1692275,168275,0xe">
                      <v:path o:connectlocs="168275,0;2681605,14605;2681605,1143000;3289300,1135380;3267710,1964055;1787525,3121025;0,1692275;168275,0" o:connectangles="0,0,0,0,0,0,0,0"/>
                      <v:fill on="f" focussize="0,0"/>
                      <v:stroke weight="1pt" color="#FF0000 [2404]" miterlimit="8" joinstyle="miter"/>
                      <v:imagedata o:title=""/>
                      <o:lock v:ext="edit" aspectratio="f"/>
                    </v:shape>
                  </w:pict>
                </mc:Fallback>
              </mc:AlternateContent>
            </w:r>
            <w:r>
              <w:rPr>
                <w:vertAlign w:val="baseline"/>
              </w:rPr>
              <w:drawing>
                <wp:inline distT="0" distB="0" distL="114300" distR="114300">
                  <wp:extent cx="7769860" cy="4949190"/>
                  <wp:effectExtent l="0" t="0" r="2540" b="3810"/>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94"/>
                          <a:stretch>
                            <a:fillRect/>
                          </a:stretch>
                        </pic:blipFill>
                        <pic:spPr>
                          <a:xfrm>
                            <a:off x="0" y="0"/>
                            <a:ext cx="7769860" cy="4949190"/>
                          </a:xfrm>
                          <a:prstGeom prst="rect">
                            <a:avLst/>
                          </a:prstGeom>
                          <a:noFill/>
                          <a:ln>
                            <a:noFill/>
                          </a:ln>
                        </pic:spPr>
                      </pic:pic>
                    </a:graphicData>
                  </a:graphic>
                </wp:inline>
              </w:drawing>
            </w:r>
            <w:bookmarkEnd w:id="148"/>
            <w:bookmarkEnd w:id="149"/>
            <w:bookmarkEnd w:id="150"/>
            <w:bookmarkEnd w:id="151"/>
            <w:bookmarkEnd w:id="152"/>
          </w:p>
        </w:tc>
      </w:tr>
      <w:bookmarkEnd w:id="147"/>
    </w:tbl>
    <w:p w14:paraId="42B4F48D">
      <w:pPr>
        <w:pStyle w:val="41"/>
        <w:keepNext w:val="0"/>
        <w:keepLines w:val="0"/>
        <w:pageBreakBefore w:val="0"/>
        <w:widowControl w:val="0"/>
        <w:kinsoku/>
        <w:wordWrap/>
        <w:overflowPunct/>
        <w:topLinePunct w:val="0"/>
        <w:autoSpaceDE/>
        <w:autoSpaceDN/>
        <w:bidi w:val="0"/>
        <w:adjustRightInd w:val="0"/>
        <w:snapToGrid/>
        <w:jc w:val="center"/>
        <w:textAlignment w:val="auto"/>
        <w:outlineLvl w:val="0"/>
        <w:rPr>
          <w:rFonts w:hint="default" w:eastAsia="宋体"/>
          <w:b/>
          <w:bCs/>
          <w:color w:val="auto"/>
          <w:sz w:val="28"/>
          <w:szCs w:val="28"/>
          <w:lang w:val="en-US" w:eastAsia="zh-CN"/>
        </w:rPr>
        <w:sectPr>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pPr>
      <w:bookmarkStart w:id="153" w:name="_Toc15096"/>
      <w:bookmarkStart w:id="154" w:name="_Toc19967"/>
      <w:bookmarkStart w:id="155" w:name="_Toc16152"/>
      <w:bookmarkStart w:id="156" w:name="_Toc3828"/>
      <w:bookmarkStart w:id="157" w:name="_Toc21859"/>
      <w:r>
        <w:rPr>
          <w:rFonts w:hint="eastAsia"/>
          <w:b/>
          <w:bCs/>
          <w:sz w:val="28"/>
          <w:szCs w:val="28"/>
          <w:lang w:val="en-US" w:eastAsia="zh-CN"/>
        </w:rPr>
        <w:t>附图5 肉制品生产线平面布置图</w:t>
      </w:r>
      <w:bookmarkEnd w:id="153"/>
      <w:bookmarkEnd w:id="154"/>
      <w:bookmarkEnd w:id="155"/>
      <w:bookmarkEnd w:id="156"/>
      <w:bookmarkEnd w:id="157"/>
    </w:p>
    <w:p w14:paraId="270C11FD">
      <w:pPr>
        <w:ind w:left="0" w:leftChars="0" w:right="0" w:rightChars="0" w:firstLine="0" w:firstLineChars="0"/>
        <w:jc w:val="center"/>
        <w:rPr>
          <w:rFonts w:hint="eastAsia" w:eastAsia="宋体"/>
          <w:lang w:eastAsia="zh-CN"/>
        </w:rPr>
      </w:pPr>
      <w:r>
        <w:rPr>
          <w:rFonts w:hint="eastAsia" w:eastAsia="宋体"/>
          <w:lang w:eastAsia="zh-CN"/>
        </w:rPr>
        <w:drawing>
          <wp:inline distT="0" distB="0" distL="114300" distR="114300">
            <wp:extent cx="5292725" cy="7487920"/>
            <wp:effectExtent l="0" t="0" r="17780" b="3175"/>
            <wp:docPr id="56" name="图片 56" descr="鹌鹑蛋车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鹌鹑蛋车间_00"/>
                    <pic:cNvPicPr>
                      <a:picLocks noChangeAspect="1"/>
                    </pic:cNvPicPr>
                  </pic:nvPicPr>
                  <pic:blipFill>
                    <a:blip r:embed="rId95"/>
                    <a:stretch>
                      <a:fillRect/>
                    </a:stretch>
                  </pic:blipFill>
                  <pic:spPr>
                    <a:xfrm rot="16200000">
                      <a:off x="0" y="0"/>
                      <a:ext cx="5292725" cy="7487920"/>
                    </a:xfrm>
                    <a:prstGeom prst="rect">
                      <a:avLst/>
                    </a:prstGeom>
                  </pic:spPr>
                </pic:pic>
              </a:graphicData>
            </a:graphic>
          </wp:inline>
        </w:drawing>
      </w:r>
    </w:p>
    <w:p w14:paraId="605684C6">
      <w:pPr>
        <w:ind w:left="0" w:leftChars="0" w:right="0" w:rightChars="0" w:firstLine="0" w:firstLineChars="0"/>
        <w:jc w:val="center"/>
        <w:outlineLvl w:val="0"/>
        <w:rPr>
          <w:rFonts w:hint="default" w:eastAsia="宋体"/>
          <w:lang w:val="en-US" w:eastAsia="zh-CN"/>
        </w:rPr>
      </w:pPr>
      <w:bookmarkStart w:id="158" w:name="_Toc14913"/>
      <w:bookmarkStart w:id="159" w:name="_Toc5652"/>
      <w:bookmarkStart w:id="160" w:name="_Toc31544"/>
      <w:bookmarkStart w:id="161" w:name="_Toc2736"/>
      <w:bookmarkStart w:id="162" w:name="_Toc20630"/>
      <w:bookmarkStart w:id="163" w:name="_Toc1299"/>
      <w:r>
        <w:rPr>
          <w:rFonts w:hint="eastAsia"/>
          <w:b/>
          <w:bCs/>
          <w:sz w:val="28"/>
          <w:szCs w:val="28"/>
          <w:lang w:val="en-US" w:eastAsia="zh-CN"/>
        </w:rPr>
        <w:t>附图6 鹌鹑蛋生产线车间平面布置图</w:t>
      </w:r>
      <w:bookmarkEnd w:id="158"/>
      <w:bookmarkEnd w:id="159"/>
      <w:bookmarkEnd w:id="160"/>
      <w:bookmarkEnd w:id="161"/>
      <w:bookmarkEnd w:id="162"/>
      <w:bookmarkEnd w:id="163"/>
    </w:p>
    <w:p w14:paraId="499060FF">
      <w:pPr>
        <w:sectPr>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pP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3D2C8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52" w:type="dxa"/>
            <w:vAlign w:val="center"/>
          </w:tcPr>
          <w:p w14:paraId="1840177C">
            <w:pPr>
              <w:keepNext w:val="0"/>
              <w:keepLines w:val="0"/>
              <w:suppressLineNumbers w:val="0"/>
              <w:spacing w:before="0" w:beforeAutospacing="0" w:after="0" w:afterAutospacing="0"/>
              <w:ind w:left="0" w:right="0"/>
              <w:jc w:val="center"/>
              <w:rPr>
                <w:rFonts w:hint="eastAsia" w:eastAsia="宋体"/>
                <w:vertAlign w:val="baseline"/>
                <w:lang w:eastAsia="zh-CN"/>
              </w:rPr>
            </w:pPr>
            <w:r>
              <w:rPr>
                <w:rFonts w:hint="eastAsia" w:eastAsia="宋体"/>
                <w:vertAlign w:val="baseline"/>
                <w:lang w:eastAsia="zh-CN"/>
              </w:rPr>
              <w:drawing>
                <wp:inline distT="0" distB="0" distL="114300" distR="114300">
                  <wp:extent cx="7320280" cy="5171440"/>
                  <wp:effectExtent l="0" t="0" r="13970" b="10160"/>
                  <wp:docPr id="71" name="图片 71" descr="三利和（鹌鹑蛋车间）2楼方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三利和（鹌鹑蛋车间）2楼方案_00"/>
                          <pic:cNvPicPr>
                            <a:picLocks noChangeAspect="1"/>
                          </pic:cNvPicPr>
                        </pic:nvPicPr>
                        <pic:blipFill>
                          <a:blip r:embed="rId96"/>
                          <a:stretch>
                            <a:fillRect/>
                          </a:stretch>
                        </pic:blipFill>
                        <pic:spPr>
                          <a:xfrm>
                            <a:off x="0" y="0"/>
                            <a:ext cx="7320280" cy="5171440"/>
                          </a:xfrm>
                          <a:prstGeom prst="rect">
                            <a:avLst/>
                          </a:prstGeom>
                        </pic:spPr>
                      </pic:pic>
                    </a:graphicData>
                  </a:graphic>
                </wp:inline>
              </w:drawing>
            </w:r>
          </w:p>
        </w:tc>
      </w:tr>
    </w:tbl>
    <w:p w14:paraId="20DAD420">
      <w:pPr>
        <w:jc w:val="center"/>
        <w:outlineLvl w:val="0"/>
        <w:rPr>
          <w:rFonts w:hint="default" w:eastAsia="宋体"/>
          <w:lang w:val="en-US" w:eastAsia="zh-CN"/>
        </w:rPr>
        <w:sectPr>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pPr>
      <w:bookmarkStart w:id="164" w:name="_Toc1881"/>
      <w:bookmarkStart w:id="165" w:name="_Toc6267"/>
      <w:bookmarkStart w:id="166" w:name="_Toc10466"/>
      <w:bookmarkStart w:id="167" w:name="_Toc21245"/>
      <w:bookmarkStart w:id="168" w:name="_Toc22855"/>
      <w:r>
        <w:rPr>
          <w:rFonts w:hint="eastAsia"/>
          <w:b/>
          <w:bCs/>
          <w:sz w:val="28"/>
          <w:szCs w:val="28"/>
          <w:lang w:val="en-US" w:eastAsia="zh-CN"/>
        </w:rPr>
        <w:t>附图7 二楼消毒、包装车间</w:t>
      </w:r>
      <w:bookmarkEnd w:id="164"/>
      <w:bookmarkEnd w:id="165"/>
      <w:bookmarkEnd w:id="166"/>
      <w:bookmarkEnd w:id="167"/>
      <w:bookmarkEnd w:id="168"/>
    </w:p>
    <w:p w14:paraId="7008086A">
      <w:pPr>
        <w:jc w:val="center"/>
        <w:rPr>
          <w:rFonts w:hint="eastAsia" w:eastAsia="宋体"/>
          <w:lang w:eastAsia="zh-CN"/>
        </w:rPr>
      </w:pPr>
      <w:r>
        <w:rPr>
          <w:rFonts w:hint="eastAsia" w:eastAsia="宋体"/>
          <w:lang w:eastAsia="zh-CN"/>
        </w:rPr>
        <w:drawing>
          <wp:inline distT="0" distB="0" distL="114300" distR="114300">
            <wp:extent cx="7098030" cy="5019040"/>
            <wp:effectExtent l="0" t="0" r="7620" b="10160"/>
            <wp:docPr id="58" name="图片 58" descr="锅炉房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锅炉房_00"/>
                    <pic:cNvPicPr>
                      <a:picLocks noChangeAspect="1"/>
                    </pic:cNvPicPr>
                  </pic:nvPicPr>
                  <pic:blipFill>
                    <a:blip r:embed="rId97"/>
                    <a:stretch>
                      <a:fillRect/>
                    </a:stretch>
                  </pic:blipFill>
                  <pic:spPr>
                    <a:xfrm>
                      <a:off x="0" y="0"/>
                      <a:ext cx="7098030" cy="5019040"/>
                    </a:xfrm>
                    <a:prstGeom prst="rect">
                      <a:avLst/>
                    </a:prstGeom>
                  </pic:spPr>
                </pic:pic>
              </a:graphicData>
            </a:graphic>
          </wp:inline>
        </w:drawing>
      </w:r>
    </w:p>
    <w:p w14:paraId="3C47D669">
      <w:pPr>
        <w:jc w:val="center"/>
        <w:outlineLvl w:val="0"/>
        <w:rPr>
          <w:rFonts w:hint="default" w:eastAsia="宋体"/>
          <w:b/>
          <w:bCs/>
          <w:sz w:val="28"/>
          <w:szCs w:val="28"/>
          <w:lang w:val="en-US" w:eastAsia="zh-CN"/>
        </w:rPr>
        <w:sectPr>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pPr>
      <w:bookmarkStart w:id="169" w:name="_Toc14914"/>
      <w:bookmarkStart w:id="170" w:name="_Toc16930"/>
      <w:bookmarkStart w:id="171" w:name="_Toc12384"/>
      <w:bookmarkStart w:id="172" w:name="_Toc25603"/>
      <w:bookmarkStart w:id="173" w:name="_Toc8915"/>
      <w:bookmarkStart w:id="174" w:name="_Toc25468"/>
      <w:r>
        <w:rPr>
          <w:b/>
          <w:bCs/>
          <w:sz w:val="28"/>
          <w:szCs w:val="28"/>
        </w:rPr>
        <w:t>附图</w:t>
      </w:r>
      <w:r>
        <w:rPr>
          <w:rFonts w:hint="eastAsia"/>
          <w:b/>
          <w:bCs/>
          <w:sz w:val="28"/>
          <w:szCs w:val="28"/>
          <w:lang w:val="en-US" w:eastAsia="zh-CN"/>
        </w:rPr>
        <w:t>8</w:t>
      </w:r>
      <w:r>
        <w:rPr>
          <w:rFonts w:hint="eastAsia"/>
          <w:b/>
          <w:bCs/>
          <w:sz w:val="28"/>
          <w:szCs w:val="28"/>
        </w:rPr>
        <w:t xml:space="preserve"> </w:t>
      </w:r>
      <w:r>
        <w:rPr>
          <w:rFonts w:hint="eastAsia"/>
          <w:b/>
          <w:bCs/>
          <w:sz w:val="28"/>
          <w:szCs w:val="28"/>
          <w:lang w:val="en-US" w:eastAsia="zh-CN"/>
        </w:rPr>
        <w:t>锅炉房平面布置图</w:t>
      </w:r>
      <w:bookmarkEnd w:id="169"/>
      <w:bookmarkEnd w:id="170"/>
      <w:bookmarkEnd w:id="171"/>
      <w:bookmarkEnd w:id="172"/>
      <w:bookmarkEnd w:id="173"/>
      <w:bookmarkEnd w:id="174"/>
    </w:p>
    <w:bookmarkEnd w:id="119"/>
    <w:p w14:paraId="1CE77A2E">
      <w:pPr>
        <w:jc w:val="center"/>
        <w:outlineLvl w:val="0"/>
        <w:rPr>
          <w:rFonts w:hint="default"/>
          <w:b/>
          <w:bCs/>
          <w:sz w:val="28"/>
          <w:szCs w:val="28"/>
        </w:r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bookmarkStart w:id="175" w:name="_Toc1814"/>
      <w:bookmarkStart w:id="176" w:name="_Toc4820"/>
      <w:bookmarkStart w:id="177" w:name="_Toc20570"/>
      <w:bookmarkStart w:id="178" w:name="_Toc4876"/>
      <w:bookmarkStart w:id="179" w:name="_Toc23860"/>
      <w:bookmarkStart w:id="180" w:name="_Toc11307"/>
      <w:bookmarkStart w:id="181" w:name="_Toc29056"/>
      <w:r>
        <w:rPr>
          <w:sz w:val="28"/>
        </w:rPr>
        <mc:AlternateContent>
          <mc:Choice Requires="wps">
            <w:drawing>
              <wp:anchor distT="0" distB="0" distL="114300" distR="114300" simplePos="0" relativeHeight="251675648" behindDoc="0" locked="0" layoutInCell="1" allowOverlap="1">
                <wp:simplePos x="0" y="0"/>
                <wp:positionH relativeFrom="column">
                  <wp:posOffset>1888490</wp:posOffset>
                </wp:positionH>
                <wp:positionV relativeFrom="paragraph">
                  <wp:posOffset>4304030</wp:posOffset>
                </wp:positionV>
                <wp:extent cx="450850" cy="596900"/>
                <wp:effectExtent l="6985" t="6350" r="18415" b="25400"/>
                <wp:wrapNone/>
                <wp:docPr id="59" name="任意多边形 59"/>
                <wp:cNvGraphicFramePr/>
                <a:graphic xmlns:a="http://schemas.openxmlformats.org/drawingml/2006/main">
                  <a:graphicData uri="http://schemas.microsoft.com/office/word/2010/wordprocessingShape">
                    <wps:wsp>
                      <wps:cNvSpPr/>
                      <wps:spPr>
                        <a:xfrm>
                          <a:off x="2936875" y="5663565"/>
                          <a:ext cx="450850" cy="596900"/>
                        </a:xfrm>
                        <a:custGeom>
                          <a:avLst/>
                          <a:gdLst>
                            <a:gd name="connisteX0" fmla="*/ 0 w 450850"/>
                            <a:gd name="connsiteY0" fmla="*/ 165100 h 596900"/>
                            <a:gd name="connisteX1" fmla="*/ 25400 w 450850"/>
                            <a:gd name="connsiteY1" fmla="*/ 38100 h 596900"/>
                            <a:gd name="connisteX2" fmla="*/ 76200 w 450850"/>
                            <a:gd name="connsiteY2" fmla="*/ 0 h 596900"/>
                            <a:gd name="connisteX3" fmla="*/ 450850 w 450850"/>
                            <a:gd name="connsiteY3" fmla="*/ 38100 h 596900"/>
                            <a:gd name="connisteX4" fmla="*/ 368300 w 450850"/>
                            <a:gd name="connsiteY4" fmla="*/ 596900 h 596900"/>
                            <a:gd name="connisteX5" fmla="*/ 0 w 450850"/>
                            <a:gd name="connsiteY5" fmla="*/ 165100 h 596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50850" h="596900">
                              <a:moveTo>
                                <a:pt x="0" y="165100"/>
                              </a:moveTo>
                              <a:lnTo>
                                <a:pt x="25400" y="38100"/>
                              </a:lnTo>
                              <a:lnTo>
                                <a:pt x="76200" y="0"/>
                              </a:lnTo>
                              <a:lnTo>
                                <a:pt x="450850" y="38100"/>
                              </a:lnTo>
                              <a:lnTo>
                                <a:pt x="368300" y="596900"/>
                              </a:lnTo>
                              <a:lnTo>
                                <a:pt x="0" y="16510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8.7pt;margin-top:338.9pt;height:47pt;width:35.5pt;z-index:251675648;mso-width-relative:page;mso-height-relative:page;" filled="f" stroked="t" coordsize="450850,596900" o:gfxdata="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" path="m0,165100l25400,38100,76200,0,450850,38100,368300,596900,0,165100xe">
                <v:path o:connectlocs="0,165100;25400,38100;76200,0;450850,38100;368300,596900;0,165100" o:connectangles="0,0,0,0,0,0"/>
                <v:fill on="f" focussize="0,0"/>
                <v:stroke weight="1pt" color="#FF0000 [2404]" miterlimit="8" joinstyle="miter"/>
                <v:imagedata o:title=""/>
                <o:lock v:ext="edit" aspectratio="f"/>
              </v:shape>
            </w:pict>
          </mc:Fallback>
        </mc:AlternateContent>
      </w:r>
      <w:r>
        <w:rPr>
          <w:sz w:val="28"/>
        </w:rPr>
        <mc:AlternateContent>
          <mc:Choice Requires="wps">
            <w:drawing>
              <wp:anchor distT="0" distB="0" distL="114300" distR="114300" simplePos="0" relativeHeight="251677696" behindDoc="0" locked="0" layoutInCell="1" allowOverlap="1">
                <wp:simplePos x="0" y="0"/>
                <wp:positionH relativeFrom="column">
                  <wp:posOffset>1278890</wp:posOffset>
                </wp:positionH>
                <wp:positionV relativeFrom="paragraph">
                  <wp:posOffset>5070475</wp:posOffset>
                </wp:positionV>
                <wp:extent cx="932815" cy="234950"/>
                <wp:effectExtent l="0" t="0" r="0" b="0"/>
                <wp:wrapNone/>
                <wp:docPr id="62" name="文本框 62"/>
                <wp:cNvGraphicFramePr/>
                <a:graphic xmlns:a="http://schemas.openxmlformats.org/drawingml/2006/main">
                  <a:graphicData uri="http://schemas.microsoft.com/office/word/2010/wordprocessingShape">
                    <wps:wsp>
                      <wps:cNvSpPr txBox="1"/>
                      <wps:spPr>
                        <a:xfrm>
                          <a:off x="2505075" y="6214110"/>
                          <a:ext cx="932815" cy="23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F69A0A">
                            <w:pPr>
                              <w:rPr>
                                <w:rFonts w:hint="eastAsia"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7pt;margin-top:399.25pt;height:18.5pt;width:73.45pt;z-index:251677696;mso-width-relative:page;mso-height-relative:page;" filled="f" stroked="f" coordsize="21600,21600" o:gfxdata="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SNXwTNwAAAALAQAADwAAAAAAAAAB&#10;ACAAAAAiAAAAZHJzL2Rvd25yZXYueG1sUEsBAhQAFAAAAAgAh07iQNz2AHRFAgAAcwQAAA4AAAAA&#10;AAAAAQAgAAAAKwEAAGRycy9lMm9Eb2MueG1sUEsFBgAAAAAGAAYAWQEAAOIFAAAAAA==&#10;">
                <v:fill on="f" focussize="0,0"/>
                <v:stroke on="f" weight="0.5pt"/>
                <v:imagedata o:title=""/>
                <o:lock v:ext="edit" aspectratio="f"/>
                <v:textbox>
                  <w:txbxContent>
                    <w:p w14:paraId="25F69A0A">
                      <w:pPr>
                        <w:rPr>
                          <w:rFonts w:hint="eastAsia" w:eastAsia="宋体"/>
                          <w:color w:val="FF0000"/>
                          <w:lang w:val="en-US" w:eastAsia="zh-CN"/>
                        </w:rPr>
                      </w:pPr>
                      <w:r>
                        <w:rPr>
                          <w:rFonts w:hint="eastAsia"/>
                          <w:color w:val="FF0000"/>
                          <w:lang w:val="en-US" w:eastAsia="zh-CN"/>
                        </w:rPr>
                        <w:t>项目所在地</w:t>
                      </w:r>
                    </w:p>
                  </w:txbxContent>
                </v:textbox>
              </v:shape>
            </w:pict>
          </mc:Fallback>
        </mc:AlternateContent>
      </w:r>
      <w:r>
        <w:rPr>
          <w:sz w:val="28"/>
        </w:rPr>
        <mc:AlternateContent>
          <mc:Choice Requires="wps">
            <w:drawing>
              <wp:anchor distT="0" distB="0" distL="114300" distR="114300" simplePos="0" relativeHeight="251676672" behindDoc="0" locked="0" layoutInCell="1" allowOverlap="1">
                <wp:simplePos x="0" y="0"/>
                <wp:positionH relativeFrom="column">
                  <wp:posOffset>1812290</wp:posOffset>
                </wp:positionH>
                <wp:positionV relativeFrom="paragraph">
                  <wp:posOffset>4536440</wp:posOffset>
                </wp:positionV>
                <wp:extent cx="342900" cy="572135"/>
                <wp:effectExtent l="0" t="3175" r="19050" b="15240"/>
                <wp:wrapNone/>
                <wp:docPr id="61" name="直接箭头连接符 61"/>
                <wp:cNvGraphicFramePr/>
                <a:graphic xmlns:a="http://schemas.openxmlformats.org/drawingml/2006/main">
                  <a:graphicData uri="http://schemas.microsoft.com/office/word/2010/wordprocessingShape">
                    <wps:wsp>
                      <wps:cNvCnPr/>
                      <wps:spPr>
                        <a:xfrm flipH="1">
                          <a:off x="2784475" y="5864860"/>
                          <a:ext cx="342900" cy="57213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42.7pt;margin-top:357.2pt;height:45.05pt;width:27pt;z-index:251676672;mso-width-relative:page;mso-height-relative:page;" filled="f" stroked="t" coordsize="21600,21600" o:gfxdata="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xhMcbY&#10;AAAACwEAAA8AAAAAAAAAAQAgAAAAIgAAAGRycy9kb3ducmV2LnhtbFBLAQIUABQAAAAIAIdO4kAy&#10;A+oMIAIAAPsDAAAOAAAAAAAAAAEAIAAAACcBAABkcnMvZTJvRG9jLnhtbFBLBQYAAAAABgAGAFkB&#10;AAC5BQAAAAA=&#10;">
                <v:fill on="f" focussize="0,0"/>
                <v:stroke weight="1pt" color="#FF0000 [3204]" miterlimit="8" joinstyle="miter" endarrow="open"/>
                <v:imagedata o:title=""/>
                <o:lock v:ext="edit" aspectratio="f"/>
              </v:shape>
            </w:pict>
          </mc:Fallback>
        </mc:AlternateContent>
      </w:r>
      <w:r>
        <w:rPr>
          <w:rFonts w:hint="default"/>
          <w:sz w:val="28"/>
        </w:rPr>
        <w:drawing>
          <wp:inline distT="0" distB="0" distL="114300" distR="114300">
            <wp:extent cx="5502275" cy="7772400"/>
            <wp:effectExtent l="0" t="0" r="3175" b="0"/>
            <wp:docPr id="86" name="图片 8" descr="土地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descr="土地利用"/>
                    <pic:cNvPicPr>
                      <a:picLocks noChangeAspect="1"/>
                    </pic:cNvPicPr>
                  </pic:nvPicPr>
                  <pic:blipFill>
                    <a:blip r:embed="rId98"/>
                    <a:stretch>
                      <a:fillRect/>
                    </a:stretch>
                  </pic:blipFill>
                  <pic:spPr>
                    <a:xfrm>
                      <a:off x="0" y="0"/>
                      <a:ext cx="5502275" cy="7772400"/>
                    </a:xfrm>
                    <a:prstGeom prst="rect">
                      <a:avLst/>
                    </a:prstGeom>
                    <a:noFill/>
                    <a:ln>
                      <a:noFill/>
                    </a:ln>
                  </pic:spPr>
                </pic:pic>
              </a:graphicData>
            </a:graphic>
          </wp:inline>
        </w:drawing>
      </w:r>
      <w:r>
        <w:rPr>
          <w:b/>
          <w:bCs/>
          <w:sz w:val="28"/>
          <w:szCs w:val="28"/>
        </w:rPr>
        <w:t>附图</w:t>
      </w:r>
      <w:r>
        <w:rPr>
          <w:rFonts w:hint="eastAsia"/>
          <w:b/>
          <w:bCs/>
          <w:sz w:val="28"/>
          <w:szCs w:val="28"/>
          <w:lang w:val="en-US" w:eastAsia="zh-CN"/>
        </w:rPr>
        <w:t>9</w:t>
      </w:r>
      <w:r>
        <w:rPr>
          <w:rFonts w:hint="eastAsia"/>
          <w:b/>
          <w:bCs/>
          <w:sz w:val="28"/>
          <w:szCs w:val="28"/>
        </w:rPr>
        <w:t xml:space="preserve"> </w:t>
      </w:r>
      <w:bookmarkEnd w:id="175"/>
      <w:r>
        <w:rPr>
          <w:rFonts w:hint="default"/>
          <w:b/>
          <w:bCs/>
          <w:sz w:val="28"/>
          <w:szCs w:val="28"/>
        </w:rPr>
        <w:t>荆江门片区土地利用规划图</w:t>
      </w:r>
      <w:bookmarkEnd w:id="176"/>
      <w:bookmarkEnd w:id="177"/>
      <w:bookmarkEnd w:id="178"/>
      <w:bookmarkEnd w:id="179"/>
      <w:bookmarkEnd w:id="180"/>
      <w:bookmarkEnd w:id="181"/>
    </w:p>
    <w:p w14:paraId="63152269">
      <w:pPr>
        <w:jc w:val="center"/>
        <w:outlineLvl w:val="9"/>
        <w:rPr>
          <w:rFonts w:hint="default"/>
          <w:b/>
          <w:bCs/>
          <w:sz w:val="28"/>
          <w:szCs w:val="28"/>
        </w:rPr>
      </w:pPr>
      <w:r>
        <w:rPr>
          <w:sz w:val="28"/>
        </w:rPr>
        <mc:AlternateContent>
          <mc:Choice Requires="wps">
            <w:drawing>
              <wp:anchor distT="0" distB="0" distL="114300" distR="114300" simplePos="0" relativeHeight="251686912" behindDoc="0" locked="0" layoutInCell="1" allowOverlap="1">
                <wp:simplePos x="0" y="0"/>
                <wp:positionH relativeFrom="column">
                  <wp:posOffset>1898015</wp:posOffset>
                </wp:positionH>
                <wp:positionV relativeFrom="paragraph">
                  <wp:posOffset>4081145</wp:posOffset>
                </wp:positionV>
                <wp:extent cx="661670" cy="760730"/>
                <wp:effectExtent l="6985" t="6350" r="17145" b="13970"/>
                <wp:wrapNone/>
                <wp:docPr id="72" name="任意多边形 72"/>
                <wp:cNvGraphicFramePr/>
                <a:graphic xmlns:a="http://schemas.openxmlformats.org/drawingml/2006/main">
                  <a:graphicData uri="http://schemas.microsoft.com/office/word/2010/wordprocessingShape">
                    <wps:wsp>
                      <wps:cNvSpPr/>
                      <wps:spPr>
                        <a:xfrm>
                          <a:off x="0" y="0"/>
                          <a:ext cx="661670" cy="760730"/>
                        </a:xfrm>
                        <a:custGeom>
                          <a:avLst/>
                          <a:gdLst>
                            <a:gd name="connisteX0" fmla="*/ 0 w 450850"/>
                            <a:gd name="connsiteY0" fmla="*/ 165100 h 596900"/>
                            <a:gd name="connisteX1" fmla="*/ 25400 w 450850"/>
                            <a:gd name="connsiteY1" fmla="*/ 38100 h 596900"/>
                            <a:gd name="connisteX2" fmla="*/ 76200 w 450850"/>
                            <a:gd name="connsiteY2" fmla="*/ 0 h 596900"/>
                            <a:gd name="connisteX3" fmla="*/ 450850 w 450850"/>
                            <a:gd name="connsiteY3" fmla="*/ 38100 h 596900"/>
                            <a:gd name="connisteX4" fmla="*/ 368300 w 450850"/>
                            <a:gd name="connsiteY4" fmla="*/ 596900 h 596900"/>
                            <a:gd name="connisteX5" fmla="*/ 0 w 450850"/>
                            <a:gd name="connsiteY5" fmla="*/ 165100 h 5969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450850" h="596900">
                              <a:moveTo>
                                <a:pt x="0" y="165100"/>
                              </a:moveTo>
                              <a:lnTo>
                                <a:pt x="25400" y="38100"/>
                              </a:lnTo>
                              <a:lnTo>
                                <a:pt x="76200" y="0"/>
                              </a:lnTo>
                              <a:lnTo>
                                <a:pt x="450850" y="38100"/>
                              </a:lnTo>
                              <a:lnTo>
                                <a:pt x="368300" y="596900"/>
                              </a:lnTo>
                              <a:lnTo>
                                <a:pt x="0" y="165100"/>
                              </a:lnTo>
                              <a:close/>
                            </a:path>
                          </a:pathLst>
                        </a:custGeom>
                        <a:noFill/>
                        <a:ln>
                          <a:solidFill>
                            <a:schemeClr val="accent1">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9.45pt;margin-top:321.35pt;height:59.9pt;width:52.1pt;z-index:251686912;mso-width-relative:page;mso-height-relative:page;" filled="f" stroked="t" coordsize="450850,596900" o:gfxdata="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" path="m0,165100l25400,38100,76200,0,450850,38100,368300,596900,0,165100xe">
                <v:path o:connectlocs="0,210414;37277,48557;111831,0;661670,48557;540519,760730;0,210414" o:connectangles="0,0,0,0,0,0"/>
                <v:fill on="f" focussize="0,0"/>
                <v:stroke weight="1pt" color="#2E54A1 [2404]" miterlimit="8" joinstyle="miter"/>
                <v:imagedata o:title=""/>
                <o:lock v:ext="edit" aspectratio="f"/>
              </v:shape>
            </w:pict>
          </mc:Fallback>
        </mc:AlternateContent>
      </w:r>
      <w:r>
        <w:rPr>
          <w:sz w:val="28"/>
        </w:rPr>
        <mc:AlternateContent>
          <mc:Choice Requires="wps">
            <w:drawing>
              <wp:anchor distT="0" distB="0" distL="114300" distR="114300" simplePos="0" relativeHeight="251688960" behindDoc="0" locked="0" layoutInCell="1" allowOverlap="1">
                <wp:simplePos x="0" y="0"/>
                <wp:positionH relativeFrom="column">
                  <wp:posOffset>1524000</wp:posOffset>
                </wp:positionH>
                <wp:positionV relativeFrom="paragraph">
                  <wp:posOffset>4968875</wp:posOffset>
                </wp:positionV>
                <wp:extent cx="932815" cy="23495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932815" cy="23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174E13">
                            <w:pPr>
                              <w:rPr>
                                <w:rFonts w:hint="eastAsia" w:eastAsia="宋体"/>
                                <w:b/>
                                <w:bCs/>
                                <w:color w:val="2E54A1" w:themeColor="accent1" w:themeShade="BF"/>
                                <w:lang w:val="en-US" w:eastAsia="zh-CN"/>
                              </w:rPr>
                            </w:pPr>
                            <w:r>
                              <w:rPr>
                                <w:rFonts w:hint="eastAsia"/>
                                <w:b/>
                                <w:bCs/>
                                <w:color w:val="2E54A1" w:themeColor="accent1" w:themeShade="BF"/>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pt;margin-top:391.25pt;height:18.5pt;width:73.45pt;z-index:251688960;mso-width-relative:page;mso-height-relative:page;" filled="f" stroked="f" coordsize="21600,21600" o:gfxdata="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Sg7wHdAAAACwEAAA8AAAAAAAAAAQAgAAAAIgAA&#10;AGRycy9kb3ducmV2LnhtbFBLAQIUABQAAAAIAIdO4kAfMg4FPAIAAGcEAAAOAAAAAAAAAAEAIAAA&#10;ACwBAABkcnMvZTJvRG9jLnhtbFBLBQYAAAAABgAGAFkBAADaBQAAAAA=&#10;">
                <v:fill on="f" focussize="0,0"/>
                <v:stroke on="f" weight="0.5pt"/>
                <v:imagedata o:title=""/>
                <o:lock v:ext="edit" aspectratio="f"/>
                <v:textbox>
                  <w:txbxContent>
                    <w:p w14:paraId="52174E13">
                      <w:pPr>
                        <w:rPr>
                          <w:rFonts w:hint="eastAsia" w:eastAsia="宋体"/>
                          <w:b/>
                          <w:bCs/>
                          <w:color w:val="2E54A1" w:themeColor="accent1" w:themeShade="BF"/>
                          <w:lang w:val="en-US" w:eastAsia="zh-CN"/>
                        </w:rPr>
                      </w:pPr>
                      <w:r>
                        <w:rPr>
                          <w:rFonts w:hint="eastAsia"/>
                          <w:b/>
                          <w:bCs/>
                          <w:color w:val="2E54A1" w:themeColor="accent1" w:themeShade="BF"/>
                          <w:lang w:val="en-US" w:eastAsia="zh-CN"/>
                        </w:rPr>
                        <w:t>项目所在地</w:t>
                      </w:r>
                    </w:p>
                  </w:txbxContent>
                </v:textbox>
              </v:shape>
            </w:pict>
          </mc:Fallback>
        </mc:AlternateContent>
      </w:r>
      <w:r>
        <w:rPr>
          <w:sz w:val="28"/>
        </w:rPr>
        <mc:AlternateContent>
          <mc:Choice Requires="wps">
            <w:drawing>
              <wp:anchor distT="0" distB="0" distL="114300" distR="114300" simplePos="0" relativeHeight="251687936" behindDoc="0" locked="0" layoutInCell="1" allowOverlap="1">
                <wp:simplePos x="0" y="0"/>
                <wp:positionH relativeFrom="column">
                  <wp:posOffset>1975485</wp:posOffset>
                </wp:positionH>
                <wp:positionV relativeFrom="paragraph">
                  <wp:posOffset>4380230</wp:posOffset>
                </wp:positionV>
                <wp:extent cx="342900" cy="572135"/>
                <wp:effectExtent l="0" t="3175" r="19050" b="15240"/>
                <wp:wrapNone/>
                <wp:docPr id="74" name="直接箭头连接符 74"/>
                <wp:cNvGraphicFramePr/>
                <a:graphic xmlns:a="http://schemas.openxmlformats.org/drawingml/2006/main">
                  <a:graphicData uri="http://schemas.microsoft.com/office/word/2010/wordprocessingShape">
                    <wps:wsp>
                      <wps:cNvCnPr/>
                      <wps:spPr>
                        <a:xfrm flipH="1">
                          <a:off x="0" y="0"/>
                          <a:ext cx="342900" cy="572135"/>
                        </a:xfrm>
                        <a:prstGeom prst="straightConnector1">
                          <a:avLst/>
                        </a:prstGeom>
                        <a:ln>
                          <a:solidFill>
                            <a:schemeClr val="accent1">
                              <a:lumMod val="75000"/>
                            </a:schemeClr>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55.55pt;margin-top:344.9pt;height:45.05pt;width:27pt;z-index:251687936;mso-width-relative:page;mso-height-relative:page;" filled="f" stroked="t" coordsize="21600,21600" o:gfxdata="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22i062gAAAAsBAAAPAAAAAAAAAAEAIAAAACIAAABkcnMvZG93bnJldi54bWxQSwECFAAUAAAA&#10;CACHTuJAPKxV0SUCAAARBAAADgAAAAAAAAABACAAAAApAQAAZHJzL2Uyb0RvYy54bWxQSwUGAAAA&#10;AAYABgBZAQAAwAUAAAAA&#10;">
                <v:fill on="f" focussize="0,0"/>
                <v:stroke weight="1pt" color="#2E54A1 [2404]" miterlimit="8" joinstyle="miter" endarrow="open"/>
                <v:imagedata o:title=""/>
                <o:lock v:ext="edit" aspectratio="f"/>
              </v:shape>
            </w:pict>
          </mc:Fallback>
        </mc:AlternateContent>
      </w:r>
      <w:r>
        <w:rPr>
          <w:rFonts w:hint="default"/>
          <w:b/>
          <w:bCs/>
          <w:sz w:val="28"/>
          <w:szCs w:val="28"/>
        </w:rPr>
        <w:drawing>
          <wp:inline distT="0" distB="0" distL="114300" distR="114300">
            <wp:extent cx="5328920" cy="7392670"/>
            <wp:effectExtent l="0" t="0" r="5080" b="17780"/>
            <wp:docPr id="63" name="图片 8" descr="微信图片_2019080217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descr="微信图片_20190802170117"/>
                    <pic:cNvPicPr>
                      <a:picLocks noChangeAspect="1"/>
                    </pic:cNvPicPr>
                  </pic:nvPicPr>
                  <pic:blipFill>
                    <a:blip r:embed="rId99"/>
                    <a:stretch>
                      <a:fillRect/>
                    </a:stretch>
                  </pic:blipFill>
                  <pic:spPr>
                    <a:xfrm>
                      <a:off x="0" y="0"/>
                      <a:ext cx="5328920" cy="7392670"/>
                    </a:xfrm>
                    <a:prstGeom prst="rect">
                      <a:avLst/>
                    </a:prstGeom>
                    <a:noFill/>
                    <a:ln>
                      <a:noFill/>
                    </a:ln>
                  </pic:spPr>
                </pic:pic>
              </a:graphicData>
            </a:graphic>
          </wp:inline>
        </w:drawing>
      </w:r>
    </w:p>
    <w:p w14:paraId="23BB3E67">
      <w:pPr>
        <w:ind w:left="0" w:leftChars="0" w:right="0" w:rightChars="0" w:firstLine="0" w:firstLineChars="0"/>
        <w:jc w:val="center"/>
        <w:outlineLvl w:val="0"/>
        <w:rPr>
          <w:rFonts w:hint="eastAsia"/>
          <w:b/>
          <w:bCs/>
          <w:sz w:val="28"/>
          <w:szCs w:val="28"/>
          <w:lang w:val="en-US" w:eastAsia="zh-CN"/>
        </w:rPr>
      </w:pPr>
      <w:bookmarkStart w:id="182" w:name="_Toc11659"/>
      <w:bookmarkStart w:id="183" w:name="_Toc17925"/>
      <w:bookmarkStart w:id="184" w:name="_Toc10193"/>
      <w:bookmarkStart w:id="185" w:name="_Toc22735"/>
      <w:bookmarkStart w:id="186" w:name="_Toc25449"/>
      <w:bookmarkStart w:id="187" w:name="_Toc14979"/>
      <w:r>
        <w:rPr>
          <w:rFonts w:hint="eastAsia"/>
          <w:b/>
          <w:bCs/>
          <w:sz w:val="28"/>
          <w:szCs w:val="28"/>
          <w:lang w:val="en-US" w:eastAsia="zh-CN"/>
        </w:rPr>
        <w:t>附图10 工业园污水排放管网图（荆江门片区）</w:t>
      </w:r>
      <w:bookmarkEnd w:id="182"/>
      <w:bookmarkEnd w:id="183"/>
      <w:bookmarkEnd w:id="184"/>
      <w:bookmarkEnd w:id="185"/>
      <w:bookmarkEnd w:id="186"/>
      <w:bookmarkEnd w:id="187"/>
    </w:p>
    <w:p w14:paraId="0DB5D597">
      <w:pPr>
        <w:pStyle w:val="11"/>
        <w:rPr>
          <w:rFonts w:hint="default"/>
          <w:lang w:val="en-US" w:eastAsia="zh-CN"/>
        </w:rPr>
        <w:sectPr>
          <w:pgSz w:w="11906" w:h="16838"/>
          <w:pgMar w:top="1417" w:right="1417" w:bottom="1417" w:left="1701" w:header="851" w:footer="851" w:gutter="0"/>
          <w:pgBorders>
            <w:top w:val="none" w:sz="0" w:space="0"/>
            <w:left w:val="none" w:sz="0" w:space="0"/>
            <w:bottom w:val="none" w:sz="0" w:space="0"/>
            <w:right w:val="none" w:sz="0" w:space="0"/>
          </w:pgBorders>
          <w:cols w:space="720" w:num="1"/>
          <w:docGrid w:linePitch="312" w:charSpace="0"/>
        </w:sectPr>
      </w:pP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6"/>
        <w:gridCol w:w="4566"/>
        <w:gridCol w:w="4536"/>
      </w:tblGrid>
      <w:tr w14:paraId="26A8C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0" w:hRule="atLeast"/>
          <w:jc w:val="center"/>
        </w:trPr>
        <w:tc>
          <w:tcPr>
            <w:tcW w:w="4443" w:type="dxa"/>
            <w:vAlign w:val="center"/>
          </w:tcPr>
          <w:p w14:paraId="4DCDC59E">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default"/>
                <w:szCs w:val="21"/>
                <w:vertAlign w:val="baseline"/>
                <w:lang w:val="en-US" w:eastAsia="zh-CN"/>
              </w:rPr>
              <w:drawing>
                <wp:inline distT="0" distB="0" distL="114300" distR="114300">
                  <wp:extent cx="2731135" cy="2048510"/>
                  <wp:effectExtent l="0" t="0" r="12065" b="8890"/>
                  <wp:docPr id="110" name="图片 110" descr="5d1132732d6bfdbbbf96a250a1fef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5d1132732d6bfdbbbf96a250a1fef91"/>
                          <pic:cNvPicPr>
                            <a:picLocks noChangeAspect="1"/>
                          </pic:cNvPicPr>
                        </pic:nvPicPr>
                        <pic:blipFill>
                          <a:blip r:embed="rId100"/>
                          <a:stretch>
                            <a:fillRect/>
                          </a:stretch>
                        </pic:blipFill>
                        <pic:spPr>
                          <a:xfrm>
                            <a:off x="0" y="0"/>
                            <a:ext cx="2731135" cy="2048510"/>
                          </a:xfrm>
                          <a:prstGeom prst="rect">
                            <a:avLst/>
                          </a:prstGeom>
                        </pic:spPr>
                      </pic:pic>
                    </a:graphicData>
                  </a:graphic>
                </wp:inline>
              </w:drawing>
            </w:r>
          </w:p>
        </w:tc>
        <w:tc>
          <w:tcPr>
            <w:tcW w:w="4472" w:type="dxa"/>
            <w:vAlign w:val="center"/>
          </w:tcPr>
          <w:p w14:paraId="57F4A9AF">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default"/>
                <w:szCs w:val="21"/>
                <w:vertAlign w:val="baseline"/>
                <w:lang w:val="en-US" w:eastAsia="zh-CN"/>
              </w:rPr>
              <w:drawing>
                <wp:inline distT="0" distB="0" distL="114300" distR="114300">
                  <wp:extent cx="2746375" cy="2058670"/>
                  <wp:effectExtent l="0" t="0" r="15875" b="17780"/>
                  <wp:docPr id="120" name="图片 120" descr="bfffb357757fdca2719da5ec0bbdb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bfffb357757fdca2719da5ec0bbdb07"/>
                          <pic:cNvPicPr>
                            <a:picLocks noChangeAspect="1"/>
                          </pic:cNvPicPr>
                        </pic:nvPicPr>
                        <pic:blipFill>
                          <a:blip r:embed="rId101"/>
                          <a:stretch>
                            <a:fillRect/>
                          </a:stretch>
                        </pic:blipFill>
                        <pic:spPr>
                          <a:xfrm>
                            <a:off x="0" y="0"/>
                            <a:ext cx="2746375" cy="2058670"/>
                          </a:xfrm>
                          <a:prstGeom prst="rect">
                            <a:avLst/>
                          </a:prstGeom>
                        </pic:spPr>
                      </pic:pic>
                    </a:graphicData>
                  </a:graphic>
                </wp:inline>
              </w:drawing>
            </w:r>
          </w:p>
        </w:tc>
        <w:tc>
          <w:tcPr>
            <w:tcW w:w="4443" w:type="dxa"/>
            <w:vAlign w:val="center"/>
          </w:tcPr>
          <w:p w14:paraId="6B14485D">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default"/>
                <w:szCs w:val="21"/>
                <w:vertAlign w:val="baseline"/>
                <w:lang w:val="en-US" w:eastAsia="zh-CN"/>
              </w:rPr>
              <w:drawing>
                <wp:inline distT="0" distB="0" distL="114300" distR="114300">
                  <wp:extent cx="2729865" cy="2046605"/>
                  <wp:effectExtent l="0" t="0" r="13335" b="10795"/>
                  <wp:docPr id="121" name="图片 121" descr="76994f5aaa188dd61681feffb03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76994f5aaa188dd61681feffb030197"/>
                          <pic:cNvPicPr>
                            <a:picLocks noChangeAspect="1"/>
                          </pic:cNvPicPr>
                        </pic:nvPicPr>
                        <pic:blipFill>
                          <a:blip r:embed="rId102"/>
                          <a:stretch>
                            <a:fillRect/>
                          </a:stretch>
                        </pic:blipFill>
                        <pic:spPr>
                          <a:xfrm>
                            <a:off x="0" y="0"/>
                            <a:ext cx="2729865" cy="2046605"/>
                          </a:xfrm>
                          <a:prstGeom prst="rect">
                            <a:avLst/>
                          </a:prstGeom>
                        </pic:spPr>
                      </pic:pic>
                    </a:graphicData>
                  </a:graphic>
                </wp:inline>
              </w:drawing>
            </w:r>
          </w:p>
        </w:tc>
      </w:tr>
      <w:tr w14:paraId="4CA05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4443" w:type="dxa"/>
            <w:vAlign w:val="center"/>
          </w:tcPr>
          <w:p w14:paraId="6540AB07">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eastAsia"/>
                <w:szCs w:val="21"/>
                <w:vertAlign w:val="baseline"/>
                <w:lang w:val="en-US" w:eastAsia="zh-CN"/>
              </w:rPr>
              <w:t>危废暂存间</w:t>
            </w:r>
          </w:p>
        </w:tc>
        <w:tc>
          <w:tcPr>
            <w:tcW w:w="4472" w:type="dxa"/>
            <w:vAlign w:val="center"/>
          </w:tcPr>
          <w:p w14:paraId="3263A032">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eastAsia"/>
                <w:szCs w:val="21"/>
                <w:vertAlign w:val="baseline"/>
                <w:lang w:val="en-US" w:eastAsia="zh-CN"/>
              </w:rPr>
              <w:t>厂区照片</w:t>
            </w:r>
          </w:p>
        </w:tc>
        <w:tc>
          <w:tcPr>
            <w:tcW w:w="4443" w:type="dxa"/>
            <w:vAlign w:val="center"/>
          </w:tcPr>
          <w:p w14:paraId="2A133242">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eastAsia"/>
                <w:szCs w:val="21"/>
                <w:vertAlign w:val="baseline"/>
                <w:lang w:val="en-US" w:eastAsia="zh-CN"/>
              </w:rPr>
              <w:t>食用油罐区</w:t>
            </w:r>
          </w:p>
        </w:tc>
      </w:tr>
      <w:tr w14:paraId="392BC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3" w:hRule="atLeast"/>
          <w:jc w:val="center"/>
        </w:trPr>
        <w:tc>
          <w:tcPr>
            <w:tcW w:w="4443" w:type="dxa"/>
            <w:vAlign w:val="center"/>
          </w:tcPr>
          <w:p w14:paraId="3DF3574F">
            <w:pPr>
              <w:keepNext w:val="0"/>
              <w:keepLines w:val="0"/>
              <w:suppressLineNumbers w:val="0"/>
              <w:spacing w:before="0" w:beforeAutospacing="0" w:after="0" w:afterAutospacing="0"/>
              <w:ind w:left="0" w:leftChars="0" w:right="0" w:rightChars="0" w:firstLine="0" w:firstLineChars="0"/>
              <w:jc w:val="center"/>
              <w:rPr>
                <w:rFonts w:hint="default"/>
                <w:szCs w:val="21"/>
                <w:vertAlign w:val="baseline"/>
                <w:lang w:val="en-US" w:eastAsia="zh-CN"/>
              </w:rPr>
            </w:pPr>
            <w:r>
              <w:rPr>
                <w:rFonts w:hint="default"/>
                <w:szCs w:val="21"/>
                <w:vertAlign w:val="baseline"/>
                <w:lang w:val="en-US" w:eastAsia="zh-CN"/>
              </w:rPr>
              <w:drawing>
                <wp:inline distT="0" distB="0" distL="114300" distR="114300">
                  <wp:extent cx="2039620" cy="2720975"/>
                  <wp:effectExtent l="0" t="0" r="17780" b="3175"/>
                  <wp:docPr id="122" name="图片 122" descr="194df81f72c6756db3a54c653ddaf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194df81f72c6756db3a54c653ddaf6f"/>
                          <pic:cNvPicPr>
                            <a:picLocks noChangeAspect="1"/>
                          </pic:cNvPicPr>
                        </pic:nvPicPr>
                        <pic:blipFill>
                          <a:blip r:embed="rId103"/>
                          <a:stretch>
                            <a:fillRect/>
                          </a:stretch>
                        </pic:blipFill>
                        <pic:spPr>
                          <a:xfrm>
                            <a:off x="0" y="0"/>
                            <a:ext cx="2039620" cy="2720975"/>
                          </a:xfrm>
                          <a:prstGeom prst="rect">
                            <a:avLst/>
                          </a:prstGeom>
                        </pic:spPr>
                      </pic:pic>
                    </a:graphicData>
                  </a:graphic>
                </wp:inline>
              </w:drawing>
            </w:r>
          </w:p>
        </w:tc>
        <w:tc>
          <w:tcPr>
            <w:tcW w:w="4472" w:type="dxa"/>
            <w:vAlign w:val="center"/>
          </w:tcPr>
          <w:p w14:paraId="53FE9DED">
            <w:pPr>
              <w:keepNext w:val="0"/>
              <w:keepLines w:val="0"/>
              <w:suppressLineNumbers w:val="0"/>
              <w:spacing w:before="0" w:beforeAutospacing="0" w:after="0" w:afterAutospacing="0"/>
              <w:ind w:left="0" w:leftChars="0" w:right="0" w:rightChars="0" w:firstLine="0" w:firstLineChars="0"/>
              <w:jc w:val="center"/>
              <w:rPr>
                <w:rFonts w:hint="default"/>
                <w:szCs w:val="21"/>
                <w:vertAlign w:val="baseline"/>
                <w:lang w:val="en-US" w:eastAsia="zh-CN"/>
              </w:rPr>
            </w:pPr>
            <w:r>
              <w:rPr>
                <w:rFonts w:hint="default"/>
                <w:szCs w:val="21"/>
                <w:vertAlign w:val="baseline"/>
                <w:lang w:val="en-US" w:eastAsia="zh-CN"/>
              </w:rPr>
              <w:drawing>
                <wp:inline distT="0" distB="0" distL="114300" distR="114300">
                  <wp:extent cx="2076450" cy="2770505"/>
                  <wp:effectExtent l="0" t="0" r="0" b="10795"/>
                  <wp:docPr id="123" name="图片 123" descr="597f2cebd4f9778128aedb4bd27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597f2cebd4f9778128aedb4bd275854"/>
                          <pic:cNvPicPr>
                            <a:picLocks noChangeAspect="1"/>
                          </pic:cNvPicPr>
                        </pic:nvPicPr>
                        <pic:blipFill>
                          <a:blip r:embed="rId104"/>
                          <a:stretch>
                            <a:fillRect/>
                          </a:stretch>
                        </pic:blipFill>
                        <pic:spPr>
                          <a:xfrm>
                            <a:off x="0" y="0"/>
                            <a:ext cx="2076450" cy="2770505"/>
                          </a:xfrm>
                          <a:prstGeom prst="rect">
                            <a:avLst/>
                          </a:prstGeom>
                        </pic:spPr>
                      </pic:pic>
                    </a:graphicData>
                  </a:graphic>
                </wp:inline>
              </w:drawing>
            </w:r>
          </w:p>
        </w:tc>
        <w:tc>
          <w:tcPr>
            <w:tcW w:w="4443" w:type="dxa"/>
            <w:vAlign w:val="center"/>
          </w:tcPr>
          <w:p w14:paraId="7725E357">
            <w:pPr>
              <w:keepNext w:val="0"/>
              <w:keepLines w:val="0"/>
              <w:suppressLineNumbers w:val="0"/>
              <w:spacing w:before="0" w:beforeAutospacing="0" w:after="0" w:afterAutospacing="0"/>
              <w:ind w:left="0" w:leftChars="0" w:right="0" w:rightChars="0" w:firstLine="0" w:firstLineChars="0"/>
              <w:jc w:val="center"/>
              <w:rPr>
                <w:rFonts w:hint="default"/>
                <w:szCs w:val="21"/>
                <w:vertAlign w:val="baseline"/>
                <w:lang w:val="en-US" w:eastAsia="zh-CN"/>
              </w:rPr>
            </w:pPr>
            <w:r>
              <w:rPr>
                <w:rFonts w:hint="default"/>
                <w:szCs w:val="21"/>
                <w:vertAlign w:val="baseline"/>
                <w:lang w:val="en-US" w:eastAsia="zh-CN"/>
              </w:rPr>
              <w:drawing>
                <wp:inline distT="0" distB="0" distL="114300" distR="114300">
                  <wp:extent cx="1905000" cy="2540000"/>
                  <wp:effectExtent l="0" t="0" r="0" b="12700"/>
                  <wp:docPr id="96" name="图片 96" descr="环评工程师现场踏勘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环评工程师现场踏勘照片"/>
                          <pic:cNvPicPr>
                            <a:picLocks noChangeAspect="1"/>
                          </pic:cNvPicPr>
                        </pic:nvPicPr>
                        <pic:blipFill>
                          <a:blip r:embed="rId105"/>
                          <a:stretch>
                            <a:fillRect/>
                          </a:stretch>
                        </pic:blipFill>
                        <pic:spPr>
                          <a:xfrm>
                            <a:off x="0" y="0"/>
                            <a:ext cx="1905000" cy="2540000"/>
                          </a:xfrm>
                          <a:prstGeom prst="rect">
                            <a:avLst/>
                          </a:prstGeom>
                        </pic:spPr>
                      </pic:pic>
                    </a:graphicData>
                  </a:graphic>
                </wp:inline>
              </w:drawing>
            </w:r>
          </w:p>
        </w:tc>
      </w:tr>
      <w:tr w14:paraId="744A7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4443" w:type="dxa"/>
            <w:vAlign w:val="center"/>
          </w:tcPr>
          <w:p w14:paraId="63BCE67C">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eastAsia"/>
                <w:szCs w:val="21"/>
                <w:vertAlign w:val="baseline"/>
                <w:lang w:val="en-US" w:eastAsia="zh-CN"/>
              </w:rPr>
              <w:t>除尘设备</w:t>
            </w:r>
          </w:p>
        </w:tc>
        <w:tc>
          <w:tcPr>
            <w:tcW w:w="4472" w:type="dxa"/>
            <w:vAlign w:val="center"/>
          </w:tcPr>
          <w:p w14:paraId="080FC151">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eastAsia"/>
                <w:szCs w:val="21"/>
                <w:vertAlign w:val="baseline"/>
                <w:lang w:val="en-US" w:eastAsia="zh-CN"/>
              </w:rPr>
              <w:t>生产车间</w:t>
            </w:r>
          </w:p>
        </w:tc>
        <w:tc>
          <w:tcPr>
            <w:tcW w:w="4443" w:type="dxa"/>
            <w:vAlign w:val="center"/>
          </w:tcPr>
          <w:p w14:paraId="599C3717">
            <w:pPr>
              <w:keepNext w:val="0"/>
              <w:keepLines w:val="0"/>
              <w:suppressLineNumbers w:val="0"/>
              <w:spacing w:before="0" w:beforeAutospacing="0" w:after="0" w:afterAutospacing="0"/>
              <w:ind w:left="0" w:right="0"/>
              <w:jc w:val="center"/>
              <w:rPr>
                <w:rFonts w:hint="default"/>
                <w:szCs w:val="21"/>
                <w:vertAlign w:val="baseline"/>
                <w:lang w:val="en-US" w:eastAsia="zh-CN"/>
              </w:rPr>
            </w:pPr>
            <w:r>
              <w:rPr>
                <w:rFonts w:hint="eastAsia"/>
                <w:szCs w:val="21"/>
                <w:vertAlign w:val="baseline"/>
                <w:lang w:val="en-US" w:eastAsia="zh-CN"/>
              </w:rPr>
              <w:t>工程师现场踏勘照片</w:t>
            </w:r>
          </w:p>
        </w:tc>
      </w:tr>
    </w:tbl>
    <w:p w14:paraId="28E9911F">
      <w:pPr>
        <w:jc w:val="center"/>
        <w:outlineLvl w:val="0"/>
        <w:rPr>
          <w:rFonts w:hint="default" w:ascii="Times New Roman" w:hAnsi="Times New Roman" w:eastAsia="宋体" w:cs="Times New Roman"/>
          <w:b/>
          <w:bCs/>
          <w:sz w:val="28"/>
          <w:szCs w:val="28"/>
          <w:lang w:val="en-US" w:eastAsia="zh-CN"/>
        </w:rPr>
      </w:pPr>
      <w:bookmarkStart w:id="188" w:name="_Toc26355"/>
      <w:bookmarkStart w:id="189" w:name="_Toc10099"/>
      <w:bookmarkStart w:id="190" w:name="_Toc16275"/>
      <w:bookmarkStart w:id="191" w:name="_Toc28151"/>
      <w:r>
        <w:rPr>
          <w:rFonts w:hint="default" w:ascii="Times New Roman" w:hAnsi="Times New Roman" w:eastAsia="宋体" w:cs="Times New Roman"/>
          <w:b/>
          <w:bCs/>
          <w:sz w:val="28"/>
          <w:szCs w:val="28"/>
          <w:lang w:val="en-US" w:eastAsia="zh-CN"/>
        </w:rPr>
        <w:t>附图11 现场照片</w:t>
      </w:r>
      <w:bookmarkEnd w:id="188"/>
      <w:bookmarkEnd w:id="189"/>
      <w:bookmarkEnd w:id="190"/>
      <w:bookmarkEnd w:id="191"/>
    </w:p>
    <w:sectPr>
      <w:pgSz w:w="16838" w:h="11906" w:orient="landscape"/>
      <w:pgMar w:top="1701" w:right="1417" w:bottom="1417" w:left="1417"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新宋体-18030">
    <w:altName w:val="宋体"/>
    <w:panose1 w:val="00000000000000000000"/>
    <w:charset w:val="00"/>
    <w:family w:val="auto"/>
    <w:pitch w:val="default"/>
    <w:sig w:usb0="00000000" w:usb1="00000000" w:usb2="00000000"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311640">
    <w:pPr>
      <w:pStyle w:val="1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674457">
    <w:pPr>
      <w:pStyle w:val="16"/>
      <w:ind w:right="360" w:firstLine="360"/>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DC0CAB">
                          <w:pPr>
                            <w:pStyle w:val="16"/>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TnCo8x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5wqPMQIAAGUEAAAOAAAAAAAAAAEAIAAAAB8BAABkcnMvZTJvRG9jLnhtbFBLBQYA&#10;AAAABgAGAFkBAADCBQAAAAA=&#10;">
              <v:fill on="f" focussize="0,0"/>
              <v:stroke on="f" weight="0.5pt"/>
              <v:imagedata o:title=""/>
              <o:lock v:ext="edit" aspectratio="f"/>
              <v:textbox inset="0mm,0mm,0mm,0mm" style="mso-fit-shape-to-text:t;">
                <w:txbxContent>
                  <w:p w14:paraId="4BDC0CAB">
                    <w:pPr>
                      <w:pStyle w:val="16"/>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4CC8D">
    <w:pPr>
      <w:pStyle w:val="16"/>
      <w:ind w:right="360" w:firstLine="360"/>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297180" cy="131445"/>
              <wp:effectExtent l="0" t="0" r="0" b="0"/>
              <wp:wrapNone/>
              <wp:docPr id="119" name="文本框 6"/>
              <wp:cNvGraphicFramePr/>
              <a:graphic xmlns:a="http://schemas.openxmlformats.org/drawingml/2006/main">
                <a:graphicData uri="http://schemas.microsoft.com/office/word/2010/wordprocessingShape">
                  <wps:wsp>
                    <wps:cNvSpPr txBox="1"/>
                    <wps:spPr>
                      <a:xfrm>
                        <a:off x="0" y="0"/>
                        <a:ext cx="297180" cy="131445"/>
                      </a:xfrm>
                      <a:prstGeom prst="rect">
                        <a:avLst/>
                      </a:prstGeom>
                      <a:noFill/>
                      <a:ln>
                        <a:noFill/>
                      </a:ln>
                    </wps:spPr>
                    <wps:txbx>
                      <w:txbxContent>
                        <w:p w14:paraId="24649213">
                          <w:pPr>
                            <w:pStyle w:val="16"/>
                          </w:pPr>
                          <w:r>
                            <w:fldChar w:fldCharType="begin"/>
                          </w:r>
                          <w:r>
                            <w:instrText xml:space="preserve"> PAGE  \* MERGEFORMAT </w:instrText>
                          </w:r>
                          <w:r>
                            <w:fldChar w:fldCharType="separate"/>
                          </w:r>
                          <w:r>
                            <w:t>1</w:t>
                          </w:r>
                          <w:r>
                            <w:fldChar w:fldCharType="end"/>
                          </w:r>
                        </w:p>
                      </w:txbxContent>
                    </wps:txbx>
                    <wps:bodyPr vert="horz" wrap="square" lIns="0" tIns="0" rIns="0" bIns="0" anchor="t" anchorCtr="0">
                      <a:spAutoFit/>
                    </wps:bodyPr>
                  </wps:wsp>
                </a:graphicData>
              </a:graphic>
            </wp:anchor>
          </w:drawing>
        </mc:Choice>
        <mc:Fallback>
          <w:pict>
            <v:shape id="文本框 6" o:spid="_x0000_s1026" o:spt="202" type="#_x0000_t202" style="position:absolute;left:0pt;margin-top:0pt;height:10.35pt;width:23.4pt;mso-position-horizontal:center;mso-position-horizontal-relative:margin;z-index:251662336;mso-width-relative:page;mso-height-relative:page;" filled="f" stroked="f" coordsize="21600,21600" o:gfxdata="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HCyfJXRAAAAAwEAAA8AAAAAAAAA&#10;AQAgAAAAIgAAAGRycy9kb3ducmV2LnhtbFBLAQIUABQAAAAIAIdO4kAvxNx/3wEAALQDAAAOAAAA&#10;AAAAAAEAIAAAACABAABkcnMvZTJvRG9jLnhtbFBLBQYAAAAABgAGAFkBAABxBQAAAAA=&#10;">
              <v:fill on="f" focussize="0,0"/>
              <v:stroke on="f"/>
              <v:imagedata o:title=""/>
              <o:lock v:ext="edit" aspectratio="f"/>
              <v:textbox inset="0mm,0mm,0mm,0mm" style="mso-fit-shape-to-text:t;">
                <w:txbxContent>
                  <w:p w14:paraId="24649213">
                    <w:pPr>
                      <w:pStyle w:val="1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C68101">
    <w:pPr>
      <w:pStyle w:val="16"/>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2EB235">
                          <w:pPr>
                            <w:pStyle w:val="16"/>
                          </w:pPr>
                          <w:r>
                            <w:fldChar w:fldCharType="begin"/>
                          </w:r>
                          <w:r>
                            <w:instrText xml:space="preserve"> PAGE  \* MERGEFORMAT </w:instrText>
                          </w:r>
                          <w:r>
                            <w:fldChar w:fldCharType="separate"/>
                          </w:r>
                          <w:r>
                            <w:t>3</w:t>
                          </w:r>
                          <w:r>
                            <w:fldChar w:fldCharType="end"/>
                          </w:r>
                        </w:p>
                      </w:txbxContent>
                    </wps:txbx>
                    <wps:bodyPr vert="horz" wrap="none" lIns="0" tIns="0" rIns="0" bIns="0" anchor="t" anchorCtr="0">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ql5uc8AAAAFAQAADwAAAAAAAAABACAAAAAiAAAA&#10;ZHJzL2Rvd25yZXYueG1sUEsBAhQAFAAAAAgAh07iQFoWbI/XAQAAtAMAAA4AAAAAAAAAAQAgAAAA&#10;HgEAAGRycy9lMm9Eb2MueG1sUEsFBgAAAAAGAAYAWQEAAGcFAAAAAA==&#10;">
              <v:fill on="f" focussize="0,0"/>
              <v:stroke on="f"/>
              <v:imagedata o:title=""/>
              <o:lock v:ext="edit" aspectratio="f"/>
              <v:textbox inset="0mm,0mm,0mm,0mm" style="mso-fit-shape-to-text:t;">
                <w:txbxContent>
                  <w:p w14:paraId="492EB235">
                    <w:pPr>
                      <w:pStyle w:val="16"/>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C4CFDC">
    <w:pPr>
      <w:pStyle w:val="16"/>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7732857">
                          <w:pPr>
                            <w:pStyle w:val="16"/>
                          </w:pPr>
                          <w:r>
                            <w:fldChar w:fldCharType="begin"/>
                          </w:r>
                          <w:r>
                            <w:instrText xml:space="preserve"> PAGE  \* MERGEFORMAT </w:instrText>
                          </w:r>
                          <w:r>
                            <w:fldChar w:fldCharType="separate"/>
                          </w:r>
                          <w:r>
                            <w:t>3</w:t>
                          </w:r>
                          <w:r>
                            <w:fldChar w:fldCharType="end"/>
                          </w:r>
                        </w:p>
                      </w:txbxContent>
                    </wps:txbx>
                    <wps:bodyPr vert="horz" wrap="none" lIns="0" tIns="0" rIns="0" bIns="0" anchor="t" anchorCtr="0">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OqXm5zwAAAAUBAAAPAAAAAAAAAAEAIAAAACIA&#10;AABkcnMvZG93bnJldi54bWxQSwECFAAUAAAACACHTuJA5UVuI9kBAAC0AwAADgAAAAAAAAABACAA&#10;AAAeAQAAZHJzL2Uyb0RvYy54bWxQSwUGAAAAAAYABgBZAQAAaQUAAAAA&#10;">
              <v:fill on="f" focussize="0,0"/>
              <v:stroke on="f"/>
              <v:imagedata o:title=""/>
              <o:lock v:ext="edit" aspectratio="f"/>
              <v:textbox inset="0mm,0mm,0mm,0mm" style="mso-fit-shape-to-text:t;">
                <w:txbxContent>
                  <w:p w14:paraId="27732857">
                    <w:pPr>
                      <w:pStyle w:val="16"/>
                    </w:pPr>
                    <w:r>
                      <w:fldChar w:fldCharType="begin"/>
                    </w:r>
                    <w:r>
                      <w:instrText xml:space="preserve"> PAGE  \* MERGEFORMAT </w:instrText>
                    </w:r>
                    <w:r>
                      <w:fldChar w:fldCharType="separate"/>
                    </w:r>
                    <w:r>
                      <w:t>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F056D9">
    <w:pPr>
      <w:pStyle w:val="17"/>
      <w:pBdr>
        <w:bottom w:val="none" w:color="auto" w:sz="0" w:space="1"/>
      </w:pBdr>
      <w:jc w:val="center"/>
      <w:rPr>
        <w:rFonts w:hint="default" w:eastAsia="宋体"/>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4B598">
    <w:pPr>
      <w:pStyle w:val="17"/>
      <w:pBdr>
        <w:bottom w:val="none" w:color="auto" w:sz="0" w:space="1"/>
      </w:pBdr>
      <w:jc w:val="right"/>
      <w:rPr>
        <w:rFonts w:hint="default" w:eastAsia="宋体"/>
        <w:lang w:val="en-US"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387C0">
    <w:pPr>
      <w:pStyle w:val="17"/>
      <w:pBdr>
        <w:bottom w:val="single" w:color="auto" w:sz="4" w:space="1"/>
      </w:pBdr>
      <w:spacing w:line="360" w:lineRule="auto"/>
      <w:jc w:val="right"/>
      <w:rPr>
        <w:rFonts w:hint="default"/>
        <w:lang w:val="en-US" w:eastAsia="zh-CN"/>
      </w:rPr>
    </w:pPr>
    <w:r>
      <w:rPr>
        <w:rFonts w:hint="eastAsia"/>
        <w:lang w:val="en-US" w:eastAsia="zh-CN"/>
      </w:rPr>
      <w:t>湖南童记三利和食品有限公司年产5000吨肉制品和3000吨鹌鹑蛋项目环境影响报告表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8F1FD8">
    <w:pPr>
      <w:spacing w:line="14" w:lineRule="auto"/>
      <w:ind w:firstLine="400"/>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7A4139"/>
    <w:multiLevelType w:val="multilevel"/>
    <w:tmpl w:val="817A4139"/>
    <w:lvl w:ilvl="0" w:tentative="0">
      <w:start w:val="1"/>
      <w:numFmt w:val="decimal"/>
      <w:suff w:val="space"/>
      <w:lvlText w:val="表4-%1"/>
      <w:lvlJc w:val="center"/>
      <w:pPr>
        <w:tabs>
          <w:tab w:val="left" w:pos="0"/>
        </w:tabs>
        <w:ind w:left="0" w:firstLine="0"/>
      </w:pPr>
      <w:rPr>
        <w:rFonts w:hint="default" w:ascii="Times New Roman" w:hAnsi="Times New Roman" w:eastAsia="宋体" w:cs="宋体"/>
        <w:b/>
        <w:bCs/>
        <w:snapToGrid w:val="0"/>
        <w:sz w:val="24"/>
        <w:szCs w:val="24"/>
      </w:rPr>
    </w:lvl>
    <w:lvl w:ilvl="1" w:tentative="0">
      <w:start w:val="1"/>
      <w:numFmt w:val="lowerLetter"/>
      <w:lvlText w:val="%2)"/>
      <w:lvlJc w:val="left"/>
      <w:pPr>
        <w:ind w:left="3392" w:hanging="420"/>
      </w:pPr>
      <w:rPr>
        <w:rFonts w:hint="default" w:ascii="宋体" w:hAnsi="宋体" w:eastAsia="宋体" w:cs="宋体"/>
      </w:rPr>
    </w:lvl>
    <w:lvl w:ilvl="2" w:tentative="0">
      <w:start w:val="1"/>
      <w:numFmt w:val="lowerRoman"/>
      <w:lvlText w:val="%3."/>
      <w:lvlJc w:val="right"/>
      <w:pPr>
        <w:ind w:left="3812" w:hanging="420"/>
      </w:pPr>
    </w:lvl>
    <w:lvl w:ilvl="3" w:tentative="0">
      <w:start w:val="1"/>
      <w:numFmt w:val="decimal"/>
      <w:lvlText w:val="%4."/>
      <w:lvlJc w:val="left"/>
      <w:pPr>
        <w:ind w:left="4232" w:hanging="420"/>
      </w:pPr>
    </w:lvl>
    <w:lvl w:ilvl="4" w:tentative="0">
      <w:start w:val="1"/>
      <w:numFmt w:val="lowerLetter"/>
      <w:lvlText w:val="%5)"/>
      <w:lvlJc w:val="left"/>
      <w:pPr>
        <w:ind w:left="4652" w:hanging="420"/>
      </w:pPr>
    </w:lvl>
    <w:lvl w:ilvl="5" w:tentative="0">
      <w:start w:val="1"/>
      <w:numFmt w:val="lowerRoman"/>
      <w:lvlText w:val="%6."/>
      <w:lvlJc w:val="right"/>
      <w:pPr>
        <w:ind w:left="5072" w:hanging="420"/>
      </w:pPr>
    </w:lvl>
    <w:lvl w:ilvl="6" w:tentative="0">
      <w:start w:val="1"/>
      <w:numFmt w:val="decimal"/>
      <w:lvlText w:val="%7."/>
      <w:lvlJc w:val="left"/>
      <w:pPr>
        <w:ind w:left="5492" w:hanging="420"/>
      </w:pPr>
    </w:lvl>
    <w:lvl w:ilvl="7" w:tentative="0">
      <w:start w:val="1"/>
      <w:numFmt w:val="lowerLetter"/>
      <w:lvlText w:val="%8)"/>
      <w:lvlJc w:val="left"/>
      <w:pPr>
        <w:ind w:left="5912" w:hanging="420"/>
      </w:pPr>
    </w:lvl>
    <w:lvl w:ilvl="8" w:tentative="0">
      <w:start w:val="1"/>
      <w:numFmt w:val="lowerRoman"/>
      <w:lvlText w:val="%9."/>
      <w:lvlJc w:val="right"/>
      <w:pPr>
        <w:ind w:left="6332" w:hanging="420"/>
      </w:pPr>
    </w:lvl>
  </w:abstractNum>
  <w:abstractNum w:abstractNumId="1">
    <w:nsid w:val="837335AA"/>
    <w:multiLevelType w:val="singleLevel"/>
    <w:tmpl w:val="837335AA"/>
    <w:lvl w:ilvl="0" w:tentative="0">
      <w:start w:val="1"/>
      <w:numFmt w:val="decimal"/>
      <w:suff w:val="space"/>
      <w:lvlText w:val="%1."/>
      <w:lvlJc w:val="left"/>
    </w:lvl>
  </w:abstractNum>
  <w:abstractNum w:abstractNumId="2">
    <w:nsid w:val="97B18D13"/>
    <w:multiLevelType w:val="multilevel"/>
    <w:tmpl w:val="97B18D13"/>
    <w:lvl w:ilvl="0" w:tentative="0">
      <w:start w:val="1"/>
      <w:numFmt w:val="decimal"/>
      <w:suff w:val="space"/>
      <w:lvlText w:val="表2-%1"/>
      <w:lvlJc w:val="center"/>
      <w:pPr>
        <w:tabs>
          <w:tab w:val="left" w:pos="0"/>
        </w:tabs>
        <w:ind w:left="0" w:firstLine="0"/>
      </w:pPr>
      <w:rPr>
        <w:rFonts w:hint="default" w:ascii="Times New Roman" w:hAnsi="Times New Roman" w:eastAsia="宋体" w:cs="Times New Roman"/>
        <w:b/>
        <w:bCs/>
        <w:snapToGrid w:val="0"/>
        <w:sz w:val="24"/>
        <w:szCs w:val="24"/>
      </w:rPr>
    </w:lvl>
    <w:lvl w:ilvl="1" w:tentative="0">
      <w:start w:val="1"/>
      <w:numFmt w:val="lowerLetter"/>
      <w:lvlText w:val="%2)"/>
      <w:lvlJc w:val="left"/>
      <w:pPr>
        <w:ind w:left="3392" w:hanging="420"/>
      </w:pPr>
      <w:rPr>
        <w:rFonts w:hint="default" w:ascii="宋体" w:hAnsi="宋体" w:eastAsia="宋体" w:cs="宋体"/>
      </w:rPr>
    </w:lvl>
    <w:lvl w:ilvl="2" w:tentative="0">
      <w:start w:val="1"/>
      <w:numFmt w:val="lowerRoman"/>
      <w:lvlText w:val="%3."/>
      <w:lvlJc w:val="right"/>
      <w:pPr>
        <w:ind w:left="3812" w:hanging="420"/>
      </w:pPr>
    </w:lvl>
    <w:lvl w:ilvl="3" w:tentative="0">
      <w:start w:val="1"/>
      <w:numFmt w:val="decimal"/>
      <w:lvlText w:val="%4."/>
      <w:lvlJc w:val="left"/>
      <w:pPr>
        <w:ind w:left="4232" w:hanging="420"/>
      </w:pPr>
    </w:lvl>
    <w:lvl w:ilvl="4" w:tentative="0">
      <w:start w:val="1"/>
      <w:numFmt w:val="lowerLetter"/>
      <w:lvlText w:val="%5)"/>
      <w:lvlJc w:val="left"/>
      <w:pPr>
        <w:ind w:left="4652" w:hanging="420"/>
      </w:pPr>
    </w:lvl>
    <w:lvl w:ilvl="5" w:tentative="0">
      <w:start w:val="1"/>
      <w:numFmt w:val="lowerRoman"/>
      <w:lvlText w:val="%6."/>
      <w:lvlJc w:val="right"/>
      <w:pPr>
        <w:ind w:left="5072" w:hanging="420"/>
      </w:pPr>
    </w:lvl>
    <w:lvl w:ilvl="6" w:tentative="0">
      <w:start w:val="1"/>
      <w:numFmt w:val="decimal"/>
      <w:lvlText w:val="%7."/>
      <w:lvlJc w:val="left"/>
      <w:pPr>
        <w:ind w:left="5492" w:hanging="420"/>
      </w:pPr>
    </w:lvl>
    <w:lvl w:ilvl="7" w:tentative="0">
      <w:start w:val="1"/>
      <w:numFmt w:val="lowerLetter"/>
      <w:lvlText w:val="%8)"/>
      <w:lvlJc w:val="left"/>
      <w:pPr>
        <w:ind w:left="5912" w:hanging="420"/>
      </w:pPr>
    </w:lvl>
    <w:lvl w:ilvl="8" w:tentative="0">
      <w:start w:val="1"/>
      <w:numFmt w:val="lowerRoman"/>
      <w:lvlText w:val="%9."/>
      <w:lvlJc w:val="right"/>
      <w:pPr>
        <w:ind w:left="6332" w:hanging="420"/>
      </w:pPr>
    </w:lvl>
  </w:abstractNum>
  <w:abstractNum w:abstractNumId="3">
    <w:nsid w:val="9B04B6A2"/>
    <w:multiLevelType w:val="singleLevel"/>
    <w:tmpl w:val="9B04B6A2"/>
    <w:lvl w:ilvl="0" w:tentative="0">
      <w:start w:val="1"/>
      <w:numFmt w:val="decimal"/>
      <w:suff w:val="nothing"/>
      <w:lvlText w:val="附件%1："/>
      <w:lvlJc w:val="left"/>
      <w:pPr>
        <w:ind w:left="282" w:hanging="282"/>
      </w:pPr>
      <w:rPr>
        <w:rFonts w:hint="default" w:ascii="Times New Roman" w:hAnsi="Times New Roman" w:eastAsia="宋体" w:cs="Times New Roman"/>
        <w:b/>
        <w:bCs/>
        <w:sz w:val="28"/>
        <w:szCs w:val="28"/>
      </w:rPr>
    </w:lvl>
  </w:abstractNum>
  <w:abstractNum w:abstractNumId="4">
    <w:nsid w:val="AB624A20"/>
    <w:multiLevelType w:val="singleLevel"/>
    <w:tmpl w:val="AB624A20"/>
    <w:lvl w:ilvl="0" w:tentative="0">
      <w:start w:val="3"/>
      <w:numFmt w:val="chineseCounting"/>
      <w:suff w:val="nothing"/>
      <w:lvlText w:val="%1、"/>
      <w:lvlJc w:val="left"/>
      <w:rPr>
        <w:rFonts w:hint="eastAsia"/>
        <w:b/>
        <w:bCs/>
      </w:rPr>
    </w:lvl>
  </w:abstractNum>
  <w:abstractNum w:abstractNumId="5">
    <w:nsid w:val="BBDEBC7F"/>
    <w:multiLevelType w:val="singleLevel"/>
    <w:tmpl w:val="BBDEBC7F"/>
    <w:lvl w:ilvl="0" w:tentative="0">
      <w:start w:val="1"/>
      <w:numFmt w:val="decimal"/>
      <w:lvlText w:val="(%1)"/>
      <w:lvlJc w:val="left"/>
      <w:pPr>
        <w:ind w:left="0" w:leftChars="0" w:firstLine="0" w:firstLineChars="0"/>
      </w:pPr>
      <w:rPr>
        <w:rFonts w:hint="default"/>
      </w:rPr>
    </w:lvl>
  </w:abstractNum>
  <w:abstractNum w:abstractNumId="6">
    <w:nsid w:val="D91BF634"/>
    <w:multiLevelType w:val="singleLevel"/>
    <w:tmpl w:val="D91BF634"/>
    <w:lvl w:ilvl="0" w:tentative="0">
      <w:start w:val="1"/>
      <w:numFmt w:val="decimal"/>
      <w:suff w:val="nothing"/>
      <w:lvlText w:val="%1、"/>
      <w:lvlJc w:val="left"/>
    </w:lvl>
  </w:abstractNum>
  <w:abstractNum w:abstractNumId="7">
    <w:nsid w:val="E9C6EA90"/>
    <w:multiLevelType w:val="singleLevel"/>
    <w:tmpl w:val="E9C6EA90"/>
    <w:lvl w:ilvl="0" w:tentative="0">
      <w:start w:val="1"/>
      <w:numFmt w:val="decimal"/>
      <w:suff w:val="nothing"/>
      <w:lvlText w:val="（%1）"/>
      <w:lvlJc w:val="left"/>
    </w:lvl>
  </w:abstractNum>
  <w:abstractNum w:abstractNumId="8">
    <w:nsid w:val="F59BAB3F"/>
    <w:multiLevelType w:val="multilevel"/>
    <w:tmpl w:val="F59BAB3F"/>
    <w:lvl w:ilvl="0" w:tentative="0">
      <w:start w:val="1"/>
      <w:numFmt w:val="decimal"/>
      <w:suff w:val="nothing"/>
      <w:lvlText w:val="%1、"/>
      <w:lvlJc w:val="left"/>
      <w:rPr>
        <w:rFonts w:hint="default"/>
        <w:b w:val="0"/>
        <w:bCs w:val="0"/>
      </w:rPr>
    </w:lvl>
    <w:lvl w:ilvl="1" w:tentative="0">
      <w:start w:val="1"/>
      <w:numFmt w:val="decimal"/>
      <w:lvlText w:val="(%2)"/>
      <w:lvlJc w:val="left"/>
      <w:pPr>
        <w:tabs>
          <w:tab w:val="left" w:pos="840"/>
        </w:tabs>
        <w:ind w:left="840" w:leftChars="0" w:hanging="420" w:firstLineChars="0"/>
      </w:pPr>
      <w:rPr>
        <w:rFonts w:hint="default"/>
        <w:b w:val="0"/>
        <w:bCs w:val="0"/>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
    <w:nsid w:val="FC1491D4"/>
    <w:multiLevelType w:val="singleLevel"/>
    <w:tmpl w:val="FC1491D4"/>
    <w:lvl w:ilvl="0" w:tentative="0">
      <w:start w:val="1"/>
      <w:numFmt w:val="decimal"/>
      <w:suff w:val="nothing"/>
      <w:lvlText w:val="（%1）"/>
      <w:lvlJc w:val="left"/>
    </w:lvl>
  </w:abstractNum>
  <w:abstractNum w:abstractNumId="10">
    <w:nsid w:val="00000006"/>
    <w:multiLevelType w:val="multilevel"/>
    <w:tmpl w:val="00000006"/>
    <w:lvl w:ilvl="0" w:tentative="0">
      <w:start w:val="1"/>
      <w:numFmt w:val="lowerLetter"/>
      <w:lvlText w:val="%1."/>
      <w:lvlJc w:val="left"/>
      <w:pPr>
        <w:tabs>
          <w:tab w:val="left" w:pos="420"/>
        </w:tabs>
        <w:ind w:left="0" w:firstLine="539"/>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37"/>
      <w:lvlText w:val="%3."/>
      <w:lvlJc w:val="right"/>
      <w:pPr>
        <w:tabs>
          <w:tab w:val="left" w:pos="1260"/>
        </w:tabs>
        <w:ind w:left="1260" w:hanging="420"/>
      </w:pPr>
    </w:lvl>
    <w:lvl w:ilvl="3" w:tentative="0">
      <w:start w:val="1"/>
      <w:numFmt w:val="decimal"/>
      <w:pStyle w:val="36"/>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07A31584"/>
    <w:multiLevelType w:val="singleLevel"/>
    <w:tmpl w:val="07A31584"/>
    <w:lvl w:ilvl="0" w:tentative="0">
      <w:start w:val="1"/>
      <w:numFmt w:val="decimal"/>
      <w:suff w:val="nothing"/>
      <w:lvlText w:val="%1、"/>
      <w:lvlJc w:val="left"/>
      <w:rPr>
        <w:rFonts w:hint="default"/>
        <w:b/>
        <w:bCs/>
        <w:color w:val="auto"/>
        <w:sz w:val="28"/>
        <w:szCs w:val="28"/>
        <w:u w:val="none"/>
      </w:rPr>
    </w:lvl>
  </w:abstractNum>
  <w:abstractNum w:abstractNumId="12">
    <w:nsid w:val="09903C77"/>
    <w:multiLevelType w:val="multilevel"/>
    <w:tmpl w:val="09903C77"/>
    <w:lvl w:ilvl="0" w:tentative="0">
      <w:start w:val="1"/>
      <w:numFmt w:val="decimal"/>
      <w:suff w:val="space"/>
      <w:lvlText w:val="表3-%1"/>
      <w:lvlJc w:val="center"/>
      <w:pPr>
        <w:tabs>
          <w:tab w:val="left" w:pos="0"/>
        </w:tabs>
        <w:ind w:left="0" w:firstLine="0"/>
      </w:pPr>
      <w:rPr>
        <w:rFonts w:hint="default" w:ascii="Times New Roman" w:hAnsi="Times New Roman" w:eastAsia="宋体" w:cs="宋体"/>
        <w:b/>
        <w:bCs/>
        <w:snapToGrid w:val="0"/>
        <w:sz w:val="24"/>
        <w:szCs w:val="24"/>
      </w:rPr>
    </w:lvl>
    <w:lvl w:ilvl="1" w:tentative="0">
      <w:start w:val="1"/>
      <w:numFmt w:val="lowerLetter"/>
      <w:lvlText w:val="%2)"/>
      <w:lvlJc w:val="left"/>
      <w:pPr>
        <w:ind w:left="3392" w:hanging="420"/>
      </w:pPr>
      <w:rPr>
        <w:rFonts w:hint="default" w:ascii="宋体" w:hAnsi="宋体" w:eastAsia="宋体" w:cs="宋体"/>
      </w:rPr>
    </w:lvl>
    <w:lvl w:ilvl="2" w:tentative="0">
      <w:start w:val="1"/>
      <w:numFmt w:val="lowerRoman"/>
      <w:lvlText w:val="%3."/>
      <w:lvlJc w:val="right"/>
      <w:pPr>
        <w:ind w:left="3812" w:hanging="420"/>
      </w:pPr>
    </w:lvl>
    <w:lvl w:ilvl="3" w:tentative="0">
      <w:start w:val="1"/>
      <w:numFmt w:val="decimal"/>
      <w:lvlText w:val="%4."/>
      <w:lvlJc w:val="left"/>
      <w:pPr>
        <w:ind w:left="4232" w:hanging="420"/>
      </w:pPr>
    </w:lvl>
    <w:lvl w:ilvl="4" w:tentative="0">
      <w:start w:val="1"/>
      <w:numFmt w:val="lowerLetter"/>
      <w:lvlText w:val="%5)"/>
      <w:lvlJc w:val="left"/>
      <w:pPr>
        <w:ind w:left="4652" w:hanging="420"/>
      </w:pPr>
    </w:lvl>
    <w:lvl w:ilvl="5" w:tentative="0">
      <w:start w:val="1"/>
      <w:numFmt w:val="lowerRoman"/>
      <w:lvlText w:val="%6."/>
      <w:lvlJc w:val="right"/>
      <w:pPr>
        <w:ind w:left="5072" w:hanging="420"/>
      </w:pPr>
    </w:lvl>
    <w:lvl w:ilvl="6" w:tentative="0">
      <w:start w:val="1"/>
      <w:numFmt w:val="decimal"/>
      <w:lvlText w:val="%7."/>
      <w:lvlJc w:val="left"/>
      <w:pPr>
        <w:ind w:left="5492" w:hanging="420"/>
      </w:pPr>
    </w:lvl>
    <w:lvl w:ilvl="7" w:tentative="0">
      <w:start w:val="1"/>
      <w:numFmt w:val="lowerLetter"/>
      <w:lvlText w:val="%8)"/>
      <w:lvlJc w:val="left"/>
      <w:pPr>
        <w:ind w:left="5912" w:hanging="420"/>
      </w:pPr>
    </w:lvl>
    <w:lvl w:ilvl="8" w:tentative="0">
      <w:start w:val="1"/>
      <w:numFmt w:val="lowerRoman"/>
      <w:lvlText w:val="%9."/>
      <w:lvlJc w:val="right"/>
      <w:pPr>
        <w:ind w:left="6332" w:hanging="420"/>
      </w:pPr>
    </w:lvl>
  </w:abstractNum>
  <w:abstractNum w:abstractNumId="13">
    <w:nsid w:val="14A1A027"/>
    <w:multiLevelType w:val="singleLevel"/>
    <w:tmpl w:val="14A1A027"/>
    <w:lvl w:ilvl="0" w:tentative="0">
      <w:start w:val="4"/>
      <w:numFmt w:val="chineseCounting"/>
      <w:suff w:val="nothing"/>
      <w:lvlText w:val="%1、"/>
      <w:lvlJc w:val="left"/>
      <w:rPr>
        <w:rFonts w:hint="eastAsia"/>
        <w:b/>
        <w:bCs/>
        <w:sz w:val="21"/>
        <w:szCs w:val="21"/>
      </w:rPr>
    </w:lvl>
  </w:abstractNum>
  <w:abstractNum w:abstractNumId="14">
    <w:nsid w:val="256C7B06"/>
    <w:multiLevelType w:val="multilevel"/>
    <w:tmpl w:val="256C7B06"/>
    <w:lvl w:ilvl="0" w:tentative="0">
      <w:start w:val="1"/>
      <w:numFmt w:val="decimal"/>
      <w:suff w:val="space"/>
      <w:lvlText w:val="%1."/>
      <w:lvlJc w:val="left"/>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
    <w:nsid w:val="2AA31C97"/>
    <w:multiLevelType w:val="singleLevel"/>
    <w:tmpl w:val="2AA31C97"/>
    <w:lvl w:ilvl="0" w:tentative="0">
      <w:start w:val="2"/>
      <w:numFmt w:val="decimal"/>
      <w:suff w:val="nothing"/>
      <w:lvlText w:val="%1、"/>
      <w:lvlJc w:val="left"/>
    </w:lvl>
  </w:abstractNum>
  <w:abstractNum w:abstractNumId="16">
    <w:nsid w:val="3720449F"/>
    <w:multiLevelType w:val="singleLevel"/>
    <w:tmpl w:val="3720449F"/>
    <w:lvl w:ilvl="0" w:tentative="0">
      <w:start w:val="1"/>
      <w:numFmt w:val="decimal"/>
      <w:suff w:val="nothing"/>
      <w:lvlText w:val="%1、"/>
      <w:lvlJc w:val="left"/>
    </w:lvl>
  </w:abstractNum>
  <w:abstractNum w:abstractNumId="17">
    <w:nsid w:val="3CC75FBD"/>
    <w:multiLevelType w:val="singleLevel"/>
    <w:tmpl w:val="3CC75FBD"/>
    <w:lvl w:ilvl="0" w:tentative="0">
      <w:start w:val="1"/>
      <w:numFmt w:val="decimal"/>
      <w:suff w:val="nothing"/>
      <w:lvlText w:val="（%1）"/>
      <w:lvlJc w:val="left"/>
    </w:lvl>
  </w:abstractNum>
  <w:abstractNum w:abstractNumId="18">
    <w:nsid w:val="43C1D30F"/>
    <w:multiLevelType w:val="singleLevel"/>
    <w:tmpl w:val="43C1D30F"/>
    <w:lvl w:ilvl="0" w:tentative="0">
      <w:start w:val="1"/>
      <w:numFmt w:val="decimal"/>
      <w:suff w:val="nothing"/>
      <w:lvlText w:val="%1、"/>
      <w:lvlJc w:val="left"/>
      <w:rPr>
        <w:rFonts w:hint="default"/>
        <w:sz w:val="24"/>
        <w:szCs w:val="24"/>
      </w:rPr>
    </w:lvl>
  </w:abstractNum>
  <w:abstractNum w:abstractNumId="19">
    <w:nsid w:val="4A1430F5"/>
    <w:multiLevelType w:val="singleLevel"/>
    <w:tmpl w:val="4A1430F5"/>
    <w:lvl w:ilvl="0" w:tentative="0">
      <w:start w:val="3"/>
      <w:numFmt w:val="chineseCounting"/>
      <w:suff w:val="nothing"/>
      <w:lvlText w:val="（%1）"/>
      <w:lvlJc w:val="left"/>
      <w:rPr>
        <w:rFonts w:hint="eastAsia"/>
      </w:rPr>
    </w:lvl>
  </w:abstractNum>
  <w:abstractNum w:abstractNumId="20">
    <w:nsid w:val="4F5D34AE"/>
    <w:multiLevelType w:val="singleLevel"/>
    <w:tmpl w:val="4F5D34AE"/>
    <w:lvl w:ilvl="0" w:tentative="0">
      <w:start w:val="1"/>
      <w:numFmt w:val="decimal"/>
      <w:suff w:val="space"/>
      <w:lvlText w:val="%1."/>
      <w:lvlJc w:val="left"/>
    </w:lvl>
  </w:abstractNum>
  <w:abstractNum w:abstractNumId="21">
    <w:nsid w:val="61DA0748"/>
    <w:multiLevelType w:val="singleLevel"/>
    <w:tmpl w:val="61DA0748"/>
    <w:lvl w:ilvl="0" w:tentative="0">
      <w:start w:val="4"/>
      <w:numFmt w:val="decimal"/>
      <w:suff w:val="nothing"/>
      <w:lvlText w:val="（%1）"/>
      <w:lvlJc w:val="left"/>
    </w:lvl>
  </w:abstractNum>
  <w:abstractNum w:abstractNumId="22">
    <w:nsid w:val="694AA765"/>
    <w:multiLevelType w:val="multilevel"/>
    <w:tmpl w:val="694AA765"/>
    <w:lvl w:ilvl="0" w:tentative="0">
      <w:start w:val="1"/>
      <w:numFmt w:val="decimal"/>
      <w:lvlText w:val="表1-%1"/>
      <w:lvlJc w:val="center"/>
      <w:pPr>
        <w:tabs>
          <w:tab w:val="left" w:pos="0"/>
        </w:tabs>
        <w:ind w:left="0" w:firstLine="0"/>
      </w:pPr>
      <w:rPr>
        <w:rFonts w:hint="default" w:ascii="Times New Roman" w:hAnsi="Times New Roman" w:eastAsia="宋体" w:cs="Times New Roman"/>
        <w:b/>
        <w:bCs/>
        <w:snapToGrid w:val="0"/>
        <w:sz w:val="24"/>
        <w:szCs w:val="24"/>
      </w:rPr>
    </w:lvl>
    <w:lvl w:ilvl="1" w:tentative="0">
      <w:start w:val="1"/>
      <w:numFmt w:val="lowerLetter"/>
      <w:lvlText w:val="%2)"/>
      <w:lvlJc w:val="left"/>
      <w:pPr>
        <w:ind w:left="3392" w:hanging="420"/>
      </w:pPr>
    </w:lvl>
    <w:lvl w:ilvl="2" w:tentative="0">
      <w:start w:val="1"/>
      <w:numFmt w:val="lowerRoman"/>
      <w:lvlText w:val="%3."/>
      <w:lvlJc w:val="right"/>
      <w:pPr>
        <w:ind w:left="3812" w:hanging="420"/>
      </w:pPr>
    </w:lvl>
    <w:lvl w:ilvl="3" w:tentative="0">
      <w:start w:val="1"/>
      <w:numFmt w:val="decimal"/>
      <w:lvlText w:val="%4."/>
      <w:lvlJc w:val="left"/>
      <w:pPr>
        <w:ind w:left="4232" w:hanging="420"/>
      </w:pPr>
    </w:lvl>
    <w:lvl w:ilvl="4" w:tentative="0">
      <w:start w:val="1"/>
      <w:numFmt w:val="lowerLetter"/>
      <w:lvlText w:val="%5)"/>
      <w:lvlJc w:val="left"/>
      <w:pPr>
        <w:ind w:left="4652" w:hanging="420"/>
      </w:pPr>
    </w:lvl>
    <w:lvl w:ilvl="5" w:tentative="0">
      <w:start w:val="1"/>
      <w:numFmt w:val="lowerRoman"/>
      <w:lvlText w:val="%6."/>
      <w:lvlJc w:val="right"/>
      <w:pPr>
        <w:ind w:left="5072" w:hanging="420"/>
      </w:pPr>
    </w:lvl>
    <w:lvl w:ilvl="6" w:tentative="0">
      <w:start w:val="1"/>
      <w:numFmt w:val="decimal"/>
      <w:lvlText w:val="%7."/>
      <w:lvlJc w:val="left"/>
      <w:pPr>
        <w:ind w:left="5492" w:hanging="420"/>
      </w:pPr>
    </w:lvl>
    <w:lvl w:ilvl="7" w:tentative="0">
      <w:start w:val="1"/>
      <w:numFmt w:val="lowerLetter"/>
      <w:lvlText w:val="%8)"/>
      <w:lvlJc w:val="left"/>
      <w:pPr>
        <w:ind w:left="5912" w:hanging="420"/>
      </w:pPr>
    </w:lvl>
    <w:lvl w:ilvl="8" w:tentative="0">
      <w:start w:val="1"/>
      <w:numFmt w:val="lowerRoman"/>
      <w:lvlText w:val="%9."/>
      <w:lvlJc w:val="right"/>
      <w:pPr>
        <w:ind w:left="6332" w:hanging="420"/>
      </w:pPr>
    </w:lvl>
  </w:abstractNum>
  <w:abstractNum w:abstractNumId="23">
    <w:nsid w:val="779DED63"/>
    <w:multiLevelType w:val="singleLevel"/>
    <w:tmpl w:val="779DED63"/>
    <w:lvl w:ilvl="0" w:tentative="0">
      <w:start w:val="1"/>
      <w:numFmt w:val="decimal"/>
      <w:suff w:val="space"/>
      <w:lvlText w:val="附件%1："/>
      <w:lvlJc w:val="left"/>
      <w:pPr>
        <w:tabs>
          <w:tab w:val="left" w:pos="0"/>
        </w:tabs>
        <w:ind w:left="282" w:hanging="282"/>
      </w:pPr>
      <w:rPr>
        <w:rFonts w:hint="default" w:ascii="Times New Roman" w:hAnsi="Times New Roman" w:eastAsia="宋体" w:cs="Times New Roman"/>
        <w:b/>
        <w:bCs/>
        <w:sz w:val="28"/>
        <w:szCs w:val="28"/>
      </w:rPr>
    </w:lvl>
  </w:abstractNum>
  <w:num w:numId="1">
    <w:abstractNumId w:val="10"/>
  </w:num>
  <w:num w:numId="2">
    <w:abstractNumId w:val="22"/>
  </w:num>
  <w:num w:numId="3">
    <w:abstractNumId w:val="13"/>
  </w:num>
  <w:num w:numId="4">
    <w:abstractNumId w:val="19"/>
  </w:num>
  <w:num w:numId="5">
    <w:abstractNumId w:val="11"/>
  </w:num>
  <w:num w:numId="6">
    <w:abstractNumId w:val="7"/>
  </w:num>
  <w:num w:numId="7">
    <w:abstractNumId w:val="2"/>
  </w:num>
  <w:num w:numId="8">
    <w:abstractNumId w:val="21"/>
  </w:num>
  <w:num w:numId="9">
    <w:abstractNumId w:val="1"/>
  </w:num>
  <w:num w:numId="10">
    <w:abstractNumId w:val="14"/>
  </w:num>
  <w:num w:numId="11">
    <w:abstractNumId w:val="15"/>
  </w:num>
  <w:num w:numId="12">
    <w:abstractNumId w:val="9"/>
  </w:num>
  <w:num w:numId="13">
    <w:abstractNumId w:val="20"/>
  </w:num>
  <w:num w:numId="14">
    <w:abstractNumId w:val="16"/>
  </w:num>
  <w:num w:numId="15">
    <w:abstractNumId w:val="6"/>
  </w:num>
  <w:num w:numId="16">
    <w:abstractNumId w:val="8"/>
  </w:num>
  <w:num w:numId="17">
    <w:abstractNumId w:val="4"/>
  </w:num>
  <w:num w:numId="18">
    <w:abstractNumId w:val="12"/>
  </w:num>
  <w:num w:numId="19">
    <w:abstractNumId w:val="0"/>
  </w:num>
  <w:num w:numId="20">
    <w:abstractNumId w:val="17"/>
  </w:num>
  <w:num w:numId="21">
    <w:abstractNumId w:val="5"/>
  </w:num>
  <w:num w:numId="22">
    <w:abstractNumId w:val="18"/>
  </w:num>
  <w:num w:numId="23">
    <w:abstractNumId w:val="3"/>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1"/>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FhZGY0ZTViYWQyN2I0ZGJhNDk0OThkMjNkNmQ2MDYifQ=="/>
  </w:docVars>
  <w:rsids>
    <w:rsidRoot w:val="113B2CDB"/>
    <w:rsid w:val="000A002F"/>
    <w:rsid w:val="00136648"/>
    <w:rsid w:val="00163AB2"/>
    <w:rsid w:val="0024762D"/>
    <w:rsid w:val="00287FB8"/>
    <w:rsid w:val="002B247F"/>
    <w:rsid w:val="00434A0E"/>
    <w:rsid w:val="0046684B"/>
    <w:rsid w:val="0056486A"/>
    <w:rsid w:val="00783983"/>
    <w:rsid w:val="007F61F4"/>
    <w:rsid w:val="00846033"/>
    <w:rsid w:val="008928D2"/>
    <w:rsid w:val="008E3206"/>
    <w:rsid w:val="00971432"/>
    <w:rsid w:val="00973FB8"/>
    <w:rsid w:val="009F4C1B"/>
    <w:rsid w:val="00A37D4D"/>
    <w:rsid w:val="00B517AD"/>
    <w:rsid w:val="00C95744"/>
    <w:rsid w:val="00D01D1C"/>
    <w:rsid w:val="00D16F0F"/>
    <w:rsid w:val="00DA7C86"/>
    <w:rsid w:val="014F0CA9"/>
    <w:rsid w:val="018C1643"/>
    <w:rsid w:val="01AC3A93"/>
    <w:rsid w:val="021138F7"/>
    <w:rsid w:val="025D08EA"/>
    <w:rsid w:val="028247F4"/>
    <w:rsid w:val="02AF7BBD"/>
    <w:rsid w:val="02B6726E"/>
    <w:rsid w:val="02C1531D"/>
    <w:rsid w:val="02C15581"/>
    <w:rsid w:val="032558AB"/>
    <w:rsid w:val="032F1C82"/>
    <w:rsid w:val="034A3564"/>
    <w:rsid w:val="036839EA"/>
    <w:rsid w:val="038E2FF3"/>
    <w:rsid w:val="03AC2E86"/>
    <w:rsid w:val="03BD7693"/>
    <w:rsid w:val="03D9789E"/>
    <w:rsid w:val="03FE7EAB"/>
    <w:rsid w:val="03FF53AE"/>
    <w:rsid w:val="04283AB7"/>
    <w:rsid w:val="04553F6E"/>
    <w:rsid w:val="04575F38"/>
    <w:rsid w:val="0462668B"/>
    <w:rsid w:val="0486237A"/>
    <w:rsid w:val="048A269D"/>
    <w:rsid w:val="0490144A"/>
    <w:rsid w:val="04983E5B"/>
    <w:rsid w:val="04CC2D79"/>
    <w:rsid w:val="050B40EB"/>
    <w:rsid w:val="051200B1"/>
    <w:rsid w:val="054C3A3E"/>
    <w:rsid w:val="05971BC4"/>
    <w:rsid w:val="05C56ED2"/>
    <w:rsid w:val="05D47115"/>
    <w:rsid w:val="05DE0B9F"/>
    <w:rsid w:val="05E34A52"/>
    <w:rsid w:val="062778AB"/>
    <w:rsid w:val="064918B1"/>
    <w:rsid w:val="066761DB"/>
    <w:rsid w:val="067B1C86"/>
    <w:rsid w:val="06AC0D40"/>
    <w:rsid w:val="06B2302A"/>
    <w:rsid w:val="06BA455D"/>
    <w:rsid w:val="06D51397"/>
    <w:rsid w:val="06F270BC"/>
    <w:rsid w:val="06FF4665"/>
    <w:rsid w:val="07042494"/>
    <w:rsid w:val="07091040"/>
    <w:rsid w:val="07281344"/>
    <w:rsid w:val="074C6282"/>
    <w:rsid w:val="07C5758F"/>
    <w:rsid w:val="07DC35C9"/>
    <w:rsid w:val="07E502BF"/>
    <w:rsid w:val="08432D18"/>
    <w:rsid w:val="08566507"/>
    <w:rsid w:val="08757E93"/>
    <w:rsid w:val="087D3A94"/>
    <w:rsid w:val="088A6B59"/>
    <w:rsid w:val="08D833C0"/>
    <w:rsid w:val="08FF3EAF"/>
    <w:rsid w:val="09D122E9"/>
    <w:rsid w:val="0A0501E5"/>
    <w:rsid w:val="0A073F5D"/>
    <w:rsid w:val="0A3D797F"/>
    <w:rsid w:val="0A60541B"/>
    <w:rsid w:val="0A7D3640"/>
    <w:rsid w:val="0A8235E3"/>
    <w:rsid w:val="0A8B12A6"/>
    <w:rsid w:val="0AAB5DF5"/>
    <w:rsid w:val="0AE57362"/>
    <w:rsid w:val="0AF85654"/>
    <w:rsid w:val="0B1F52D6"/>
    <w:rsid w:val="0B2E5519"/>
    <w:rsid w:val="0B6B22C9"/>
    <w:rsid w:val="0B6E1DBA"/>
    <w:rsid w:val="0B745622"/>
    <w:rsid w:val="0B7A250D"/>
    <w:rsid w:val="0B7F3FC7"/>
    <w:rsid w:val="0B815649"/>
    <w:rsid w:val="0B896BF3"/>
    <w:rsid w:val="0B907F82"/>
    <w:rsid w:val="0C513FC9"/>
    <w:rsid w:val="0C796C68"/>
    <w:rsid w:val="0C7F59E3"/>
    <w:rsid w:val="0C810243"/>
    <w:rsid w:val="0CB67574"/>
    <w:rsid w:val="0CC23DD3"/>
    <w:rsid w:val="0CDD71F7"/>
    <w:rsid w:val="0CE2480D"/>
    <w:rsid w:val="0CE95B9C"/>
    <w:rsid w:val="0D13527A"/>
    <w:rsid w:val="0D197B03"/>
    <w:rsid w:val="0D270472"/>
    <w:rsid w:val="0D411534"/>
    <w:rsid w:val="0D51729D"/>
    <w:rsid w:val="0D7154F4"/>
    <w:rsid w:val="0D955DE9"/>
    <w:rsid w:val="0E2A72C5"/>
    <w:rsid w:val="0E39220B"/>
    <w:rsid w:val="0E464928"/>
    <w:rsid w:val="0E4868F2"/>
    <w:rsid w:val="0E941B37"/>
    <w:rsid w:val="0EDB1514"/>
    <w:rsid w:val="0F0547E3"/>
    <w:rsid w:val="0F0E7B3C"/>
    <w:rsid w:val="0F224FC3"/>
    <w:rsid w:val="0F81504A"/>
    <w:rsid w:val="0F824086"/>
    <w:rsid w:val="0F8B2F3A"/>
    <w:rsid w:val="0FDA7A1E"/>
    <w:rsid w:val="0FE64614"/>
    <w:rsid w:val="102662C3"/>
    <w:rsid w:val="108138E6"/>
    <w:rsid w:val="10987EED"/>
    <w:rsid w:val="111A0C9A"/>
    <w:rsid w:val="11205904"/>
    <w:rsid w:val="1129698F"/>
    <w:rsid w:val="113413B0"/>
    <w:rsid w:val="113B2CDB"/>
    <w:rsid w:val="11C24C0D"/>
    <w:rsid w:val="11C42733"/>
    <w:rsid w:val="11D5049D"/>
    <w:rsid w:val="11F24662"/>
    <w:rsid w:val="122D2087"/>
    <w:rsid w:val="127F615A"/>
    <w:rsid w:val="128A2BF6"/>
    <w:rsid w:val="128B2354"/>
    <w:rsid w:val="12B72298"/>
    <w:rsid w:val="12D02F80"/>
    <w:rsid w:val="12ED1816"/>
    <w:rsid w:val="12FE7EC7"/>
    <w:rsid w:val="13327FC7"/>
    <w:rsid w:val="13763F01"/>
    <w:rsid w:val="13916645"/>
    <w:rsid w:val="13985040"/>
    <w:rsid w:val="13985D34"/>
    <w:rsid w:val="13A66595"/>
    <w:rsid w:val="13D34EB0"/>
    <w:rsid w:val="1437543F"/>
    <w:rsid w:val="14842913"/>
    <w:rsid w:val="14926F76"/>
    <w:rsid w:val="14AB1989"/>
    <w:rsid w:val="14AD42A1"/>
    <w:rsid w:val="15080B89"/>
    <w:rsid w:val="15581B10"/>
    <w:rsid w:val="156264EB"/>
    <w:rsid w:val="15765B66"/>
    <w:rsid w:val="159266A5"/>
    <w:rsid w:val="15B20D6A"/>
    <w:rsid w:val="16175528"/>
    <w:rsid w:val="165E2A90"/>
    <w:rsid w:val="16943D78"/>
    <w:rsid w:val="16A82624"/>
    <w:rsid w:val="16AD3796"/>
    <w:rsid w:val="16CF358F"/>
    <w:rsid w:val="16D74CB7"/>
    <w:rsid w:val="16F21AF1"/>
    <w:rsid w:val="171C6B6E"/>
    <w:rsid w:val="171E6442"/>
    <w:rsid w:val="173C56DA"/>
    <w:rsid w:val="1764566F"/>
    <w:rsid w:val="185C1918"/>
    <w:rsid w:val="189A5F9C"/>
    <w:rsid w:val="18A312F5"/>
    <w:rsid w:val="18D92F68"/>
    <w:rsid w:val="191044B0"/>
    <w:rsid w:val="19263CD4"/>
    <w:rsid w:val="19297320"/>
    <w:rsid w:val="195E16BF"/>
    <w:rsid w:val="19662444"/>
    <w:rsid w:val="196C13D6"/>
    <w:rsid w:val="196D1903"/>
    <w:rsid w:val="19936D79"/>
    <w:rsid w:val="19B25567"/>
    <w:rsid w:val="19CE12D1"/>
    <w:rsid w:val="19D569DF"/>
    <w:rsid w:val="1A2F1202"/>
    <w:rsid w:val="1A65648C"/>
    <w:rsid w:val="1A777E8A"/>
    <w:rsid w:val="1A936CA5"/>
    <w:rsid w:val="1AA42D2C"/>
    <w:rsid w:val="1AC437A4"/>
    <w:rsid w:val="1AF077EF"/>
    <w:rsid w:val="1AF56C7D"/>
    <w:rsid w:val="1B0342CC"/>
    <w:rsid w:val="1B0B13D3"/>
    <w:rsid w:val="1B1B193B"/>
    <w:rsid w:val="1B39753E"/>
    <w:rsid w:val="1B4D72F6"/>
    <w:rsid w:val="1B527002"/>
    <w:rsid w:val="1B79458F"/>
    <w:rsid w:val="1B8A054A"/>
    <w:rsid w:val="1BBB4BA7"/>
    <w:rsid w:val="1BBB6955"/>
    <w:rsid w:val="1C381D54"/>
    <w:rsid w:val="1C3D736A"/>
    <w:rsid w:val="1C3E1334"/>
    <w:rsid w:val="1C623275"/>
    <w:rsid w:val="1C913B5A"/>
    <w:rsid w:val="1C9D605B"/>
    <w:rsid w:val="1C9F1F18"/>
    <w:rsid w:val="1CC21F65"/>
    <w:rsid w:val="1CDF48C5"/>
    <w:rsid w:val="1CE2648A"/>
    <w:rsid w:val="1CFA34AD"/>
    <w:rsid w:val="1D0936F0"/>
    <w:rsid w:val="1D1F4CC2"/>
    <w:rsid w:val="1D37662B"/>
    <w:rsid w:val="1D547061"/>
    <w:rsid w:val="1D57445C"/>
    <w:rsid w:val="1DFD14A7"/>
    <w:rsid w:val="1E083917"/>
    <w:rsid w:val="1E51169D"/>
    <w:rsid w:val="1E6257AE"/>
    <w:rsid w:val="1E7D6684"/>
    <w:rsid w:val="1E91399D"/>
    <w:rsid w:val="1EDD150E"/>
    <w:rsid w:val="1FAD2A59"/>
    <w:rsid w:val="1FCA360B"/>
    <w:rsid w:val="1FEF4E1F"/>
    <w:rsid w:val="1FF35968"/>
    <w:rsid w:val="205B4263"/>
    <w:rsid w:val="20684BD2"/>
    <w:rsid w:val="20AB4927"/>
    <w:rsid w:val="20DC54CC"/>
    <w:rsid w:val="20F34C82"/>
    <w:rsid w:val="213060E3"/>
    <w:rsid w:val="215B0293"/>
    <w:rsid w:val="21674E89"/>
    <w:rsid w:val="21780E44"/>
    <w:rsid w:val="21843C8D"/>
    <w:rsid w:val="219914E7"/>
    <w:rsid w:val="219C4B33"/>
    <w:rsid w:val="21BC6F83"/>
    <w:rsid w:val="22121299"/>
    <w:rsid w:val="22160D89"/>
    <w:rsid w:val="224A13FE"/>
    <w:rsid w:val="22987A28"/>
    <w:rsid w:val="22A2261D"/>
    <w:rsid w:val="22BC01ED"/>
    <w:rsid w:val="22E5250A"/>
    <w:rsid w:val="22F64717"/>
    <w:rsid w:val="230C3F3A"/>
    <w:rsid w:val="231E77CA"/>
    <w:rsid w:val="23225D25"/>
    <w:rsid w:val="23701D93"/>
    <w:rsid w:val="238166D6"/>
    <w:rsid w:val="2389558B"/>
    <w:rsid w:val="238C7B7A"/>
    <w:rsid w:val="23AE2751"/>
    <w:rsid w:val="23B1063E"/>
    <w:rsid w:val="23D84893"/>
    <w:rsid w:val="240B5FA0"/>
    <w:rsid w:val="240D3AC6"/>
    <w:rsid w:val="241E3F25"/>
    <w:rsid w:val="244B712C"/>
    <w:rsid w:val="245375C4"/>
    <w:rsid w:val="246B6D89"/>
    <w:rsid w:val="248F398D"/>
    <w:rsid w:val="24967F5F"/>
    <w:rsid w:val="24B93C4E"/>
    <w:rsid w:val="2560231B"/>
    <w:rsid w:val="256E4A38"/>
    <w:rsid w:val="25822292"/>
    <w:rsid w:val="25D93364"/>
    <w:rsid w:val="25F9173D"/>
    <w:rsid w:val="26215F4F"/>
    <w:rsid w:val="26393298"/>
    <w:rsid w:val="26AD1051"/>
    <w:rsid w:val="26FE2F45"/>
    <w:rsid w:val="27D33279"/>
    <w:rsid w:val="28137B19"/>
    <w:rsid w:val="282B09BF"/>
    <w:rsid w:val="284C00F1"/>
    <w:rsid w:val="28BC06B6"/>
    <w:rsid w:val="28CF3A40"/>
    <w:rsid w:val="28CF57EE"/>
    <w:rsid w:val="290B04D0"/>
    <w:rsid w:val="291476A5"/>
    <w:rsid w:val="2916364A"/>
    <w:rsid w:val="295201CD"/>
    <w:rsid w:val="298B4180"/>
    <w:rsid w:val="298F198B"/>
    <w:rsid w:val="29A50C45"/>
    <w:rsid w:val="29C6063F"/>
    <w:rsid w:val="29F2002F"/>
    <w:rsid w:val="2A81612B"/>
    <w:rsid w:val="2B0F281A"/>
    <w:rsid w:val="2B231E21"/>
    <w:rsid w:val="2B2D7144"/>
    <w:rsid w:val="2B3D4AA9"/>
    <w:rsid w:val="2B801021"/>
    <w:rsid w:val="2B822FEC"/>
    <w:rsid w:val="2BE7503E"/>
    <w:rsid w:val="2C0F7B80"/>
    <w:rsid w:val="2C4A600C"/>
    <w:rsid w:val="2C5D6201"/>
    <w:rsid w:val="2C6D3C9C"/>
    <w:rsid w:val="2C972AC7"/>
    <w:rsid w:val="2CB8171D"/>
    <w:rsid w:val="2CD930DF"/>
    <w:rsid w:val="2CE742DD"/>
    <w:rsid w:val="2D686211"/>
    <w:rsid w:val="2D8F7C42"/>
    <w:rsid w:val="2DF301D1"/>
    <w:rsid w:val="2E3F11F2"/>
    <w:rsid w:val="2E953036"/>
    <w:rsid w:val="2EA30FCB"/>
    <w:rsid w:val="2F121E9C"/>
    <w:rsid w:val="2F1877C3"/>
    <w:rsid w:val="2F25260C"/>
    <w:rsid w:val="2F3A3D35"/>
    <w:rsid w:val="2FD8405C"/>
    <w:rsid w:val="301B19E3"/>
    <w:rsid w:val="303530BA"/>
    <w:rsid w:val="307B44AD"/>
    <w:rsid w:val="308067A6"/>
    <w:rsid w:val="308415B4"/>
    <w:rsid w:val="30BA6672"/>
    <w:rsid w:val="30C24997"/>
    <w:rsid w:val="30CD2F5B"/>
    <w:rsid w:val="30D50CCF"/>
    <w:rsid w:val="30E46ACC"/>
    <w:rsid w:val="30EF681F"/>
    <w:rsid w:val="31061FC9"/>
    <w:rsid w:val="310C5E46"/>
    <w:rsid w:val="311961A0"/>
    <w:rsid w:val="31641DC4"/>
    <w:rsid w:val="31AC614D"/>
    <w:rsid w:val="31B77767"/>
    <w:rsid w:val="31DD71CE"/>
    <w:rsid w:val="31F749DE"/>
    <w:rsid w:val="31FC33CC"/>
    <w:rsid w:val="32087FC3"/>
    <w:rsid w:val="321626E0"/>
    <w:rsid w:val="323B0398"/>
    <w:rsid w:val="325E4D95"/>
    <w:rsid w:val="32A221C5"/>
    <w:rsid w:val="32D73603"/>
    <w:rsid w:val="32E20814"/>
    <w:rsid w:val="3338549E"/>
    <w:rsid w:val="33734C71"/>
    <w:rsid w:val="337E678E"/>
    <w:rsid w:val="33813B89"/>
    <w:rsid w:val="33957634"/>
    <w:rsid w:val="33C57F19"/>
    <w:rsid w:val="33F44CFA"/>
    <w:rsid w:val="342A2472"/>
    <w:rsid w:val="34321327"/>
    <w:rsid w:val="34AD7546"/>
    <w:rsid w:val="34DE2E22"/>
    <w:rsid w:val="35132F06"/>
    <w:rsid w:val="3524236A"/>
    <w:rsid w:val="35527587"/>
    <w:rsid w:val="359C1C87"/>
    <w:rsid w:val="35A324DC"/>
    <w:rsid w:val="35E32ECE"/>
    <w:rsid w:val="35ED3466"/>
    <w:rsid w:val="36356EAC"/>
    <w:rsid w:val="36524668"/>
    <w:rsid w:val="36905871"/>
    <w:rsid w:val="3691157E"/>
    <w:rsid w:val="369E2CA4"/>
    <w:rsid w:val="36C070BE"/>
    <w:rsid w:val="36D64D0A"/>
    <w:rsid w:val="370159EF"/>
    <w:rsid w:val="370452A9"/>
    <w:rsid w:val="372431A9"/>
    <w:rsid w:val="37EB7B3F"/>
    <w:rsid w:val="380A6843"/>
    <w:rsid w:val="381274A5"/>
    <w:rsid w:val="38606463"/>
    <w:rsid w:val="38A82058"/>
    <w:rsid w:val="39027EFE"/>
    <w:rsid w:val="390A4620"/>
    <w:rsid w:val="390C2146"/>
    <w:rsid w:val="39184F8F"/>
    <w:rsid w:val="394C4C39"/>
    <w:rsid w:val="39530B16"/>
    <w:rsid w:val="39534219"/>
    <w:rsid w:val="395D29A2"/>
    <w:rsid w:val="395F2BBE"/>
    <w:rsid w:val="396E0B2A"/>
    <w:rsid w:val="396E664C"/>
    <w:rsid w:val="397B72CC"/>
    <w:rsid w:val="39A14F85"/>
    <w:rsid w:val="39A20CFD"/>
    <w:rsid w:val="39A9208B"/>
    <w:rsid w:val="39D76BF8"/>
    <w:rsid w:val="39E11825"/>
    <w:rsid w:val="3A4E0C27"/>
    <w:rsid w:val="3A920D71"/>
    <w:rsid w:val="3ACA7303"/>
    <w:rsid w:val="3ACD1DA9"/>
    <w:rsid w:val="3AD849D6"/>
    <w:rsid w:val="3AF70BD4"/>
    <w:rsid w:val="3AFF375C"/>
    <w:rsid w:val="3B11613A"/>
    <w:rsid w:val="3B1F518D"/>
    <w:rsid w:val="3B536E73"/>
    <w:rsid w:val="3B5B64ED"/>
    <w:rsid w:val="3B7364AD"/>
    <w:rsid w:val="3B7965FD"/>
    <w:rsid w:val="3BD66A3C"/>
    <w:rsid w:val="3BF33A92"/>
    <w:rsid w:val="3C2854E9"/>
    <w:rsid w:val="3C3331DF"/>
    <w:rsid w:val="3C4E0CC8"/>
    <w:rsid w:val="3C9506A5"/>
    <w:rsid w:val="3CB44FCF"/>
    <w:rsid w:val="3D190E49"/>
    <w:rsid w:val="3D324146"/>
    <w:rsid w:val="3D6F0EF6"/>
    <w:rsid w:val="3DB50FFF"/>
    <w:rsid w:val="3DBB238D"/>
    <w:rsid w:val="3DD425B9"/>
    <w:rsid w:val="3E2B306F"/>
    <w:rsid w:val="3E3068D7"/>
    <w:rsid w:val="3E4B54BF"/>
    <w:rsid w:val="3E7B12F3"/>
    <w:rsid w:val="3E856505"/>
    <w:rsid w:val="3EB412B6"/>
    <w:rsid w:val="3EED6576"/>
    <w:rsid w:val="3F00274D"/>
    <w:rsid w:val="3F373C95"/>
    <w:rsid w:val="3F5B48B2"/>
    <w:rsid w:val="3F762A0F"/>
    <w:rsid w:val="3F964E60"/>
    <w:rsid w:val="3FCD518C"/>
    <w:rsid w:val="40167D4F"/>
    <w:rsid w:val="40302BBE"/>
    <w:rsid w:val="40601066"/>
    <w:rsid w:val="40C41559"/>
    <w:rsid w:val="4105404B"/>
    <w:rsid w:val="4148218A"/>
    <w:rsid w:val="414A5F02"/>
    <w:rsid w:val="415D593F"/>
    <w:rsid w:val="418F1B67"/>
    <w:rsid w:val="41C646F9"/>
    <w:rsid w:val="41CD2179"/>
    <w:rsid w:val="41CF7F02"/>
    <w:rsid w:val="420F2CA7"/>
    <w:rsid w:val="423D6918"/>
    <w:rsid w:val="42402E61"/>
    <w:rsid w:val="42620858"/>
    <w:rsid w:val="4277705C"/>
    <w:rsid w:val="428471F1"/>
    <w:rsid w:val="42CE3AC6"/>
    <w:rsid w:val="42F779C3"/>
    <w:rsid w:val="43086074"/>
    <w:rsid w:val="438751EB"/>
    <w:rsid w:val="43B374E9"/>
    <w:rsid w:val="43BD6E5F"/>
    <w:rsid w:val="43C676C2"/>
    <w:rsid w:val="43D14B09"/>
    <w:rsid w:val="44022AC4"/>
    <w:rsid w:val="443609BF"/>
    <w:rsid w:val="443D1D4E"/>
    <w:rsid w:val="447339C1"/>
    <w:rsid w:val="4473751E"/>
    <w:rsid w:val="453942C3"/>
    <w:rsid w:val="45830D9F"/>
    <w:rsid w:val="459E05CA"/>
    <w:rsid w:val="45ED064F"/>
    <w:rsid w:val="460F771A"/>
    <w:rsid w:val="461E6DF1"/>
    <w:rsid w:val="462A6E89"/>
    <w:rsid w:val="46592983"/>
    <w:rsid w:val="466E2692"/>
    <w:rsid w:val="46AA2F9F"/>
    <w:rsid w:val="46AC3BB9"/>
    <w:rsid w:val="46C10A14"/>
    <w:rsid w:val="46C6602A"/>
    <w:rsid w:val="4710374A"/>
    <w:rsid w:val="47152B0E"/>
    <w:rsid w:val="47573E46"/>
    <w:rsid w:val="47863A0C"/>
    <w:rsid w:val="4799729B"/>
    <w:rsid w:val="48036E0A"/>
    <w:rsid w:val="48396CD0"/>
    <w:rsid w:val="483B47F6"/>
    <w:rsid w:val="48684EBF"/>
    <w:rsid w:val="48AE6D76"/>
    <w:rsid w:val="48AF2AEE"/>
    <w:rsid w:val="48B872A7"/>
    <w:rsid w:val="48CA3065"/>
    <w:rsid w:val="48D82045"/>
    <w:rsid w:val="48F66211"/>
    <w:rsid w:val="49420B70"/>
    <w:rsid w:val="494466A0"/>
    <w:rsid w:val="496D4E83"/>
    <w:rsid w:val="499C7517"/>
    <w:rsid w:val="49B519BD"/>
    <w:rsid w:val="4A421E6C"/>
    <w:rsid w:val="4A716096"/>
    <w:rsid w:val="4A766BE3"/>
    <w:rsid w:val="4A9A1CA8"/>
    <w:rsid w:val="4B4C0AC8"/>
    <w:rsid w:val="4B5726B8"/>
    <w:rsid w:val="4B58639C"/>
    <w:rsid w:val="4BC00F91"/>
    <w:rsid w:val="4BD765E4"/>
    <w:rsid w:val="4C3B7704"/>
    <w:rsid w:val="4CB01A8F"/>
    <w:rsid w:val="4CCA6149"/>
    <w:rsid w:val="4CDD5E7C"/>
    <w:rsid w:val="4CE0771A"/>
    <w:rsid w:val="4D135D42"/>
    <w:rsid w:val="4D137AF0"/>
    <w:rsid w:val="4D2910C1"/>
    <w:rsid w:val="4D4C3002"/>
    <w:rsid w:val="4D7A36CB"/>
    <w:rsid w:val="4D875DE8"/>
    <w:rsid w:val="4DCA5F72"/>
    <w:rsid w:val="4E213334"/>
    <w:rsid w:val="4E5A52AA"/>
    <w:rsid w:val="4E916F1E"/>
    <w:rsid w:val="4EF13E61"/>
    <w:rsid w:val="4F3574B1"/>
    <w:rsid w:val="4F6E225C"/>
    <w:rsid w:val="4F7C7BCE"/>
    <w:rsid w:val="4F7F76BE"/>
    <w:rsid w:val="4FAB04B3"/>
    <w:rsid w:val="4FB530E0"/>
    <w:rsid w:val="4FBF5D0D"/>
    <w:rsid w:val="4FF82FCD"/>
    <w:rsid w:val="503009B9"/>
    <w:rsid w:val="50675D87"/>
    <w:rsid w:val="50E377D9"/>
    <w:rsid w:val="51074B11"/>
    <w:rsid w:val="5116195C"/>
    <w:rsid w:val="514E559A"/>
    <w:rsid w:val="518014CC"/>
    <w:rsid w:val="519D207E"/>
    <w:rsid w:val="51A72EFC"/>
    <w:rsid w:val="52151C14"/>
    <w:rsid w:val="5288688A"/>
    <w:rsid w:val="52A352B5"/>
    <w:rsid w:val="52BA27BB"/>
    <w:rsid w:val="52C35B14"/>
    <w:rsid w:val="53755060"/>
    <w:rsid w:val="53AE1DB9"/>
    <w:rsid w:val="53BF4158"/>
    <w:rsid w:val="541008E5"/>
    <w:rsid w:val="547A65C5"/>
    <w:rsid w:val="549E4143"/>
    <w:rsid w:val="54BC6CBF"/>
    <w:rsid w:val="54C6369A"/>
    <w:rsid w:val="55171F21"/>
    <w:rsid w:val="55287EB0"/>
    <w:rsid w:val="553A7504"/>
    <w:rsid w:val="5550356A"/>
    <w:rsid w:val="55603AEE"/>
    <w:rsid w:val="55711857"/>
    <w:rsid w:val="55983288"/>
    <w:rsid w:val="55C12F68"/>
    <w:rsid w:val="56145155"/>
    <w:rsid w:val="56336B0D"/>
    <w:rsid w:val="567B36DE"/>
    <w:rsid w:val="56903F5F"/>
    <w:rsid w:val="56B94F32"/>
    <w:rsid w:val="56BC2FA6"/>
    <w:rsid w:val="56C67981"/>
    <w:rsid w:val="56E85B49"/>
    <w:rsid w:val="57243DE1"/>
    <w:rsid w:val="574134AB"/>
    <w:rsid w:val="57527466"/>
    <w:rsid w:val="578A4E52"/>
    <w:rsid w:val="57AC4DC9"/>
    <w:rsid w:val="57B63E99"/>
    <w:rsid w:val="57C2317C"/>
    <w:rsid w:val="57C540DC"/>
    <w:rsid w:val="5813309A"/>
    <w:rsid w:val="5866141B"/>
    <w:rsid w:val="58BC611E"/>
    <w:rsid w:val="58D345D7"/>
    <w:rsid w:val="58DE7204"/>
    <w:rsid w:val="58E16CF4"/>
    <w:rsid w:val="58E3481A"/>
    <w:rsid w:val="59021C88"/>
    <w:rsid w:val="59181357"/>
    <w:rsid w:val="594B23BF"/>
    <w:rsid w:val="59545718"/>
    <w:rsid w:val="5979517E"/>
    <w:rsid w:val="597B0EF6"/>
    <w:rsid w:val="597C2F54"/>
    <w:rsid w:val="59914276"/>
    <w:rsid w:val="59CA3C2C"/>
    <w:rsid w:val="59D5279A"/>
    <w:rsid w:val="59F800FC"/>
    <w:rsid w:val="5A026F22"/>
    <w:rsid w:val="5A920D5A"/>
    <w:rsid w:val="5A9A35FE"/>
    <w:rsid w:val="5AEB3E5A"/>
    <w:rsid w:val="5BFF40C6"/>
    <w:rsid w:val="5C693288"/>
    <w:rsid w:val="5D1943C2"/>
    <w:rsid w:val="5D6764C5"/>
    <w:rsid w:val="5D79752D"/>
    <w:rsid w:val="5D8A5BAC"/>
    <w:rsid w:val="5DCB1D21"/>
    <w:rsid w:val="5E162BA7"/>
    <w:rsid w:val="5E331DA0"/>
    <w:rsid w:val="5E47584B"/>
    <w:rsid w:val="5E994B97"/>
    <w:rsid w:val="5ED13367"/>
    <w:rsid w:val="5F5C6DA8"/>
    <w:rsid w:val="5F9A5E4E"/>
    <w:rsid w:val="5FAD5B82"/>
    <w:rsid w:val="5FF11F12"/>
    <w:rsid w:val="5FF217E7"/>
    <w:rsid w:val="600A4D82"/>
    <w:rsid w:val="603C620A"/>
    <w:rsid w:val="609243F4"/>
    <w:rsid w:val="60AE276D"/>
    <w:rsid w:val="6106379C"/>
    <w:rsid w:val="61135EB8"/>
    <w:rsid w:val="6129748A"/>
    <w:rsid w:val="61412A26"/>
    <w:rsid w:val="617611C7"/>
    <w:rsid w:val="6192502F"/>
    <w:rsid w:val="61926DDD"/>
    <w:rsid w:val="61B01959"/>
    <w:rsid w:val="61C524A9"/>
    <w:rsid w:val="6247406C"/>
    <w:rsid w:val="625A4F40"/>
    <w:rsid w:val="62764951"/>
    <w:rsid w:val="62B86D17"/>
    <w:rsid w:val="62FD472A"/>
    <w:rsid w:val="63027F93"/>
    <w:rsid w:val="634E142A"/>
    <w:rsid w:val="639140F6"/>
    <w:rsid w:val="639257BA"/>
    <w:rsid w:val="63DD630A"/>
    <w:rsid w:val="63E3792B"/>
    <w:rsid w:val="642B176B"/>
    <w:rsid w:val="644B168D"/>
    <w:rsid w:val="64504D2E"/>
    <w:rsid w:val="645760BC"/>
    <w:rsid w:val="64675565"/>
    <w:rsid w:val="64680E82"/>
    <w:rsid w:val="647E7AED"/>
    <w:rsid w:val="64BD2018"/>
    <w:rsid w:val="64EF2799"/>
    <w:rsid w:val="650E70C3"/>
    <w:rsid w:val="653D6A2D"/>
    <w:rsid w:val="655F347A"/>
    <w:rsid w:val="65711400"/>
    <w:rsid w:val="657D527B"/>
    <w:rsid w:val="658C4AAF"/>
    <w:rsid w:val="659A0956"/>
    <w:rsid w:val="65D8147F"/>
    <w:rsid w:val="66083B12"/>
    <w:rsid w:val="66157FDD"/>
    <w:rsid w:val="661E3335"/>
    <w:rsid w:val="667A42E4"/>
    <w:rsid w:val="66876A89"/>
    <w:rsid w:val="66D17B58"/>
    <w:rsid w:val="66E14363"/>
    <w:rsid w:val="67002A3B"/>
    <w:rsid w:val="673B7F17"/>
    <w:rsid w:val="67DF3385"/>
    <w:rsid w:val="67FC2F18"/>
    <w:rsid w:val="68591A61"/>
    <w:rsid w:val="685A617B"/>
    <w:rsid w:val="68863414"/>
    <w:rsid w:val="68994EF5"/>
    <w:rsid w:val="68B910F3"/>
    <w:rsid w:val="68F42A0B"/>
    <w:rsid w:val="695F613F"/>
    <w:rsid w:val="69774280"/>
    <w:rsid w:val="69913E1E"/>
    <w:rsid w:val="6A2E4EA5"/>
    <w:rsid w:val="6A415844"/>
    <w:rsid w:val="6A930EAF"/>
    <w:rsid w:val="6B39651C"/>
    <w:rsid w:val="6B4C6940"/>
    <w:rsid w:val="6B6F63E1"/>
    <w:rsid w:val="6B8C0D41"/>
    <w:rsid w:val="6BD36970"/>
    <w:rsid w:val="6BF07522"/>
    <w:rsid w:val="6C223454"/>
    <w:rsid w:val="6C375767"/>
    <w:rsid w:val="6C3F4006"/>
    <w:rsid w:val="6C4C51B9"/>
    <w:rsid w:val="6C7532EB"/>
    <w:rsid w:val="6C765EDE"/>
    <w:rsid w:val="6C7D68DC"/>
    <w:rsid w:val="6C832144"/>
    <w:rsid w:val="6CAF118B"/>
    <w:rsid w:val="6CFE7A1D"/>
    <w:rsid w:val="6D062D75"/>
    <w:rsid w:val="6D0C2CF9"/>
    <w:rsid w:val="6D183A32"/>
    <w:rsid w:val="6D417909"/>
    <w:rsid w:val="6D8F2E7E"/>
    <w:rsid w:val="6DBE0F5A"/>
    <w:rsid w:val="6DF17581"/>
    <w:rsid w:val="6E1312A6"/>
    <w:rsid w:val="6EAB7730"/>
    <w:rsid w:val="6ECC76A7"/>
    <w:rsid w:val="6EDE7B06"/>
    <w:rsid w:val="6F63000B"/>
    <w:rsid w:val="6FB24AEE"/>
    <w:rsid w:val="6FD339FA"/>
    <w:rsid w:val="6FF17799"/>
    <w:rsid w:val="70422316"/>
    <w:rsid w:val="70934920"/>
    <w:rsid w:val="709C1A26"/>
    <w:rsid w:val="70A345B9"/>
    <w:rsid w:val="70AB11E2"/>
    <w:rsid w:val="70C90342"/>
    <w:rsid w:val="70DC1E23"/>
    <w:rsid w:val="70E92277"/>
    <w:rsid w:val="7130216F"/>
    <w:rsid w:val="723B32E7"/>
    <w:rsid w:val="72C963D7"/>
    <w:rsid w:val="72D74F98"/>
    <w:rsid w:val="72E66F89"/>
    <w:rsid w:val="73357F10"/>
    <w:rsid w:val="7343262D"/>
    <w:rsid w:val="736305DA"/>
    <w:rsid w:val="73726A6F"/>
    <w:rsid w:val="73AA445A"/>
    <w:rsid w:val="73E84F83"/>
    <w:rsid w:val="74A7435E"/>
    <w:rsid w:val="74DF6386"/>
    <w:rsid w:val="74E41BEE"/>
    <w:rsid w:val="74F6722B"/>
    <w:rsid w:val="74FC5407"/>
    <w:rsid w:val="75113184"/>
    <w:rsid w:val="752B5127"/>
    <w:rsid w:val="75692090"/>
    <w:rsid w:val="75A629FF"/>
    <w:rsid w:val="75BE41ED"/>
    <w:rsid w:val="75D61609"/>
    <w:rsid w:val="75FE45EA"/>
    <w:rsid w:val="761402B1"/>
    <w:rsid w:val="768014A2"/>
    <w:rsid w:val="76AC673B"/>
    <w:rsid w:val="76C47AA7"/>
    <w:rsid w:val="76CC46E8"/>
    <w:rsid w:val="77091498"/>
    <w:rsid w:val="77336515"/>
    <w:rsid w:val="77A17C63"/>
    <w:rsid w:val="77B27D81"/>
    <w:rsid w:val="77F20B50"/>
    <w:rsid w:val="78144598"/>
    <w:rsid w:val="78482494"/>
    <w:rsid w:val="78740411"/>
    <w:rsid w:val="788172E2"/>
    <w:rsid w:val="78986F77"/>
    <w:rsid w:val="789D458E"/>
    <w:rsid w:val="792A3948"/>
    <w:rsid w:val="797057FE"/>
    <w:rsid w:val="797D7F1B"/>
    <w:rsid w:val="797E7CB5"/>
    <w:rsid w:val="79AA2C6D"/>
    <w:rsid w:val="79B3393D"/>
    <w:rsid w:val="79E80C2D"/>
    <w:rsid w:val="79E87A8A"/>
    <w:rsid w:val="79F3642F"/>
    <w:rsid w:val="7A340F22"/>
    <w:rsid w:val="7A4D1FE3"/>
    <w:rsid w:val="7A664E53"/>
    <w:rsid w:val="7A721A4A"/>
    <w:rsid w:val="7A923E9A"/>
    <w:rsid w:val="7AC53928"/>
    <w:rsid w:val="7ADE1912"/>
    <w:rsid w:val="7AFB37ED"/>
    <w:rsid w:val="7B3D5BB4"/>
    <w:rsid w:val="7B9271E7"/>
    <w:rsid w:val="7BF81ADB"/>
    <w:rsid w:val="7C15268D"/>
    <w:rsid w:val="7C39281F"/>
    <w:rsid w:val="7C4411C4"/>
    <w:rsid w:val="7C6D24C9"/>
    <w:rsid w:val="7C7575D0"/>
    <w:rsid w:val="7C7D43AE"/>
    <w:rsid w:val="7C8617DD"/>
    <w:rsid w:val="7D2B4621"/>
    <w:rsid w:val="7D384885"/>
    <w:rsid w:val="7D54704B"/>
    <w:rsid w:val="7D8C4BD1"/>
    <w:rsid w:val="7D9F66B2"/>
    <w:rsid w:val="7DBF4FA6"/>
    <w:rsid w:val="7DDD367E"/>
    <w:rsid w:val="7E0724A9"/>
    <w:rsid w:val="7E1461A9"/>
    <w:rsid w:val="7E4B683A"/>
    <w:rsid w:val="7E747B3F"/>
    <w:rsid w:val="7E7713DD"/>
    <w:rsid w:val="7EA345BB"/>
    <w:rsid w:val="7EAD3051"/>
    <w:rsid w:val="7EBA751C"/>
    <w:rsid w:val="7ECA014A"/>
    <w:rsid w:val="7EF40C80"/>
    <w:rsid w:val="7F8A22AA"/>
    <w:rsid w:val="7FA53D28"/>
    <w:rsid w:val="7FB34697"/>
    <w:rsid w:val="7FF26D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3"/>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autoRedefine/>
    <w:qFormat/>
    <w:uiPriority w:val="0"/>
    <w:pPr>
      <w:keepNext/>
      <w:spacing w:before="120" w:line="360" w:lineRule="auto"/>
      <w:ind w:firstLine="1285" w:firstLineChars="200"/>
      <w:outlineLvl w:val="1"/>
    </w:pPr>
    <w:rPr>
      <w:rFonts w:ascii="宋体" w:hAnsi="宋体"/>
      <w:spacing w:val="6"/>
      <w:sz w:val="28"/>
      <w:szCs w:val="20"/>
    </w:rPr>
  </w:style>
  <w:style w:type="paragraph" w:styleId="5">
    <w:name w:val="heading 3"/>
    <w:basedOn w:val="1"/>
    <w:next w:val="1"/>
    <w:autoRedefine/>
    <w:qFormat/>
    <w:uiPriority w:val="0"/>
    <w:pPr>
      <w:keepNext/>
      <w:keepLines/>
      <w:adjustRightInd w:val="0"/>
      <w:snapToGrid w:val="0"/>
      <w:spacing w:line="360" w:lineRule="auto"/>
      <w:ind w:left="1430" w:hanging="720"/>
      <w:outlineLvl w:val="2"/>
    </w:pPr>
    <w:rPr>
      <w:bCs/>
      <w:szCs w:val="32"/>
    </w:rPr>
  </w:style>
  <w:style w:type="paragraph" w:styleId="6">
    <w:name w:val="heading 4"/>
    <w:basedOn w:val="1"/>
    <w:next w:val="7"/>
    <w:qFormat/>
    <w:uiPriority w:val="0"/>
    <w:pPr>
      <w:keepNext/>
      <w:keepLines/>
      <w:spacing w:before="280" w:after="290" w:line="376" w:lineRule="auto"/>
      <w:outlineLvl w:val="3"/>
    </w:pPr>
    <w:rPr>
      <w:rFonts w:ascii="Arial" w:hAnsi="Arial" w:eastAsia="黑体"/>
      <w:b/>
      <w:bCs/>
      <w:sz w:val="28"/>
      <w:szCs w:val="28"/>
    </w:rPr>
  </w:style>
  <w:style w:type="character" w:default="1" w:styleId="26">
    <w:name w:val="Default Paragraph Font"/>
    <w:autoRedefine/>
    <w:semiHidden/>
    <w:unhideWhenUsed/>
    <w:qFormat/>
    <w:uiPriority w:val="1"/>
  </w:style>
  <w:style w:type="table" w:default="1" w:styleId="24">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3">
    <w:name w:val="正文2"/>
    <w:basedOn w:val="1"/>
    <w:autoRedefine/>
    <w:qFormat/>
    <w:uiPriority w:val="0"/>
    <w:pPr>
      <w:spacing w:line="360" w:lineRule="auto"/>
      <w:ind w:firstLine="420" w:firstLineChars="200"/>
    </w:pPr>
  </w:style>
  <w:style w:type="paragraph" w:styleId="7">
    <w:name w:val="Normal Indent"/>
    <w:basedOn w:val="1"/>
    <w:next w:val="1"/>
    <w:link w:val="66"/>
    <w:autoRedefine/>
    <w:qFormat/>
    <w:uiPriority w:val="0"/>
    <w:pPr>
      <w:ind w:firstLine="200" w:firstLineChars="200"/>
    </w:pPr>
  </w:style>
  <w:style w:type="paragraph" w:styleId="8">
    <w:name w:val="Note Heading"/>
    <w:basedOn w:val="1"/>
    <w:next w:val="1"/>
    <w:autoRedefine/>
    <w:qFormat/>
    <w:uiPriority w:val="0"/>
    <w:pPr>
      <w:autoSpaceDE/>
      <w:autoSpaceDN/>
      <w:jc w:val="center"/>
    </w:pPr>
    <w:rPr>
      <w:rFonts w:ascii="Calibri" w:hAnsi="Calibri"/>
      <w:kern w:val="2"/>
      <w:sz w:val="21"/>
    </w:rPr>
  </w:style>
  <w:style w:type="paragraph" w:styleId="9">
    <w:name w:val="caption"/>
    <w:basedOn w:val="1"/>
    <w:next w:val="1"/>
    <w:autoRedefine/>
    <w:qFormat/>
    <w:uiPriority w:val="35"/>
    <w:pPr>
      <w:keepNext/>
      <w:adjustRightInd w:val="0"/>
      <w:spacing w:before="50" w:beforeLines="50"/>
      <w:jc w:val="center"/>
    </w:pPr>
    <w:rPr>
      <w:rFonts w:eastAsia="黑体"/>
      <w:kern w:val="21"/>
      <w:szCs w:val="20"/>
    </w:rPr>
  </w:style>
  <w:style w:type="paragraph" w:styleId="10">
    <w:name w:val="annotation text"/>
    <w:basedOn w:val="1"/>
    <w:autoRedefine/>
    <w:qFormat/>
    <w:uiPriority w:val="0"/>
    <w:pPr>
      <w:jc w:val="left"/>
    </w:pPr>
  </w:style>
  <w:style w:type="paragraph" w:styleId="11">
    <w:name w:val="Body Text"/>
    <w:basedOn w:val="1"/>
    <w:link w:val="58"/>
    <w:autoRedefine/>
    <w:qFormat/>
    <w:uiPriority w:val="0"/>
    <w:pPr>
      <w:widowControl/>
      <w:snapToGrid/>
      <w:spacing w:line="360" w:lineRule="auto"/>
      <w:ind w:right="0" w:firstLine="720" w:firstLineChars="200"/>
    </w:pPr>
    <w:rPr>
      <w:rFonts w:ascii="Times New Roman" w:hAnsi="Times New Roman" w:eastAsia="宋体"/>
      <w:kern w:val="0"/>
      <w:sz w:val="24"/>
      <w:szCs w:val="20"/>
    </w:rPr>
  </w:style>
  <w:style w:type="paragraph" w:styleId="12">
    <w:name w:val="Body Text Indent"/>
    <w:basedOn w:val="1"/>
    <w:next w:val="13"/>
    <w:qFormat/>
    <w:uiPriority w:val="0"/>
    <w:pPr>
      <w:spacing w:after="120"/>
      <w:ind w:left="420" w:leftChars="200"/>
    </w:pPr>
    <w:rPr>
      <w:kern w:val="0"/>
      <w:sz w:val="24"/>
      <w:szCs w:val="20"/>
    </w:rPr>
  </w:style>
  <w:style w:type="paragraph" w:customStyle="1" w:styleId="13">
    <w:name w:val="样式 正文文本缩进 + 行距: 1.5 倍行距"/>
    <w:basedOn w:val="1"/>
    <w:qFormat/>
    <w:uiPriority w:val="0"/>
    <w:pPr>
      <w:spacing w:after="120" w:line="360" w:lineRule="auto"/>
      <w:ind w:left="90" w:leftChars="32" w:firstLine="560" w:firstLineChars="200"/>
    </w:pPr>
    <w:rPr>
      <w:rFonts w:cs="宋体"/>
      <w:sz w:val="24"/>
    </w:rPr>
  </w:style>
  <w:style w:type="paragraph" w:styleId="14">
    <w:name w:val="Plain Text"/>
    <w:basedOn w:val="1"/>
    <w:next w:val="1"/>
    <w:autoRedefine/>
    <w:qFormat/>
    <w:uiPriority w:val="0"/>
    <w:rPr>
      <w:rFonts w:hAnsi="Courier New"/>
      <w:szCs w:val="20"/>
    </w:rPr>
  </w:style>
  <w:style w:type="paragraph" w:styleId="15">
    <w:name w:val="Body Text Indent 2"/>
    <w:basedOn w:val="1"/>
    <w:next w:val="1"/>
    <w:autoRedefine/>
    <w:qFormat/>
    <w:uiPriority w:val="0"/>
    <w:pPr>
      <w:spacing w:after="120" w:line="480" w:lineRule="auto"/>
      <w:ind w:left="420" w:leftChars="200"/>
    </w:pPr>
  </w:style>
  <w:style w:type="paragraph" w:styleId="16">
    <w:name w:val="footer"/>
    <w:basedOn w:val="1"/>
    <w:autoRedefine/>
    <w:qFormat/>
    <w:uiPriority w:val="99"/>
    <w:pPr>
      <w:tabs>
        <w:tab w:val="center" w:pos="4153"/>
        <w:tab w:val="right" w:pos="8306"/>
      </w:tabs>
      <w:snapToGrid w:val="0"/>
      <w:jc w:val="left"/>
    </w:pPr>
    <w:rPr>
      <w:kern w:val="0"/>
      <w:sz w:val="18"/>
      <w:szCs w:val="20"/>
    </w:rPr>
  </w:style>
  <w:style w:type="paragraph" w:styleId="1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toc 1"/>
    <w:basedOn w:val="1"/>
    <w:next w:val="1"/>
    <w:autoRedefine/>
    <w:qFormat/>
    <w:uiPriority w:val="0"/>
  </w:style>
  <w:style w:type="paragraph" w:styleId="19">
    <w:name w:val="List"/>
    <w:basedOn w:val="1"/>
    <w:next w:val="1"/>
    <w:autoRedefine/>
    <w:qFormat/>
    <w:uiPriority w:val="0"/>
    <w:pPr>
      <w:spacing w:line="360" w:lineRule="exact"/>
      <w:jc w:val="center"/>
    </w:pPr>
    <w:rPr>
      <w:rFonts w:ascii="仿宋_GB2312" w:eastAsia="仿宋_GB2312"/>
      <w:szCs w:val="20"/>
    </w:rPr>
  </w:style>
  <w:style w:type="paragraph" w:styleId="20">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21">
    <w:name w:val="Title"/>
    <w:basedOn w:val="1"/>
    <w:next w:val="1"/>
    <w:autoRedefine/>
    <w:qFormat/>
    <w:uiPriority w:val="10"/>
    <w:pPr>
      <w:spacing w:before="240" w:after="60"/>
      <w:jc w:val="center"/>
      <w:outlineLvl w:val="0"/>
    </w:pPr>
    <w:rPr>
      <w:rFonts w:ascii="Cambria" w:hAnsi="Cambria"/>
      <w:b/>
      <w:bCs/>
      <w:sz w:val="32"/>
      <w:szCs w:val="32"/>
    </w:rPr>
  </w:style>
  <w:style w:type="paragraph" w:styleId="22">
    <w:name w:val="Body Text First Indent"/>
    <w:basedOn w:val="11"/>
    <w:next w:val="1"/>
    <w:autoRedefine/>
    <w:qFormat/>
    <w:uiPriority w:val="99"/>
    <w:pPr>
      <w:ind w:firstLine="420" w:firstLineChars="100"/>
    </w:pPr>
    <w:rPr>
      <w:rFonts w:hint="eastAsia" w:ascii="宋体" w:hAnsi="宋体"/>
      <w:sz w:val="24"/>
    </w:rPr>
  </w:style>
  <w:style w:type="paragraph" w:styleId="23">
    <w:name w:val="Body Text First Indent 2"/>
    <w:basedOn w:val="12"/>
    <w:next w:val="1"/>
    <w:autoRedefine/>
    <w:qFormat/>
    <w:uiPriority w:val="0"/>
    <w:pPr>
      <w:ind w:firstLine="210"/>
    </w:pPr>
  </w:style>
  <w:style w:type="table" w:styleId="25">
    <w:name w:val="Table Grid"/>
    <w:basedOn w:val="24"/>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uiPriority w:val="0"/>
    <w:rPr>
      <w:b/>
    </w:rPr>
  </w:style>
  <w:style w:type="character" w:styleId="28">
    <w:name w:val="Hyperlink"/>
    <w:basedOn w:val="26"/>
    <w:qFormat/>
    <w:uiPriority w:val="0"/>
    <w:rPr>
      <w:color w:val="0000FF"/>
      <w:u w:val="single"/>
    </w:rPr>
  </w:style>
  <w:style w:type="character" w:styleId="29">
    <w:name w:val="annotation reference"/>
    <w:autoRedefine/>
    <w:semiHidden/>
    <w:qFormat/>
    <w:uiPriority w:val="0"/>
    <w:rPr>
      <w:sz w:val="21"/>
    </w:rPr>
  </w:style>
  <w:style w:type="paragraph" w:customStyle="1" w:styleId="30">
    <w:name w:val="WPSOffice手动目录 1"/>
    <w:qFormat/>
    <w:uiPriority w:val="0"/>
    <w:pPr>
      <w:ind w:leftChars="0"/>
    </w:pPr>
    <w:rPr>
      <w:rFonts w:eastAsia="宋体" w:asciiTheme="minorAscii" w:hAnsiTheme="minorAscii" w:cstheme="minorBidi"/>
      <w:sz w:val="24"/>
      <w:szCs w:val="20"/>
    </w:rPr>
  </w:style>
  <w:style w:type="paragraph" w:customStyle="1" w:styleId="31">
    <w:name w:val="xl27"/>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32">
    <w:name w:val="正文（用）"/>
    <w:basedOn w:val="1"/>
    <w:autoRedefine/>
    <w:qFormat/>
    <w:uiPriority w:val="0"/>
    <w:pPr>
      <w:spacing w:line="360" w:lineRule="auto"/>
      <w:ind w:firstLine="480" w:firstLineChars="200"/>
      <w:jc w:val="left"/>
    </w:pPr>
    <w:rPr>
      <w:rFonts w:ascii="宋体" w:hAnsi="宋体" w:cs="宋体"/>
      <w:sz w:val="24"/>
    </w:rPr>
  </w:style>
  <w:style w:type="paragraph" w:styleId="33">
    <w:name w:val="List Paragraph"/>
    <w:basedOn w:val="1"/>
    <w:autoRedefine/>
    <w:qFormat/>
    <w:uiPriority w:val="0"/>
    <w:pPr>
      <w:ind w:firstLine="420" w:firstLineChars="200"/>
    </w:pPr>
    <w:rPr>
      <w:sz w:val="32"/>
    </w:rPr>
  </w:style>
  <w:style w:type="paragraph" w:customStyle="1" w:styleId="34">
    <w:name w:val="四级条标题"/>
    <w:basedOn w:val="35"/>
    <w:next w:val="39"/>
    <w:autoRedefine/>
    <w:qFormat/>
    <w:uiPriority w:val="0"/>
    <w:pPr>
      <w:tabs>
        <w:tab w:val="left" w:pos="1260"/>
      </w:tabs>
      <w:spacing w:before="50" w:beforeLines="50" w:after="50" w:afterLines="50"/>
      <w:outlineLvl w:val="5"/>
    </w:pPr>
    <w:rPr>
      <w:szCs w:val="21"/>
    </w:rPr>
  </w:style>
  <w:style w:type="paragraph" w:customStyle="1" w:styleId="35">
    <w:name w:val="三级条标题"/>
    <w:basedOn w:val="36"/>
    <w:next w:val="39"/>
    <w:autoRedefine/>
    <w:qFormat/>
    <w:uiPriority w:val="0"/>
    <w:pPr>
      <w:numPr>
        <w:ilvl w:val="0"/>
        <w:numId w:val="0"/>
      </w:numPr>
      <w:tabs>
        <w:tab w:val="left" w:pos="1260"/>
      </w:tabs>
      <w:outlineLvl w:val="4"/>
    </w:pPr>
  </w:style>
  <w:style w:type="paragraph" w:customStyle="1" w:styleId="36">
    <w:name w:val="二级条标题"/>
    <w:basedOn w:val="37"/>
    <w:next w:val="39"/>
    <w:autoRedefine/>
    <w:qFormat/>
    <w:uiPriority w:val="0"/>
    <w:pPr>
      <w:numPr>
        <w:ilvl w:val="3"/>
      </w:numPr>
      <w:tabs>
        <w:tab w:val="left" w:pos="1260"/>
      </w:tabs>
      <w:outlineLvl w:val="3"/>
    </w:pPr>
  </w:style>
  <w:style w:type="paragraph" w:customStyle="1" w:styleId="37">
    <w:name w:val="一级条标题"/>
    <w:basedOn w:val="38"/>
    <w:next w:val="39"/>
    <w:autoRedefine/>
    <w:qFormat/>
    <w:uiPriority w:val="0"/>
    <w:pPr>
      <w:numPr>
        <w:ilvl w:val="2"/>
        <w:numId w:val="1"/>
      </w:numPr>
      <w:spacing w:before="0" w:beforeLines="0" w:after="0" w:afterLines="0"/>
      <w:outlineLvl w:val="2"/>
    </w:pPr>
  </w:style>
  <w:style w:type="paragraph" w:customStyle="1" w:styleId="38">
    <w:name w:val="章标题"/>
    <w:next w:val="39"/>
    <w:autoRedefine/>
    <w:qFormat/>
    <w:uiPriority w:val="0"/>
    <w:pPr>
      <w:spacing w:before="156" w:beforeLines="50" w:after="156" w:afterLines="50"/>
      <w:jc w:val="both"/>
      <w:outlineLvl w:val="1"/>
    </w:pPr>
    <w:rPr>
      <w:rFonts w:ascii="黑体" w:hAnsi="Times New Roman" w:eastAsia="黑体" w:cs="Times New Roman"/>
      <w:sz w:val="21"/>
      <w:szCs w:val="22"/>
      <w:lang w:val="en-US" w:eastAsia="zh-CN" w:bidi="ar-SA"/>
    </w:rPr>
  </w:style>
  <w:style w:type="paragraph" w:customStyle="1" w:styleId="39">
    <w:name w:val="段"/>
    <w:autoRedefine/>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40">
    <w:name w:val="表格文字"/>
    <w:basedOn w:val="22"/>
    <w:next w:val="1"/>
    <w:autoRedefine/>
    <w:qFormat/>
    <w:uiPriority w:val="0"/>
    <w:pPr>
      <w:adjustRightInd w:val="0"/>
      <w:spacing w:after="0"/>
      <w:ind w:firstLine="0" w:firstLineChars="0"/>
      <w:jc w:val="center"/>
    </w:pPr>
    <w:rPr>
      <w:szCs w:val="22"/>
    </w:rPr>
  </w:style>
  <w:style w:type="paragraph" w:customStyle="1" w:styleId="41">
    <w:name w:val="Default"/>
    <w:basedOn w:val="42"/>
    <w:next w:val="19"/>
    <w:autoRedefine/>
    <w:qFormat/>
    <w:uiPriority w:val="0"/>
    <w:pPr>
      <w:autoSpaceDE w:val="0"/>
      <w:autoSpaceDN w:val="0"/>
      <w:adjustRightInd w:val="0"/>
    </w:pPr>
    <w:rPr>
      <w:rFonts w:ascii="Times New Roman" w:hAnsi="Times New Roman"/>
      <w:color w:val="000000"/>
      <w:sz w:val="24"/>
    </w:rPr>
  </w:style>
  <w:style w:type="paragraph" w:customStyle="1" w:styleId="42">
    <w:name w:val="纯文本1"/>
    <w:basedOn w:val="1"/>
    <w:autoRedefine/>
    <w:qFormat/>
    <w:uiPriority w:val="0"/>
    <w:rPr>
      <w:rFonts w:hint="eastAsia" w:ascii="宋体" w:hAnsi="Courier New"/>
    </w:rPr>
  </w:style>
  <w:style w:type="paragraph" w:customStyle="1" w:styleId="43">
    <w:name w:val="报告书、报告表表格文字"/>
    <w:basedOn w:val="1"/>
    <w:autoRedefine/>
    <w:qFormat/>
    <w:uiPriority w:val="0"/>
    <w:pPr>
      <w:adjustRightInd w:val="0"/>
      <w:snapToGrid w:val="0"/>
      <w:jc w:val="center"/>
    </w:pPr>
    <w:rPr>
      <w:sz w:val="24"/>
    </w:rPr>
  </w:style>
  <w:style w:type="paragraph" w:customStyle="1" w:styleId="44">
    <w:name w:val="Table Paragraph"/>
    <w:basedOn w:val="1"/>
    <w:autoRedefine/>
    <w:qFormat/>
    <w:uiPriority w:val="1"/>
    <w:pPr>
      <w:autoSpaceDE w:val="0"/>
      <w:autoSpaceDN w:val="0"/>
      <w:spacing w:before="66"/>
      <w:jc w:val="center"/>
    </w:pPr>
    <w:rPr>
      <w:rFonts w:ascii="宋体" w:hAnsi="宋体" w:cs="宋体"/>
      <w:kern w:val="0"/>
      <w:sz w:val="22"/>
      <w:szCs w:val="22"/>
      <w:lang w:eastAsia="en-US"/>
    </w:rPr>
  </w:style>
  <w:style w:type="paragraph" w:customStyle="1" w:styleId="45">
    <w:name w:val="Default2"/>
    <w:autoRedefine/>
    <w:unhideWhenUsed/>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46">
    <w:name w:val="标题二"/>
    <w:basedOn w:val="1"/>
    <w:autoRedefine/>
    <w:qFormat/>
    <w:uiPriority w:val="99"/>
  </w:style>
  <w:style w:type="paragraph" w:customStyle="1" w:styleId="47">
    <w:name w:val="标题三"/>
    <w:basedOn w:val="1"/>
    <w:autoRedefine/>
    <w:qFormat/>
    <w:uiPriority w:val="0"/>
    <w:rPr>
      <w:rFonts w:ascii="Calibri" w:hAnsi="Calibri"/>
    </w:rPr>
  </w:style>
  <w:style w:type="paragraph" w:customStyle="1" w:styleId="48">
    <w:name w:val="表格"/>
    <w:basedOn w:val="11"/>
    <w:autoRedefine/>
    <w:qFormat/>
    <w:uiPriority w:val="0"/>
    <w:pPr>
      <w:adjustRightInd w:val="0"/>
      <w:spacing w:beforeLines="10" w:afterLines="10"/>
      <w:jc w:val="center"/>
    </w:pPr>
    <w:rPr>
      <w:rFonts w:ascii="宋体"/>
    </w:rPr>
  </w:style>
  <w:style w:type="paragraph" w:customStyle="1" w:styleId="49">
    <w:name w:val="表格填充1"/>
    <w:basedOn w:val="1"/>
    <w:autoRedefine/>
    <w:qFormat/>
    <w:uiPriority w:val="0"/>
    <w:pPr>
      <w:adjustRightInd w:val="0"/>
      <w:snapToGrid w:val="0"/>
      <w:spacing w:line="330" w:lineRule="exact"/>
    </w:pPr>
    <w:rPr>
      <w:szCs w:val="21"/>
    </w:rPr>
  </w:style>
  <w:style w:type="paragraph" w:customStyle="1" w:styleId="50">
    <w:name w:val="Default1"/>
    <w:autoRedefine/>
    <w:qFormat/>
    <w:uiPriority w:val="0"/>
    <w:pPr>
      <w:widowControl w:val="0"/>
      <w:autoSpaceDE w:val="0"/>
      <w:autoSpaceDN w:val="0"/>
      <w:adjustRightInd w:val="0"/>
    </w:pPr>
    <w:rPr>
      <w:rFonts w:ascii="宋体" w:hAnsi="Calibri" w:eastAsia="Calibri" w:cs="宋体"/>
      <w:color w:val="000000"/>
      <w:sz w:val="24"/>
      <w:szCs w:val="24"/>
      <w:lang w:val="en-US" w:eastAsia="zh-CN" w:bidi="ar-SA"/>
    </w:rPr>
  </w:style>
  <w:style w:type="paragraph" w:customStyle="1" w:styleId="51">
    <w:name w:val="样式35"/>
    <w:basedOn w:val="1"/>
    <w:autoRedefine/>
    <w:qFormat/>
    <w:uiPriority w:val="0"/>
    <w:pPr>
      <w:adjustRightInd w:val="0"/>
      <w:spacing w:line="312" w:lineRule="auto"/>
      <w:ind w:firstLine="567"/>
    </w:pPr>
    <w:rPr>
      <w:rFonts w:ascii="宋体"/>
      <w:kern w:val="0"/>
      <w:sz w:val="28"/>
      <w:szCs w:val="20"/>
    </w:rPr>
  </w:style>
  <w:style w:type="paragraph" w:customStyle="1" w:styleId="52">
    <w:name w:val="S正文"/>
    <w:basedOn w:val="1"/>
    <w:autoRedefine/>
    <w:qFormat/>
    <w:uiPriority w:val="0"/>
    <w:pPr>
      <w:wordWrap w:val="0"/>
      <w:spacing w:line="360" w:lineRule="auto"/>
      <w:ind w:firstLine="200" w:firstLineChars="200"/>
    </w:pPr>
    <w:rPr>
      <w:sz w:val="24"/>
    </w:rPr>
  </w:style>
  <w:style w:type="paragraph" w:customStyle="1" w:styleId="53">
    <w:name w:val="S表正文"/>
    <w:basedOn w:val="21"/>
    <w:autoRedefine/>
    <w:qFormat/>
    <w:uiPriority w:val="0"/>
    <w:pPr>
      <w:spacing w:before="0" w:after="0"/>
    </w:pPr>
    <w:rPr>
      <w:rFonts w:ascii="Times New Roman" w:hAnsi="Times New Roman"/>
      <w:b w:val="0"/>
      <w:sz w:val="21"/>
    </w:rPr>
  </w:style>
  <w:style w:type="paragraph" w:customStyle="1" w:styleId="54">
    <w:name w:val="样式 首行缩进:  1 厘米 行距: 固定值 25 磅"/>
    <w:basedOn w:val="1"/>
    <w:autoRedefine/>
    <w:qFormat/>
    <w:uiPriority w:val="0"/>
    <w:pPr>
      <w:adjustRightInd w:val="0"/>
      <w:spacing w:line="360" w:lineRule="auto"/>
      <w:ind w:firstLine="200" w:firstLineChars="200"/>
      <w:jc w:val="left"/>
      <w:textAlignment w:val="baseline"/>
    </w:pPr>
    <w:rPr>
      <w:rFonts w:ascii="宋体" w:cs="宋体"/>
      <w:snapToGrid w:val="0"/>
      <w:kern w:val="24"/>
      <w:sz w:val="24"/>
    </w:rPr>
  </w:style>
  <w:style w:type="paragraph" w:customStyle="1" w:styleId="55">
    <w:name w:val="段落"/>
    <w:basedOn w:val="1"/>
    <w:next w:val="16"/>
    <w:autoRedefine/>
    <w:qFormat/>
    <w:uiPriority w:val="0"/>
    <w:pPr>
      <w:tabs>
        <w:tab w:val="left" w:pos="900"/>
      </w:tabs>
      <w:spacing w:line="312" w:lineRule="auto"/>
      <w:ind w:right="-67" w:rightChars="-28" w:firstLine="600" w:firstLineChars="250"/>
    </w:pPr>
    <w:rPr>
      <w:color w:val="000000"/>
      <w:kern w:val="24"/>
      <w:szCs w:val="20"/>
    </w:rPr>
  </w:style>
  <w:style w:type="paragraph" w:customStyle="1" w:styleId="56">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7">
    <w:name w:val="样式 样式 首行缩进:  2 字符 + 首行缩进:  2 字符"/>
    <w:basedOn w:val="1"/>
    <w:next w:val="18"/>
    <w:autoRedefine/>
    <w:qFormat/>
    <w:uiPriority w:val="0"/>
    <w:pPr>
      <w:snapToGrid w:val="0"/>
      <w:spacing w:line="360" w:lineRule="auto"/>
      <w:ind w:firstLine="560" w:firstLineChars="200"/>
    </w:pPr>
    <w:rPr>
      <w:sz w:val="28"/>
    </w:rPr>
  </w:style>
  <w:style w:type="character" w:customStyle="1" w:styleId="58">
    <w:name w:val="正文文本 字符"/>
    <w:link w:val="11"/>
    <w:autoRedefine/>
    <w:qFormat/>
    <w:locked/>
    <w:uiPriority w:val="0"/>
    <w:rPr>
      <w:rFonts w:ascii="Times New Roman" w:hAnsi="Times New Roman" w:eastAsia="宋体"/>
      <w:sz w:val="24"/>
    </w:rPr>
  </w:style>
  <w:style w:type="paragraph" w:customStyle="1" w:styleId="59">
    <w:name w:val="样式 加粗 自动设置 居中 段后: 6 磅 行距: 单倍行距 首行缩进:  0 字符"/>
    <w:basedOn w:val="1"/>
    <w:autoRedefine/>
    <w:qFormat/>
    <w:uiPriority w:val="0"/>
    <w:pPr>
      <w:spacing w:after="120" w:line="240" w:lineRule="auto"/>
      <w:ind w:firstLine="0" w:firstLineChars="0"/>
      <w:jc w:val="center"/>
    </w:pPr>
    <w:rPr>
      <w:rFonts w:cs="宋体"/>
      <w:bCs/>
      <w:color w:val="auto"/>
      <w:szCs w:val="20"/>
    </w:rPr>
  </w:style>
  <w:style w:type="paragraph" w:customStyle="1" w:styleId="60">
    <w:name w:val="样式 加粗 自动设置 居中 段后: 6 磅 行距: 单倍行距 首行缩进:  0 字符1"/>
    <w:basedOn w:val="1"/>
    <w:qFormat/>
    <w:uiPriority w:val="0"/>
    <w:pPr>
      <w:spacing w:after="120" w:line="240" w:lineRule="auto"/>
      <w:ind w:firstLine="0" w:firstLineChars="0"/>
      <w:jc w:val="center"/>
    </w:pPr>
    <w:rPr>
      <w:rFonts w:cs="宋体"/>
      <w:bCs/>
      <w:color w:val="auto"/>
      <w:szCs w:val="20"/>
    </w:rPr>
  </w:style>
  <w:style w:type="table" w:customStyle="1" w:styleId="61">
    <w:name w:val="Table Normal"/>
    <w:autoRedefine/>
    <w:unhideWhenUsed/>
    <w:qFormat/>
    <w:uiPriority w:val="2"/>
    <w:pPr>
      <w:widowControl w:val="0"/>
      <w:autoSpaceDE w:val="0"/>
      <w:autoSpaceDN w:val="0"/>
    </w:pPr>
    <w:rPr>
      <w:rFonts w:ascii="Calibri" w:hAnsi="Calibri"/>
      <w:sz w:val="22"/>
      <w:lang w:eastAsia="en-US"/>
    </w:rPr>
    <w:tblPr>
      <w:tblCellMar>
        <w:top w:w="0" w:type="dxa"/>
        <w:left w:w="0" w:type="dxa"/>
        <w:bottom w:w="0" w:type="dxa"/>
        <w:right w:w="0" w:type="dxa"/>
      </w:tblCellMar>
    </w:tblPr>
  </w:style>
  <w:style w:type="paragraph" w:customStyle="1" w:styleId="62">
    <w:name w:val="表格内容自定"/>
    <w:basedOn w:val="1"/>
    <w:autoRedefine/>
    <w:qFormat/>
    <w:uiPriority w:val="0"/>
    <w:pPr>
      <w:spacing w:line="280" w:lineRule="exact"/>
      <w:jc w:val="center"/>
    </w:pPr>
    <w:rPr>
      <w:kern w:val="0"/>
      <w:sz w:val="18"/>
      <w:szCs w:val="21"/>
    </w:rPr>
  </w:style>
  <w:style w:type="paragraph" w:customStyle="1" w:styleId="63">
    <w:name w:val="表字体"/>
    <w:basedOn w:val="1"/>
    <w:next w:val="1"/>
    <w:autoRedefine/>
    <w:qFormat/>
    <w:uiPriority w:val="0"/>
    <w:pPr>
      <w:jc w:val="center"/>
    </w:pPr>
    <w:rPr>
      <w:rFonts w:ascii="Times New Roman" w:hAnsi="Times New Roman"/>
      <w:kern w:val="0"/>
      <w:szCs w:val="20"/>
    </w:rPr>
  </w:style>
  <w:style w:type="paragraph" w:customStyle="1" w:styleId="64">
    <w:name w:val="正文1"/>
    <w:basedOn w:val="1"/>
    <w:next w:val="1"/>
    <w:autoRedefine/>
    <w:qFormat/>
    <w:uiPriority w:val="0"/>
    <w:pPr>
      <w:spacing w:line="440" w:lineRule="exact"/>
    </w:pPr>
    <w:rPr>
      <w:sz w:val="24"/>
      <w:szCs w:val="20"/>
    </w:rPr>
  </w:style>
  <w:style w:type="character" w:customStyle="1" w:styleId="65">
    <w:name w:val="正文 小四"/>
    <w:qFormat/>
    <w:uiPriority w:val="0"/>
    <w:rPr>
      <w:rFonts w:ascii="宋体" w:hAnsi="宋体"/>
      <w:sz w:val="21"/>
    </w:rPr>
  </w:style>
  <w:style w:type="character" w:customStyle="1" w:styleId="66">
    <w:name w:val="正文缩进 Char"/>
    <w:link w:val="7"/>
    <w:qFormat/>
    <w:uiPriority w:val="0"/>
  </w:style>
  <w:style w:type="paragraph" w:customStyle="1" w:styleId="67">
    <w:name w:val="表题"/>
    <w:basedOn w:val="1"/>
    <w:autoRedefine/>
    <w:qFormat/>
    <w:uiPriority w:val="0"/>
    <w:pPr>
      <w:spacing w:afterLines="20"/>
      <w:jc w:val="center"/>
    </w:pPr>
    <w:rPr>
      <w:b/>
      <w:szCs w:val="20"/>
    </w:rPr>
  </w:style>
  <w:style w:type="paragraph" w:customStyle="1" w:styleId="68">
    <w:name w:val="表标题"/>
    <w:basedOn w:val="1"/>
    <w:autoRedefine/>
    <w:qFormat/>
    <w:uiPriority w:val="0"/>
    <w:pPr>
      <w:jc w:val="center"/>
    </w:pPr>
    <w:rPr>
      <w:b/>
      <w:kern w:val="0"/>
      <w:szCs w:val="20"/>
    </w:rPr>
  </w:style>
  <w:style w:type="paragraph" w:customStyle="1" w:styleId="69">
    <w:name w:val="表格报告书"/>
    <w:next w:val="70"/>
    <w:qFormat/>
    <w:uiPriority w:val="0"/>
    <w:pPr>
      <w:spacing w:before="20" w:line="240" w:lineRule="auto"/>
      <w:ind w:firstLine="0" w:firstLineChars="0"/>
      <w:jc w:val="center"/>
    </w:pPr>
    <w:rPr>
      <w:rFonts w:ascii="Times New Roman" w:hAnsi="Times New Roman" w:eastAsia="宋体" w:cs="Times New Roman"/>
      <w:kern w:val="2"/>
      <w:sz w:val="21"/>
      <w:szCs w:val="24"/>
      <w:lang w:val="en-US" w:eastAsia="zh-CN" w:bidi="ar-SA"/>
    </w:rPr>
  </w:style>
  <w:style w:type="paragraph" w:customStyle="1" w:styleId="70">
    <w:name w:val="正文报告书"/>
    <w:next w:val="1"/>
    <w:qFormat/>
    <w:uiPriority w:val="0"/>
    <w:pPr>
      <w:spacing w:before="20" w:line="360" w:lineRule="auto"/>
      <w:ind w:firstLine="643" w:firstLineChars="200"/>
    </w:pPr>
    <w:rPr>
      <w:rFonts w:ascii="Times New Roman" w:hAnsi="Times New Roman" w:eastAsia="宋体" w:cs="Times New Roman"/>
      <w:kern w:val="2"/>
      <w:sz w:val="24"/>
      <w:szCs w:val="24"/>
      <w:lang w:val="en-US" w:eastAsia="zh-CN" w:bidi="ar-SA"/>
    </w:rPr>
  </w:style>
  <w:style w:type="paragraph" w:customStyle="1" w:styleId="71">
    <w:name w:val="表格正文"/>
    <w:basedOn w:val="1"/>
    <w:qFormat/>
    <w:uiPriority w:val="0"/>
    <w:pPr>
      <w:spacing w:line="240" w:lineRule="auto"/>
      <w:jc w:val="center"/>
    </w:pPr>
    <w:rPr>
      <w:rFonts w:ascii="Times New Roman" w:hAnsi="Times New Roman"/>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80.jpeg"/><Relationship Id="rId98" Type="http://schemas.openxmlformats.org/officeDocument/2006/relationships/image" Target="media/image79.jpeg"/><Relationship Id="rId97" Type="http://schemas.openxmlformats.org/officeDocument/2006/relationships/image" Target="media/image78.png"/><Relationship Id="rId96" Type="http://schemas.openxmlformats.org/officeDocument/2006/relationships/image" Target="media/image77.png"/><Relationship Id="rId95" Type="http://schemas.openxmlformats.org/officeDocument/2006/relationships/image" Target="media/image76.png"/><Relationship Id="rId94" Type="http://schemas.openxmlformats.org/officeDocument/2006/relationships/image" Target="media/image75.png"/><Relationship Id="rId93" Type="http://schemas.openxmlformats.org/officeDocument/2006/relationships/image" Target="media/image74.jpeg"/><Relationship Id="rId92" Type="http://schemas.openxmlformats.org/officeDocument/2006/relationships/image" Target="media/image73.png"/><Relationship Id="rId91" Type="http://schemas.openxmlformats.org/officeDocument/2006/relationships/image" Target="media/image72.png"/><Relationship Id="rId90" Type="http://schemas.openxmlformats.org/officeDocument/2006/relationships/image" Target="media/image71.png"/><Relationship Id="rId9" Type="http://schemas.openxmlformats.org/officeDocument/2006/relationships/footer" Target="footer4.xml"/><Relationship Id="rId89" Type="http://schemas.openxmlformats.org/officeDocument/2006/relationships/image" Target="media/image70.png"/><Relationship Id="rId88" Type="http://schemas.openxmlformats.org/officeDocument/2006/relationships/image" Target="media/image69.png"/><Relationship Id="rId87" Type="http://schemas.openxmlformats.org/officeDocument/2006/relationships/image" Target="media/image68.png"/><Relationship Id="rId86" Type="http://schemas.openxmlformats.org/officeDocument/2006/relationships/image" Target="media/image67.png"/><Relationship Id="rId85" Type="http://schemas.openxmlformats.org/officeDocument/2006/relationships/image" Target="media/image66.emf"/><Relationship Id="rId84" Type="http://schemas.openxmlformats.org/officeDocument/2006/relationships/image" Target="media/image65.png"/><Relationship Id="rId83" Type="http://schemas.openxmlformats.org/officeDocument/2006/relationships/image" Target="media/image64.png"/><Relationship Id="rId82" Type="http://schemas.openxmlformats.org/officeDocument/2006/relationships/image" Target="media/image63.png"/><Relationship Id="rId81" Type="http://schemas.openxmlformats.org/officeDocument/2006/relationships/image" Target="media/image62.png"/><Relationship Id="rId80" Type="http://schemas.openxmlformats.org/officeDocument/2006/relationships/image" Target="media/image61.png"/><Relationship Id="rId8" Type="http://schemas.openxmlformats.org/officeDocument/2006/relationships/footer" Target="footer3.xml"/><Relationship Id="rId79" Type="http://schemas.openxmlformats.org/officeDocument/2006/relationships/image" Target="media/image60.png"/><Relationship Id="rId78" Type="http://schemas.openxmlformats.org/officeDocument/2006/relationships/image" Target="media/image59.png"/><Relationship Id="rId77" Type="http://schemas.openxmlformats.org/officeDocument/2006/relationships/image" Target="media/image58.png"/><Relationship Id="rId76" Type="http://schemas.openxmlformats.org/officeDocument/2006/relationships/image" Target="media/image57.png"/><Relationship Id="rId75" Type="http://schemas.openxmlformats.org/officeDocument/2006/relationships/image" Target="media/image56.png"/><Relationship Id="rId74" Type="http://schemas.openxmlformats.org/officeDocument/2006/relationships/image" Target="media/image55.png"/><Relationship Id="rId73" Type="http://schemas.openxmlformats.org/officeDocument/2006/relationships/image" Target="media/image54.png"/><Relationship Id="rId72" Type="http://schemas.openxmlformats.org/officeDocument/2006/relationships/image" Target="media/image53.png"/><Relationship Id="rId71" Type="http://schemas.openxmlformats.org/officeDocument/2006/relationships/image" Target="media/image52.png"/><Relationship Id="rId70" Type="http://schemas.openxmlformats.org/officeDocument/2006/relationships/image" Target="media/image51.png"/><Relationship Id="rId7" Type="http://schemas.openxmlformats.org/officeDocument/2006/relationships/footer" Target="footer2.xml"/><Relationship Id="rId69" Type="http://schemas.openxmlformats.org/officeDocument/2006/relationships/image" Target="media/image50.png"/><Relationship Id="rId68" Type="http://schemas.openxmlformats.org/officeDocument/2006/relationships/image" Target="media/image49.png"/><Relationship Id="rId67" Type="http://schemas.openxmlformats.org/officeDocument/2006/relationships/image" Target="media/image48.pn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jpeg"/><Relationship Id="rId63" Type="http://schemas.openxmlformats.org/officeDocument/2006/relationships/image" Target="media/image44.jpeg"/><Relationship Id="rId62" Type="http://schemas.openxmlformats.org/officeDocument/2006/relationships/image" Target="media/image43.jpeg"/><Relationship Id="rId61" Type="http://schemas.openxmlformats.org/officeDocument/2006/relationships/image" Target="media/image42.jpeg"/><Relationship Id="rId60" Type="http://schemas.openxmlformats.org/officeDocument/2006/relationships/image" Target="media/image41.jpeg"/><Relationship Id="rId6" Type="http://schemas.openxmlformats.org/officeDocument/2006/relationships/header" Target="header3.xml"/><Relationship Id="rId59" Type="http://schemas.openxmlformats.org/officeDocument/2006/relationships/image" Target="media/image40.jpeg"/><Relationship Id="rId58" Type="http://schemas.openxmlformats.org/officeDocument/2006/relationships/image" Target="media/image39.jpeg"/><Relationship Id="rId57" Type="http://schemas.openxmlformats.org/officeDocument/2006/relationships/image" Target="media/image38.png"/><Relationship Id="rId56" Type="http://schemas.openxmlformats.org/officeDocument/2006/relationships/image" Target="media/image37.png"/><Relationship Id="rId55" Type="http://schemas.openxmlformats.org/officeDocument/2006/relationships/image" Target="media/image36.png"/><Relationship Id="rId54" Type="http://schemas.openxmlformats.org/officeDocument/2006/relationships/image" Target="media/image35.pn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jpeg"/><Relationship Id="rId50" Type="http://schemas.openxmlformats.org/officeDocument/2006/relationships/image" Target="media/image31.jpeg"/><Relationship Id="rId5" Type="http://schemas.openxmlformats.org/officeDocument/2006/relationships/header" Target="header2.xml"/><Relationship Id="rId49" Type="http://schemas.openxmlformats.org/officeDocument/2006/relationships/image" Target="media/image30.jpeg"/><Relationship Id="rId48" Type="http://schemas.openxmlformats.org/officeDocument/2006/relationships/image" Target="media/image29.jpeg"/><Relationship Id="rId47" Type="http://schemas.openxmlformats.org/officeDocument/2006/relationships/image" Target="media/image28.jpeg"/><Relationship Id="rId46" Type="http://schemas.openxmlformats.org/officeDocument/2006/relationships/image" Target="media/image27.jpeg"/><Relationship Id="rId45" Type="http://schemas.openxmlformats.org/officeDocument/2006/relationships/image" Target="media/image26.jpe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png"/><Relationship Id="rId41" Type="http://schemas.openxmlformats.org/officeDocument/2006/relationships/image" Target="media/image22.png"/><Relationship Id="rId40" Type="http://schemas.openxmlformats.org/officeDocument/2006/relationships/image" Target="media/image21.png"/><Relationship Id="rId4" Type="http://schemas.openxmlformats.org/officeDocument/2006/relationships/footer" Target="footer1.xml"/><Relationship Id="rId39" Type="http://schemas.openxmlformats.org/officeDocument/2006/relationships/image" Target="media/image20.png"/><Relationship Id="rId38" Type="http://schemas.openxmlformats.org/officeDocument/2006/relationships/image" Target="media/image19.png"/><Relationship Id="rId37" Type="http://schemas.openxmlformats.org/officeDocument/2006/relationships/image" Target="media/image18.png"/><Relationship Id="rId36" Type="http://schemas.openxmlformats.org/officeDocument/2006/relationships/image" Target="media/image17.png"/><Relationship Id="rId35" Type="http://schemas.openxmlformats.org/officeDocument/2006/relationships/image" Target="media/image16.png"/><Relationship Id="rId34" Type="http://schemas.openxmlformats.org/officeDocument/2006/relationships/image" Target="media/image15.emf"/><Relationship Id="rId33" Type="http://schemas.openxmlformats.org/officeDocument/2006/relationships/oleObject" Target="embeddings/oleObject7.bin"/><Relationship Id="rId32" Type="http://schemas.openxmlformats.org/officeDocument/2006/relationships/image" Target="media/image14.emf"/><Relationship Id="rId31" Type="http://schemas.openxmlformats.org/officeDocument/2006/relationships/oleObject" Target="embeddings/oleObject6.bin"/><Relationship Id="rId30" Type="http://schemas.openxmlformats.org/officeDocument/2006/relationships/image" Target="media/image13.emf"/><Relationship Id="rId3" Type="http://schemas.openxmlformats.org/officeDocument/2006/relationships/header" Target="header1.xml"/><Relationship Id="rId29" Type="http://schemas.openxmlformats.org/officeDocument/2006/relationships/oleObject" Target="embeddings/oleObject5.bin"/><Relationship Id="rId28" Type="http://schemas.openxmlformats.org/officeDocument/2006/relationships/image" Target="media/image12.emf"/><Relationship Id="rId27" Type="http://schemas.openxmlformats.org/officeDocument/2006/relationships/oleObject" Target="embeddings/oleObject4.bin"/><Relationship Id="rId26" Type="http://schemas.openxmlformats.org/officeDocument/2006/relationships/image" Target="media/image11.emf"/><Relationship Id="rId25" Type="http://schemas.openxmlformats.org/officeDocument/2006/relationships/oleObject" Target="embeddings/oleObject3.bin"/><Relationship Id="rId24" Type="http://schemas.openxmlformats.org/officeDocument/2006/relationships/image" Target="media/image10.emf"/><Relationship Id="rId23" Type="http://schemas.openxmlformats.org/officeDocument/2006/relationships/oleObject" Target="embeddings/oleObject2.bin"/><Relationship Id="rId22" Type="http://schemas.openxmlformats.org/officeDocument/2006/relationships/image" Target="media/image9.emf"/><Relationship Id="rId21" Type="http://schemas.openxmlformats.org/officeDocument/2006/relationships/oleObject" Target="embeddings/oleObject1.bin"/><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5.xml"/><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86.png"/><Relationship Id="rId104" Type="http://schemas.openxmlformats.org/officeDocument/2006/relationships/image" Target="media/image85.jpeg"/><Relationship Id="rId103" Type="http://schemas.openxmlformats.org/officeDocument/2006/relationships/image" Target="media/image84.jpeg"/><Relationship Id="rId102" Type="http://schemas.openxmlformats.org/officeDocument/2006/relationships/image" Target="media/image83.jpeg"/><Relationship Id="rId101" Type="http://schemas.openxmlformats.org/officeDocument/2006/relationships/image" Target="media/image82.jpeg"/><Relationship Id="rId100" Type="http://schemas.openxmlformats.org/officeDocument/2006/relationships/image" Target="media/image81.jpe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137</Pages>
  <Words>11784</Words>
  <Characters>12373</Characters>
  <Lines>418</Lines>
  <Paragraphs>117</Paragraphs>
  <TotalTime>2</TotalTime>
  <ScaleCrop>false</ScaleCrop>
  <LinksUpToDate>false</LinksUpToDate>
  <CharactersWithSpaces>12496</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2024-03-19T03:22:00Z</dcterms:created>
  <dc:creator>Administrator</dc:creator>
  <cp:lastModifiedBy>中汇</cp:lastModifiedBy>
  <cp:lastPrinted>2025-02-17T03:32:00Z</cp:lastPrinted>
  <dcterms:modified xsi:type="dcterms:W3CDTF">2025-06-17T12:35:16Z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DAEDB3CBB9BA47F0AE10238256E7BCD0_13</vt:lpwstr>
  </property>
  <property fmtid="{D5CDD505-2E9C-101B-9397-08002B2CF9AE}" pid="4" name="KSOTemplateDocerSaveRecord">
    <vt:lpwstr>eyJoZGlkIjoiZjI1MDhiOTA0YjRkZTYzNjM4ZjQ1NWIwZGI0ZjFlNzYiLCJ1c2VySWQiOiIxNTg4MTU0MjIwIn0=</vt:lpwstr>
  </property>
</Properties>
</file>