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7"/>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77</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77</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100.00%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8.41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4.60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4.55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5.98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5.98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4.60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4.55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716.66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167.73</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1486.58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1、业务工作经费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716.66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299.18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3、专项资金项目</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1187.40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专项资金项目</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1001.02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 xml:space="preserve">  办案费支出</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11.00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54.80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 xml:space="preserve">  环境监测、监控及监察能力建设</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5.00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5.00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 xml:space="preserve">  环境监察、监测等运行经费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151.73</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126.58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4、省级专项资金</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left"/>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农村黑臭水体奖补资金</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left"/>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256.68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236.35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232.48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201.55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184.47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180.65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53.65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699.27</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381.74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679.04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2.31</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7"/>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岳阳市生态环境局平江分局　</w:t>
            </w:r>
          </w:p>
        </w:tc>
      </w:tr>
      <w:tr>
        <w:tblPrEx>
          <w:tblCellMar>
            <w:top w:w="0" w:type="dxa"/>
            <w:left w:w="108" w:type="dxa"/>
            <w:bottom w:w="0" w:type="dxa"/>
            <w:right w:w="108" w:type="dxa"/>
          </w:tblCellMar>
        </w:tblPrEx>
        <w:trPr>
          <w:trHeight w:val="236" w:hRule="atLeast"/>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1581.29</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2902.45</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2902.45</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r>
              <w:rPr>
                <w:rFonts w:hint="eastAsia" w:ascii="仿宋_GB2312" w:hAnsi="仿宋_GB2312" w:eastAsia="仿宋_GB2312" w:cs="仿宋_GB2312"/>
                <w:sz w:val="20"/>
                <w:szCs w:val="20"/>
                <w:highlight w:val="none"/>
                <w:lang w:val="en-US" w:eastAsia="zh-CN"/>
              </w:rPr>
              <w:t>2902.45</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r>
              <w:rPr>
                <w:rFonts w:hint="eastAsia" w:ascii="仿宋_GB2312" w:hAnsi="仿宋_GB2312" w:eastAsia="仿宋_GB2312" w:cs="仿宋_GB2312"/>
                <w:sz w:val="20"/>
                <w:szCs w:val="20"/>
                <w:highlight w:val="none"/>
                <w:lang w:val="en-US" w:eastAsia="zh-CN"/>
              </w:rPr>
              <w:t>2902.45</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1757.98</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1415.87</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1486.58</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1144.47</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认真贯彻落实党的二十大和生态文明思想，以“降碳、减污、扩绿、增长”为宗旨，以污染防治工作为中心，坚持山水林田湖草沙一体化保护和系统治理，持续推进生态环境保护项目建设，改善大气生态环境、水生态环境等。统筹产业结构调整、生态保护、应对气候变化，推进生态优先、节约集约、绿色低碳发展</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2、污染防治为中心，以污染防治攻坚战、“夏季攻势”、“洞庭清波”任务、环保督查、月考核和空气、水环境质量改善为重点，持续抓好突出生态环境问题整改。</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持续抓好大气污染联防联控，加强重点行业、企业大气污染防治，深入推进重污染天气应对、秸秆焚烧、工地扬尘、餐饮油烟、机动车等污染治理。严格执法监管，防范化解环境风险隐患，严厉打击环境违法行为。</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4、制定入河(湖)排污口“一口一策”清单，加强入河(湖)排污口监督管理，改善水生态环境质量。全面落实河长制工作，促进县域水质持续稳定向好。全面巩固和提升水环境治理成效。</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5、推进农村人居环境整治，涉水、土、气治理项目争项争资项目申报，确保区域内生态环境安全，减少污染事件发生。促进区域内生态环境健康发展。</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6、坚持突出环境问题及信访问题整改，信访答复及时、立行立改及时，并加强与群众沟通交流，切实增强群众获得感和幸福感。</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7、巩固生态功能县创建成果，创建两山基地　</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（一）空气环境状况。全年城区空气环境综合指数为2.98，优良率为94.4%</w:t>
            </w:r>
            <w:r>
              <w:rPr>
                <w:rFonts w:hint="eastAsia" w:ascii="仿宋_GB2312" w:hAnsi="仿宋_GB2312" w:eastAsia="仿宋_GB2312" w:cs="仿宋_GB2312"/>
                <w:color w:val="000000"/>
                <w:sz w:val="20"/>
                <w:szCs w:val="20"/>
                <w:highlight w:val="none"/>
                <w:lang w:eastAsia="zh-CN"/>
              </w:rPr>
              <w:t>，空气环境综合指数和优良率排名保持全市第一。</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（二）水质环境状况。水质达到Ⅱ类水质比例达100%，饮用水源水质达标率为100%。</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三）土壤固废环境状况。全县污染地块安全利用率达到91%以上，污染地块安全利用率达到90%以上，森林覆盖率达到66.68%，危险废物100%收集处置，重点监管单位危废环境管理评估100%达标，土壤环境质量总体良好，属于清洁水平。</w:t>
            </w:r>
          </w:p>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（四）声环境状况。城区声环境功能区昼间、夜间达标率均为85.7%，总体稳定。</w:t>
            </w:r>
          </w:p>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（五）环境风险状况。全县环境风险应急预案备案企业249家，环境风险总体稳定可控，未发生等级以上环境污染事件和生态破坏事故。</w:t>
            </w:r>
          </w:p>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（六）农村环境状况。全县2个农村环境质量监控村庄（天岳街道狮岩村、加义高塅村）空气、水、土壤等监测结果均在相关标准范围内，总体稳定。</w:t>
            </w:r>
          </w:p>
          <w:p>
            <w:pPr>
              <w:pStyle w:val="3"/>
              <w:ind w:left="0" w:leftChars="0" w:firstLine="0" w:firstLineChars="0"/>
              <w:rPr>
                <w:rFonts w:hint="eastAsia" w:ascii="仿宋_GB2312" w:hAnsi="仿宋_GB2312" w:cs="仿宋_GB2312"/>
                <w:color w:val="000000"/>
                <w:sz w:val="20"/>
                <w:szCs w:val="20"/>
                <w:highlight w:val="none"/>
                <w:lang w:val="en-US" w:eastAsia="zh-CN"/>
              </w:rPr>
            </w:pPr>
            <w:r>
              <w:rPr>
                <w:rFonts w:hint="eastAsia" w:ascii="仿宋_GB2312" w:hAnsi="仿宋_GB2312" w:cs="仿宋_GB2312"/>
                <w:color w:val="000000"/>
                <w:sz w:val="20"/>
                <w:szCs w:val="20"/>
                <w:highlight w:val="none"/>
                <w:lang w:val="en-US" w:eastAsia="zh-CN"/>
              </w:rPr>
              <w:t>（七）</w:t>
            </w:r>
            <w:r>
              <w:rPr>
                <w:rFonts w:hint="default" w:ascii="仿宋_GB2312" w:hAnsi="仿宋_GB2312" w:eastAsia="仿宋_GB2312" w:cs="仿宋_GB2312"/>
                <w:color w:val="000000"/>
                <w:sz w:val="20"/>
                <w:szCs w:val="20"/>
                <w:highlight w:val="none"/>
                <w:lang w:val="en-US" w:eastAsia="zh-CN"/>
              </w:rPr>
              <w:t>稳步推进绿色发展。充分发挥平江优质生态资源、院士人才优势，建立了生态环境保护和生态产品价值实现示范项目库，打造生态+项目+人才增值示范项目，实现生态产品价值提升</w:t>
            </w:r>
            <w:r>
              <w:rPr>
                <w:rFonts w:hint="eastAsia" w:ascii="仿宋_GB2312" w:hAnsi="仿宋_GB2312" w:cs="仿宋_GB2312"/>
                <w:color w:val="000000"/>
                <w:sz w:val="20"/>
                <w:szCs w:val="20"/>
                <w:highlight w:val="none"/>
                <w:lang w:val="en-US" w:eastAsia="zh-CN"/>
              </w:rPr>
              <w:t>。持续深入打好污染防治攻坚战，2023年夏季攻势5大类26 项任务全部完成，12个挥发性有机物项目升级改造，30个村生活污水、15000 户改厕、小源村上石子塘黑臭水体得到有效治理。中央环保督察交办的3个年度任务完成整改和销号，汨罗江排污口整治和总磷削减与控制系统治理有序推进。</w:t>
            </w:r>
          </w:p>
          <w:p>
            <w:pPr>
              <w:pStyle w:val="3"/>
              <w:ind w:left="0" w:leftChars="0" w:firstLine="0" w:firstLineChars="0"/>
              <w:rPr>
                <w:rFonts w:hint="eastAsia" w:ascii="仿宋_GB2312" w:hAnsi="仿宋_GB2312" w:cs="仿宋_GB2312"/>
                <w:color w:val="000000"/>
                <w:sz w:val="20"/>
                <w:szCs w:val="20"/>
                <w:highlight w:val="none"/>
                <w:lang w:val="en-US" w:eastAsia="zh-CN"/>
              </w:rPr>
            </w:pPr>
            <w:r>
              <w:rPr>
                <w:rFonts w:hint="eastAsia" w:ascii="仿宋_GB2312" w:hAnsi="仿宋_GB2312" w:cs="仿宋_GB2312"/>
                <w:color w:val="000000"/>
                <w:sz w:val="20"/>
                <w:szCs w:val="20"/>
                <w:highlight w:val="none"/>
                <w:lang w:val="en-US" w:eastAsia="zh-CN"/>
              </w:rPr>
              <w:t>（八）</w:t>
            </w:r>
            <w:r>
              <w:rPr>
                <w:rFonts w:hint="default" w:ascii="仿宋_GB2312" w:hAnsi="仿宋_GB2312" w:cs="仿宋_GB2312"/>
                <w:color w:val="000000"/>
                <w:sz w:val="20"/>
                <w:szCs w:val="20"/>
                <w:highlight w:val="none"/>
                <w:lang w:val="en-US" w:eastAsia="zh-CN"/>
              </w:rPr>
              <w:t>全面加强自然生态保护。整合优化10个自然保护地，面积达到52598.43公顷，占国土面积12.78%。加强全县生物多样性保护工作</w:t>
            </w:r>
            <w:r>
              <w:rPr>
                <w:rFonts w:hint="eastAsia" w:ascii="仿宋_GB2312" w:hAnsi="仿宋_GB2312" w:cs="仿宋_GB2312"/>
                <w:color w:val="000000"/>
                <w:sz w:val="20"/>
                <w:szCs w:val="20"/>
                <w:highlight w:val="none"/>
                <w:lang w:val="en-US" w:eastAsia="zh-CN"/>
              </w:rPr>
              <w:t>。</w:t>
            </w:r>
          </w:p>
          <w:p>
            <w:pPr>
              <w:pStyle w:val="3"/>
              <w:ind w:left="0" w:leftChars="0" w:firstLine="0" w:firstLineChars="0"/>
              <w:rPr>
                <w:rFonts w:hint="eastAsia" w:ascii="仿宋_GB2312" w:hAnsi="仿宋_GB2312" w:cs="仿宋_GB2312"/>
                <w:color w:val="000000"/>
                <w:sz w:val="20"/>
                <w:szCs w:val="20"/>
                <w:highlight w:val="none"/>
                <w:lang w:val="en-US" w:eastAsia="zh-CN"/>
              </w:rPr>
            </w:pPr>
            <w:r>
              <w:rPr>
                <w:rFonts w:hint="eastAsia" w:ascii="仿宋_GB2312" w:hAnsi="仿宋_GB2312" w:cs="仿宋_GB2312"/>
                <w:color w:val="000000"/>
                <w:sz w:val="20"/>
                <w:szCs w:val="20"/>
                <w:highlight w:val="none"/>
                <w:lang w:val="en-US" w:eastAsia="zh-CN"/>
              </w:rPr>
              <w:t>（九）</w:t>
            </w:r>
            <w:r>
              <w:rPr>
                <w:rFonts w:hint="default" w:ascii="仿宋_GB2312" w:hAnsi="仿宋_GB2312" w:cs="仿宋_GB2312"/>
                <w:color w:val="000000"/>
                <w:sz w:val="20"/>
                <w:szCs w:val="20"/>
                <w:highlight w:val="none"/>
                <w:lang w:val="en-US" w:eastAsia="zh-CN"/>
              </w:rPr>
              <w:t>化解环境风险。聚焦工业园区、危险废物、饮用水水源地等15个重点类别，扎实开展防范化解生态环境风险“利剑”行动，摸底排查风险隐患共计200余起，全部按要求完成整改，未出现一例重大环境污染事件和重大生态破坏事件</w:t>
            </w:r>
            <w:r>
              <w:rPr>
                <w:rFonts w:hint="eastAsia" w:ascii="仿宋_GB2312" w:hAnsi="仿宋_GB2312" w:cs="仿宋_GB2312"/>
                <w:color w:val="000000"/>
                <w:sz w:val="20"/>
                <w:szCs w:val="20"/>
                <w:highlight w:val="none"/>
                <w:lang w:val="en-US" w:eastAsia="zh-CN"/>
              </w:rPr>
              <w:t>。</w:t>
            </w:r>
          </w:p>
          <w:p>
            <w:pPr>
              <w:pStyle w:val="3"/>
              <w:ind w:left="0" w:leftChars="0" w:firstLine="0" w:firstLineChars="0"/>
              <w:rPr>
                <w:rFonts w:hint="default" w:ascii="仿宋_GB2312" w:hAnsi="仿宋_GB2312" w:cs="仿宋_GB2312"/>
                <w:color w:val="000000"/>
                <w:sz w:val="20"/>
                <w:szCs w:val="20"/>
                <w:highlight w:val="none"/>
                <w:lang w:val="en-US" w:eastAsia="zh-CN"/>
              </w:rPr>
            </w:pPr>
            <w:r>
              <w:rPr>
                <w:rFonts w:hint="eastAsia" w:ascii="仿宋_GB2312" w:hAnsi="仿宋_GB2312" w:cs="仿宋_GB2312"/>
                <w:color w:val="000000"/>
                <w:sz w:val="20"/>
                <w:szCs w:val="20"/>
                <w:highlight w:val="none"/>
                <w:lang w:val="en-US" w:eastAsia="zh-CN"/>
              </w:rPr>
              <w:t>（十）积极推进山水林田湖一体化保护修复，“天空地”一体化智慧管理系统不断完善，建立林长制、河长制、田长制等多长合一的管理体系，排污许可制、生态环境补偿、生态损害赔偿、企业环境信息公开、有奖举报等制度得到全面实施，推动区域生态环境保护工作。</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强力开展各项行动</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10次</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夏季攻势5大类26 项任务全部完成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监管企业数</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971家</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全县环境质量达标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重点监管单位危废环境管理评估</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100%达标　</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100%达标　</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按时完成各项指标任务</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突发任务及时完成</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即时</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即时</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财政支出绩效目标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2902.45万元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2902.45万元</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推动污染治理环保产业发展</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效益明显 </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促进经济发展</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经济平稳发展</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经济平稳发展</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提升了公众环保意识，提升生态环境保护社会影响度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效益明显 </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有所提升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改善居民生产生活环境，提升幸福生活指数</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良好的社会氛围</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良好的社会氛围</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为我县社会稳定起到很大作用</w:t>
            </w:r>
            <w:r>
              <w:rPr>
                <w:rFonts w:hint="eastAsia" w:ascii="仿宋_GB2312" w:hAnsi="仿宋_GB2312" w:eastAsia="仿宋_GB2312" w:cs="仿宋_GB2312"/>
                <w:color w:val="000000"/>
                <w:sz w:val="20"/>
                <w:szCs w:val="20"/>
                <w:highlight w:val="none"/>
              </w:rPr>
              <w:t>　</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县域生态环境考核</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达标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达标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大气主要污染物、氮氧化物、挥发性有机物削减</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治理重点污染企业，环境空气优良率达到90%以上。</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绿色发展稳步推进</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效益明显 </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效益明显</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生态环境实现可持续发展</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可持续发展</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可持续发展</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社会公众满意度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95%</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仿宋_GB2312" w:cs="Times New Roman"/>
          <w:sz w:val="22"/>
          <w:highlight w:val="none"/>
          <w:lang w:val="en-US"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7"/>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val="en-US" w:eastAsia="zh-CN"/>
              </w:rPr>
              <w:t>业务工作经费</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岳阳市生态环境局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岳阳市生态环境局平江分局</w:t>
            </w:r>
          </w:p>
        </w:tc>
      </w:tr>
      <w:tr>
        <w:tblPrEx>
          <w:tblCellMar>
            <w:top w:w="0" w:type="dxa"/>
            <w:left w:w="108" w:type="dxa"/>
            <w:bottom w:w="0" w:type="dxa"/>
            <w:right w:w="108" w:type="dxa"/>
          </w:tblCellMar>
        </w:tblPrEx>
        <w:trPr>
          <w:trHeight w:val="703" w:hRule="atLeast"/>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299.18</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299.18</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299.18</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299.18</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保障单位正常运转</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已完成预期目标</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强力开展各项专项行动；委托第三方进行监督性监测</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10次</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夏季攻势5大类26 项任务全部完成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全县环境质量达标</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90%</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按时完成各项指标任务</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项目成本控制在预算内</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299.18</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299.18</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促进经济发展</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经济平稳发展</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经济平稳发展</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良好的社会氛围</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良好的社会氛围</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为我县社会稳定起到很大作用</w:t>
            </w: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改善居民生产、生活环境，提升幸福生活指数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有所改善</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有所改善</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绿色发展稳步推进</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效益明显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效益明显</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受益对象满意度</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7"/>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环境监测监察运行经费　</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岳阳市生态环境局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岳阳市生态环境局平江分局</w:t>
            </w:r>
          </w:p>
        </w:tc>
      </w:tr>
      <w:tr>
        <w:tblPrEx>
          <w:tblCellMar>
            <w:top w:w="0" w:type="dxa"/>
            <w:left w:w="108" w:type="dxa"/>
            <w:bottom w:w="0" w:type="dxa"/>
            <w:right w:w="108" w:type="dxa"/>
          </w:tblCellMar>
        </w:tblPrEx>
        <w:trPr>
          <w:trHeight w:val="703" w:hRule="atLeast"/>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151.73</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126.58</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126.58</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151.73</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126.58</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126.58</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开展辖区环境监察、监测日常工作，为辖区内经济建设、生态保护更好地服务</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完成预期目标</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强力开展各项专项行动；委托第三方进行监督性监测</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10次</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夏季攻势5大类26 项任务全部完成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监管企业数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971家</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重点监管单位危废环境管理评估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100%达标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100%达标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全县环境质量达标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按时完成各项指标任务</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监察、监测运行成本控制在预算内</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126.58</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126.58</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促进经济发展</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经济平稳发展</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经济平稳发展</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良好的社会氛围</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良好的社会氛围</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为我县社会稳定起到很大作用</w:t>
            </w: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改善居民生产、生活环境，提升幸福生活指数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有所改善</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有所改善</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绿色发展稳步推进</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效益明显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效益明显</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受益对象满意度</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年度岳阳市生态环境局平江分局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rPr>
        <w:t>部门（单位）名称：岳阳市生态环境局平江分局</w:t>
      </w:r>
      <w:r>
        <w:rPr>
          <w:rFonts w:hint="default" w:ascii="Times New Roman" w:hAnsi="Times New Roman" w:eastAsia="仿宋_GB2312" w:cs="Times New Roman"/>
          <w:sz w:val="32"/>
          <w:szCs w:val="32"/>
          <w:highlight w:val="none"/>
          <w:u w:val="none"/>
        </w:rPr>
        <w:t>（盖章）</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2024</w:t>
      </w:r>
      <w:r>
        <w:rPr>
          <w:rFonts w:hint="default" w:ascii="Times New Roman" w:hAnsi="Times New Roman" w:eastAsia="楷体_GB2312" w:cs="Times New Roman"/>
          <w:sz w:val="32"/>
          <w:szCs w:val="32"/>
          <w:highlight w:val="none"/>
        </w:rPr>
        <w:t>年</w:t>
      </w:r>
      <w:r>
        <w:rPr>
          <w:rFonts w:hint="eastAsia" w:ascii="Times New Roman" w:hAnsi="Times New Roman"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月</w:t>
      </w:r>
      <w:r>
        <w:rPr>
          <w:rFonts w:hint="eastAsia" w:ascii="Times New Roman" w:hAnsi="Times New Roman" w:eastAsia="楷体_GB2312" w:cs="Times New Roman"/>
          <w:sz w:val="32"/>
          <w:szCs w:val="32"/>
          <w:highlight w:val="none"/>
          <w:lang w:val="en-US" w:eastAsia="zh-CN"/>
        </w:rPr>
        <w:t>7</w:t>
      </w:r>
      <w:r>
        <w:rPr>
          <w:rFonts w:hint="default" w:ascii="Times New Roman" w:hAnsi="Times New Roman" w:eastAsia="楷体_GB2312" w:cs="Times New Roman"/>
          <w:sz w:val="32"/>
          <w:szCs w:val="32"/>
          <w:highlight w:val="none"/>
        </w:rPr>
        <w:t>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br w:type="page"/>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年度岳阳市生态环境局平江分局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kern w:val="2"/>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kern w:val="2"/>
          <w:position w:val="0"/>
          <w:sz w:val="32"/>
          <w:szCs w:val="32"/>
          <w:lang w:val="en-US" w:eastAsia="zh-CN"/>
          <w14:textFill>
            <w14:solidFill>
              <w14:schemeClr w14:val="tx1"/>
            </w14:solidFill>
          </w14:textFill>
        </w:rPr>
        <w:t>（一）职能职责</w:t>
      </w:r>
    </w:p>
    <w:p>
      <w:pPr>
        <w:pStyle w:val="6"/>
        <w:spacing w:before="0" w:beforeAutospacing="0" w:after="0" w:afterAutospacing="0" w:line="480" w:lineRule="auto"/>
        <w:ind w:firstLine="480"/>
        <w:jc w:val="both"/>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1、受市生态环境局委托，承担辖区内的生态环境相关工作；承担市生态环境局和县委、县政府交办的其他任务。</w:t>
      </w:r>
    </w:p>
    <w:p>
      <w:pPr>
        <w:pStyle w:val="6"/>
        <w:spacing w:before="0" w:beforeAutospacing="0" w:after="0" w:afterAutospacing="0" w:line="480" w:lineRule="auto"/>
        <w:ind w:firstLine="480"/>
        <w:jc w:val="both"/>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pPr>
        <w:pStyle w:val="6"/>
        <w:spacing w:before="0" w:beforeAutospacing="0" w:after="0" w:afterAutospacing="0" w:line="480" w:lineRule="auto"/>
        <w:ind w:firstLine="480"/>
        <w:jc w:val="both"/>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3、负责本辖区生态环境质量监测、执法监测、污染源监测和应急监测；负责辖区内生态文明示范县创建。</w:t>
      </w:r>
    </w:p>
    <w:p>
      <w:pPr>
        <w:pStyle w:val="6"/>
        <w:spacing w:before="0" w:beforeAutospacing="0" w:after="0" w:afterAutospacing="0" w:line="480" w:lineRule="auto"/>
        <w:ind w:firstLine="480"/>
        <w:jc w:val="both"/>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4、承担辖区内固体废物、化学品、持久性有机物、重金属、电磁辐射源等年度调查技术工作；承担企业固体废物、化学品等污染防治技术的指导与服务工作；参与危险（固体）废物、重金属、辐射事故应急与调查技术工作；承担废弃电器电子产品拆解技术审查和电子废物环境管理相关技术指导与服务工作。承担辖区内主要污染物排污权有偿使用和指标储备相关技术性、事务性工作。承担辖区内生态环境数据资源建设、信息系统及基础设备设施的管理运维工作，提供网络安全与信息化技术支持和服务保障。承担为机关行政审批、行政许可和综合执法等工作提供技术支撑和事务性工作。承办上级交办的其他事项。</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kern w:val="2"/>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kern w:val="2"/>
          <w:position w:val="0"/>
          <w:sz w:val="32"/>
          <w:szCs w:val="32"/>
          <w:lang w:val="en-US" w:eastAsia="zh-CN"/>
          <w14:textFill>
            <w14:solidFill>
              <w14:schemeClr w14:val="tx1"/>
            </w14:solidFill>
          </w14:textFill>
        </w:rPr>
        <w:t>（二）机构设置</w:t>
      </w:r>
    </w:p>
    <w:p>
      <w:pPr>
        <w:widowControl/>
        <w:spacing w:line="600" w:lineRule="exact"/>
        <w:ind w:firstLine="600" w:firstLineChars="200"/>
        <w:rPr>
          <w:rFonts w:hint="default" w:ascii="Times New Roman" w:hAnsi="Times New Roman" w:eastAsia="黑体" w:cs="Times New Roman"/>
          <w:sz w:val="32"/>
          <w:szCs w:val="32"/>
          <w:highlight w:val="none"/>
        </w:rPr>
      </w:pPr>
      <w:r>
        <w:rPr>
          <w:rFonts w:hint="eastAsia" w:ascii="仿宋" w:hAnsi="仿宋" w:eastAsia="仿宋" w:cs="仿宋"/>
          <w:kern w:val="2"/>
          <w:sz w:val="30"/>
          <w:szCs w:val="30"/>
        </w:rPr>
        <w:t>岳阳市生态环境局平江分局</w:t>
      </w:r>
      <w:r>
        <w:rPr>
          <w:rFonts w:hint="eastAsia" w:ascii="仿宋" w:hAnsi="仿宋" w:eastAsia="仿宋" w:cs="仿宋"/>
          <w:kern w:val="2"/>
          <w:sz w:val="30"/>
          <w:szCs w:val="30"/>
          <w:lang w:eastAsia="zh-CN"/>
        </w:rPr>
        <w:t>预算</w:t>
      </w:r>
      <w:r>
        <w:rPr>
          <w:rFonts w:hint="eastAsia" w:ascii="仿宋" w:hAnsi="仿宋" w:eastAsia="仿宋" w:cs="仿宋"/>
          <w:kern w:val="2"/>
          <w:sz w:val="30"/>
          <w:szCs w:val="30"/>
        </w:rPr>
        <w:t>包括局机关本级决算及所属二级机构（根据财政预算管理制度，所属二级机构由岳阳市生态环境局平江分局统一预算），</w:t>
      </w:r>
      <w:r>
        <w:rPr>
          <w:rFonts w:hint="eastAsia" w:ascii="仿宋" w:hAnsi="仿宋" w:eastAsia="仿宋" w:cs="仿宋"/>
          <w:kern w:val="2"/>
          <w:sz w:val="30"/>
          <w:szCs w:val="30"/>
          <w:lang w:eastAsia="zh-CN"/>
        </w:rPr>
        <w:t>平江分局</w:t>
      </w:r>
      <w:r>
        <w:rPr>
          <w:rFonts w:hint="eastAsia" w:ascii="仿宋" w:hAnsi="仿宋" w:eastAsia="仿宋" w:cs="仿宋"/>
          <w:kern w:val="2"/>
          <w:sz w:val="30"/>
          <w:szCs w:val="30"/>
        </w:rPr>
        <w:t>现有编制数</w:t>
      </w:r>
      <w:r>
        <w:rPr>
          <w:rFonts w:hint="eastAsia" w:ascii="仿宋" w:hAnsi="仿宋" w:eastAsia="仿宋" w:cs="仿宋"/>
          <w:kern w:val="2"/>
          <w:sz w:val="30"/>
          <w:szCs w:val="30"/>
          <w:lang w:val="en-US" w:eastAsia="zh-CN"/>
        </w:rPr>
        <w:t>77</w:t>
      </w:r>
      <w:r>
        <w:rPr>
          <w:rFonts w:hint="eastAsia" w:ascii="仿宋" w:hAnsi="仿宋" w:eastAsia="仿宋" w:cs="仿宋"/>
          <w:kern w:val="2"/>
          <w:sz w:val="30"/>
          <w:szCs w:val="30"/>
          <w:lang w:eastAsia="zh-CN"/>
        </w:rPr>
        <w:t>人</w:t>
      </w:r>
      <w:r>
        <w:rPr>
          <w:rFonts w:hint="eastAsia" w:ascii="仿宋" w:hAnsi="仿宋" w:eastAsia="仿宋" w:cs="仿宋"/>
          <w:kern w:val="2"/>
          <w:sz w:val="30"/>
          <w:szCs w:val="30"/>
        </w:rPr>
        <w:t>。</w:t>
      </w:r>
      <w:r>
        <w:rPr>
          <w:rFonts w:hint="eastAsia" w:ascii="仿宋" w:hAnsi="仿宋" w:eastAsia="仿宋" w:cs="仿宋"/>
          <w:kern w:val="2"/>
          <w:sz w:val="30"/>
          <w:szCs w:val="30"/>
          <w:lang w:eastAsia="zh-CN"/>
        </w:rPr>
        <w:t>平江</w:t>
      </w:r>
      <w:r>
        <w:rPr>
          <w:rFonts w:hint="eastAsia" w:ascii="仿宋" w:hAnsi="仿宋" w:eastAsia="仿宋" w:cs="仿宋"/>
          <w:kern w:val="2"/>
          <w:sz w:val="30"/>
          <w:szCs w:val="30"/>
        </w:rPr>
        <w:t>分局</w:t>
      </w:r>
      <w:r>
        <w:rPr>
          <w:rFonts w:hint="eastAsia" w:ascii="仿宋" w:hAnsi="仿宋" w:eastAsia="仿宋" w:cs="仿宋"/>
          <w:kern w:val="2"/>
          <w:sz w:val="30"/>
          <w:szCs w:val="30"/>
          <w:lang w:eastAsia="zh-CN"/>
        </w:rPr>
        <w:t>“三定”设立</w:t>
      </w:r>
      <w:r>
        <w:rPr>
          <w:rFonts w:hint="eastAsia" w:ascii="仿宋" w:hAnsi="仿宋" w:eastAsia="仿宋" w:cs="仿宋"/>
          <w:kern w:val="2"/>
          <w:sz w:val="30"/>
          <w:szCs w:val="30"/>
          <w:lang w:val="en-US" w:eastAsia="zh-CN"/>
        </w:rPr>
        <w:t>4</w:t>
      </w:r>
      <w:r>
        <w:rPr>
          <w:rFonts w:hint="eastAsia" w:ascii="仿宋" w:hAnsi="仿宋" w:eastAsia="仿宋" w:cs="仿宋"/>
          <w:kern w:val="2"/>
          <w:sz w:val="30"/>
          <w:szCs w:val="30"/>
        </w:rPr>
        <w:t>个机构：市生态环境局平江分局机关、岳阳市平江生态环境保护综合行政执法大队、岳阳市平江生态环境监测站、岳阳市平江生态环境事务中心。</w:t>
      </w:r>
    </w:p>
    <w:p>
      <w:pPr>
        <w:pStyle w:val="10"/>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10"/>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widowControl/>
        <w:spacing w:line="600" w:lineRule="exact"/>
        <w:ind w:firstLine="600" w:firstLineChars="200"/>
        <w:rPr>
          <w:rFonts w:hint="default" w:ascii="仿宋" w:hAnsi="仿宋" w:eastAsia="仿宋" w:cs="仿宋"/>
          <w:kern w:val="2"/>
          <w:sz w:val="30"/>
          <w:szCs w:val="30"/>
        </w:rPr>
      </w:pPr>
      <w:r>
        <w:rPr>
          <w:rFonts w:hint="eastAsia" w:ascii="仿宋" w:hAnsi="仿宋" w:eastAsia="仿宋" w:cs="仿宋"/>
          <w:kern w:val="2"/>
          <w:sz w:val="30"/>
          <w:szCs w:val="30"/>
        </w:rPr>
        <w:t>202</w:t>
      </w:r>
      <w:r>
        <w:rPr>
          <w:rFonts w:hint="eastAsia" w:ascii="仿宋" w:hAnsi="仿宋" w:eastAsia="仿宋" w:cs="仿宋"/>
          <w:kern w:val="2"/>
          <w:sz w:val="30"/>
          <w:szCs w:val="30"/>
          <w:lang w:val="en-US" w:eastAsia="zh-CN"/>
        </w:rPr>
        <w:t>3</w:t>
      </w:r>
      <w:r>
        <w:rPr>
          <w:rFonts w:hint="eastAsia" w:ascii="仿宋" w:hAnsi="仿宋" w:eastAsia="仿宋" w:cs="仿宋"/>
          <w:kern w:val="2"/>
          <w:sz w:val="30"/>
          <w:szCs w:val="30"/>
        </w:rPr>
        <w:t>年基本支出年初预算数为</w:t>
      </w:r>
      <w:r>
        <w:rPr>
          <w:rFonts w:hint="eastAsia" w:ascii="仿宋" w:hAnsi="仿宋" w:eastAsia="仿宋" w:cs="仿宋"/>
          <w:kern w:val="2"/>
          <w:sz w:val="30"/>
          <w:szCs w:val="30"/>
          <w:lang w:val="en-US" w:eastAsia="zh-CN"/>
        </w:rPr>
        <w:t>1413.56</w:t>
      </w:r>
      <w:r>
        <w:rPr>
          <w:rFonts w:hint="eastAsia" w:ascii="仿宋" w:hAnsi="仿宋" w:eastAsia="仿宋" w:cs="仿宋"/>
          <w:kern w:val="2"/>
          <w:sz w:val="30"/>
          <w:szCs w:val="30"/>
        </w:rPr>
        <w:t>万元，</w:t>
      </w:r>
      <w:r>
        <w:rPr>
          <w:rFonts w:hint="eastAsia" w:ascii="仿宋" w:hAnsi="仿宋" w:eastAsia="仿宋" w:cs="仿宋"/>
          <w:kern w:val="2"/>
          <w:sz w:val="30"/>
          <w:szCs w:val="30"/>
          <w:lang w:eastAsia="zh-CN"/>
        </w:rPr>
        <w:t>决算</w:t>
      </w:r>
      <w:r>
        <w:rPr>
          <w:rFonts w:hint="eastAsia" w:ascii="仿宋" w:hAnsi="仿宋" w:eastAsia="仿宋" w:cs="仿宋"/>
          <w:kern w:val="2"/>
          <w:sz w:val="30"/>
          <w:szCs w:val="30"/>
        </w:rPr>
        <w:t>实际支出数为</w:t>
      </w:r>
      <w:r>
        <w:rPr>
          <w:rFonts w:hint="eastAsia" w:ascii="仿宋" w:hAnsi="仿宋" w:eastAsia="仿宋" w:cs="仿宋"/>
          <w:kern w:val="2"/>
          <w:sz w:val="30"/>
          <w:szCs w:val="30"/>
          <w:lang w:val="en-US" w:eastAsia="zh-CN"/>
        </w:rPr>
        <w:t>1415.86</w:t>
      </w:r>
      <w:r>
        <w:rPr>
          <w:rFonts w:hint="eastAsia" w:ascii="仿宋" w:hAnsi="仿宋" w:eastAsia="仿宋" w:cs="仿宋"/>
          <w:kern w:val="2"/>
          <w:sz w:val="30"/>
          <w:szCs w:val="30"/>
        </w:rPr>
        <w:t>万元。其中：人员经费</w:t>
      </w:r>
      <w:r>
        <w:rPr>
          <w:rFonts w:hint="eastAsia" w:ascii="仿宋" w:hAnsi="仿宋" w:eastAsia="仿宋" w:cs="仿宋"/>
          <w:kern w:val="2"/>
          <w:sz w:val="30"/>
          <w:szCs w:val="30"/>
          <w:lang w:val="en-US" w:eastAsia="zh-CN"/>
        </w:rPr>
        <w:t>1183.38</w:t>
      </w:r>
      <w:r>
        <w:rPr>
          <w:rFonts w:hint="eastAsia" w:ascii="仿宋" w:hAnsi="仿宋" w:eastAsia="仿宋" w:cs="仿宋"/>
          <w:kern w:val="2"/>
          <w:sz w:val="30"/>
          <w:szCs w:val="30"/>
        </w:rPr>
        <w:t>万元，主要包括：基本工资、津贴补贴、奖金、绩效工资、机关事业单位基本养老保险缴费、职工基本医疗保险缴费、其他社会保障缴费、住房公积金、其他工资福利支出</w:t>
      </w:r>
      <w:r>
        <w:rPr>
          <w:rFonts w:hint="eastAsia" w:ascii="仿宋" w:hAnsi="仿宋" w:eastAsia="仿宋" w:cs="仿宋"/>
          <w:kern w:val="2"/>
          <w:sz w:val="30"/>
          <w:szCs w:val="30"/>
          <w:lang w:eastAsia="zh-CN"/>
        </w:rPr>
        <w:t>等</w:t>
      </w:r>
      <w:r>
        <w:rPr>
          <w:rFonts w:hint="eastAsia" w:ascii="仿宋" w:hAnsi="仿宋" w:eastAsia="仿宋" w:cs="仿宋"/>
          <w:kern w:val="2"/>
          <w:sz w:val="30"/>
          <w:szCs w:val="30"/>
        </w:rPr>
        <w:t>；公用经费</w:t>
      </w:r>
      <w:r>
        <w:rPr>
          <w:rFonts w:hint="eastAsia" w:ascii="仿宋" w:hAnsi="仿宋" w:eastAsia="仿宋" w:cs="仿宋"/>
          <w:kern w:val="2"/>
          <w:sz w:val="30"/>
          <w:szCs w:val="30"/>
          <w:lang w:val="en-US" w:eastAsia="zh-CN"/>
        </w:rPr>
        <w:t>232.48</w:t>
      </w:r>
      <w:r>
        <w:rPr>
          <w:rFonts w:hint="eastAsia" w:ascii="仿宋" w:hAnsi="仿宋" w:eastAsia="仿宋" w:cs="仿宋"/>
          <w:kern w:val="2"/>
          <w:sz w:val="30"/>
          <w:szCs w:val="30"/>
        </w:rPr>
        <w:t>万元，主要包括：办公费、邮电费、差旅费、培训费、工会经费、其他商品和服务支出</w:t>
      </w:r>
      <w:r>
        <w:rPr>
          <w:rFonts w:hint="eastAsia" w:ascii="仿宋" w:hAnsi="仿宋" w:eastAsia="仿宋" w:cs="仿宋"/>
          <w:kern w:val="2"/>
          <w:sz w:val="30"/>
          <w:szCs w:val="30"/>
          <w:lang w:eastAsia="zh-CN"/>
        </w:rPr>
        <w:t>等</w:t>
      </w:r>
      <w:r>
        <w:rPr>
          <w:rFonts w:hint="eastAsia" w:ascii="仿宋" w:hAnsi="仿宋" w:eastAsia="仿宋" w:cs="仿宋"/>
          <w:kern w:val="2"/>
          <w:sz w:val="30"/>
          <w:szCs w:val="30"/>
        </w:rPr>
        <w:t>。</w:t>
      </w:r>
    </w:p>
    <w:p>
      <w:pPr>
        <w:pStyle w:val="10"/>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widowControl/>
        <w:spacing w:line="600" w:lineRule="exact"/>
        <w:ind w:firstLine="600" w:firstLineChars="200"/>
        <w:rPr>
          <w:rFonts w:hint="eastAsia" w:ascii="仿宋" w:hAnsi="仿宋" w:eastAsia="仿宋" w:cs="仿宋"/>
          <w:kern w:val="2"/>
          <w:sz w:val="30"/>
          <w:szCs w:val="30"/>
          <w:lang w:val="en-US" w:eastAsia="zh-CN"/>
        </w:rPr>
      </w:pPr>
      <w:r>
        <w:rPr>
          <w:rFonts w:hint="eastAsia" w:ascii="仿宋" w:hAnsi="仿宋" w:eastAsia="仿宋" w:cs="仿宋"/>
          <w:kern w:val="2"/>
          <w:sz w:val="30"/>
          <w:szCs w:val="30"/>
        </w:rPr>
        <w:t>202</w:t>
      </w:r>
      <w:r>
        <w:rPr>
          <w:rFonts w:hint="eastAsia" w:ascii="仿宋" w:hAnsi="仿宋" w:eastAsia="仿宋" w:cs="仿宋"/>
          <w:kern w:val="2"/>
          <w:sz w:val="30"/>
          <w:szCs w:val="30"/>
          <w:lang w:val="en-US" w:eastAsia="zh-CN"/>
        </w:rPr>
        <w:t>3</w:t>
      </w:r>
      <w:r>
        <w:rPr>
          <w:rFonts w:hint="eastAsia" w:ascii="仿宋" w:hAnsi="仿宋" w:eastAsia="仿宋" w:cs="仿宋"/>
          <w:kern w:val="2"/>
          <w:sz w:val="30"/>
          <w:szCs w:val="30"/>
        </w:rPr>
        <w:t>年项目支出年初预算数为167.73万元，决算实际支出数为</w:t>
      </w:r>
      <w:r>
        <w:rPr>
          <w:rFonts w:hint="eastAsia" w:eastAsia="仿宋" w:cs="仿宋"/>
          <w:kern w:val="2"/>
          <w:sz w:val="30"/>
          <w:szCs w:val="30"/>
          <w:lang w:val="en-US" w:eastAsia="zh-CN"/>
        </w:rPr>
        <w:t>342.11</w:t>
      </w:r>
      <w:r>
        <w:rPr>
          <w:rFonts w:hint="eastAsia" w:ascii="仿宋" w:hAnsi="仿宋" w:eastAsia="仿宋" w:cs="仿宋"/>
          <w:kern w:val="2"/>
          <w:sz w:val="30"/>
          <w:szCs w:val="30"/>
        </w:rPr>
        <w:t>万元。主要用于</w:t>
      </w:r>
      <w:r>
        <w:rPr>
          <w:rFonts w:hint="eastAsia" w:ascii="仿宋" w:hAnsi="仿宋" w:eastAsia="仿宋" w:cs="仿宋"/>
          <w:kern w:val="2"/>
          <w:sz w:val="30"/>
          <w:szCs w:val="30"/>
          <w:lang w:eastAsia="zh-CN"/>
        </w:rPr>
        <w:t>业务工作经费</w:t>
      </w:r>
      <w:r>
        <w:rPr>
          <w:rFonts w:hint="eastAsia" w:eastAsia="仿宋" w:cs="仿宋"/>
          <w:kern w:val="2"/>
          <w:sz w:val="30"/>
          <w:szCs w:val="30"/>
          <w:lang w:eastAsia="zh-CN"/>
        </w:rPr>
        <w:t>，</w:t>
      </w:r>
      <w:r>
        <w:rPr>
          <w:rFonts w:hint="eastAsia" w:ascii="仿宋" w:hAnsi="仿宋" w:eastAsia="仿宋" w:cs="仿宋"/>
          <w:kern w:val="2"/>
          <w:sz w:val="30"/>
          <w:szCs w:val="30"/>
          <w:lang w:eastAsia="zh-CN"/>
        </w:rPr>
        <w:t>办案费</w:t>
      </w:r>
      <w:r>
        <w:rPr>
          <w:rFonts w:hint="eastAsia" w:eastAsia="仿宋" w:cs="仿宋"/>
          <w:kern w:val="2"/>
          <w:sz w:val="30"/>
          <w:szCs w:val="30"/>
          <w:lang w:eastAsia="zh-CN"/>
        </w:rPr>
        <w:t>，</w:t>
      </w:r>
      <w:r>
        <w:rPr>
          <w:rFonts w:hint="eastAsia" w:ascii="仿宋" w:hAnsi="仿宋" w:eastAsia="仿宋" w:cs="仿宋"/>
          <w:kern w:val="2"/>
          <w:sz w:val="30"/>
          <w:szCs w:val="30"/>
          <w:lang w:eastAsia="zh-CN"/>
        </w:rPr>
        <w:t>环境监测、监控及监察能力建设</w:t>
      </w:r>
      <w:r>
        <w:rPr>
          <w:rFonts w:hint="eastAsia" w:eastAsia="仿宋" w:cs="仿宋"/>
          <w:kern w:val="2"/>
          <w:sz w:val="30"/>
          <w:szCs w:val="30"/>
          <w:lang w:eastAsia="zh-CN"/>
        </w:rPr>
        <w:t>，</w:t>
      </w:r>
      <w:r>
        <w:rPr>
          <w:rFonts w:hint="eastAsia" w:ascii="仿宋" w:hAnsi="仿宋" w:eastAsia="仿宋" w:cs="仿宋"/>
          <w:kern w:val="2"/>
          <w:sz w:val="30"/>
          <w:szCs w:val="30"/>
          <w:lang w:eastAsia="zh-CN"/>
        </w:rPr>
        <w:t>环境监察、监测等运行经费</w:t>
      </w:r>
      <w:r>
        <w:rPr>
          <w:rFonts w:hint="eastAsia" w:eastAsia="仿宋" w:cs="仿宋"/>
          <w:kern w:val="2"/>
          <w:sz w:val="30"/>
          <w:szCs w:val="30"/>
          <w:lang w:eastAsia="zh-CN"/>
        </w:rPr>
        <w:t>，</w:t>
      </w:r>
      <w:r>
        <w:rPr>
          <w:rFonts w:hint="eastAsia" w:ascii="仿宋" w:hAnsi="仿宋" w:eastAsia="仿宋" w:cs="仿宋"/>
          <w:kern w:val="2"/>
          <w:sz w:val="30"/>
          <w:szCs w:val="30"/>
          <w:lang w:eastAsia="zh-CN"/>
        </w:rPr>
        <w:t>专项资金项目</w:t>
      </w:r>
      <w:r>
        <w:rPr>
          <w:rFonts w:hint="eastAsia" w:ascii="仿宋" w:hAnsi="仿宋" w:eastAsia="仿宋" w:cs="仿宋"/>
          <w:kern w:val="2"/>
          <w:sz w:val="30"/>
          <w:szCs w:val="30"/>
        </w:rPr>
        <w:t>等方面。</w:t>
      </w:r>
    </w:p>
    <w:p>
      <w:pPr>
        <w:pStyle w:val="10"/>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政府性基金预算支出情况</w:t>
      </w:r>
    </w:p>
    <w:p>
      <w:pPr>
        <w:widowControl/>
        <w:spacing w:line="600" w:lineRule="exact"/>
        <w:ind w:firstLine="600" w:firstLineChars="200"/>
        <w:rPr>
          <w:rFonts w:hint="default" w:ascii="仿宋" w:hAnsi="仿宋" w:eastAsia="仿宋" w:cs="仿宋"/>
          <w:kern w:val="2"/>
          <w:sz w:val="30"/>
          <w:szCs w:val="30"/>
        </w:rPr>
      </w:pPr>
      <w:r>
        <w:rPr>
          <w:rFonts w:hint="eastAsia" w:ascii="仿宋" w:hAnsi="仿宋" w:eastAsia="仿宋" w:cs="仿宋"/>
          <w:kern w:val="2"/>
          <w:sz w:val="30"/>
          <w:szCs w:val="30"/>
          <w:lang w:val="en-US" w:eastAsia="zh-CN"/>
        </w:rPr>
        <w:t>2023年无政府性基金预算支出情况。</w:t>
      </w:r>
    </w:p>
    <w:p>
      <w:pPr>
        <w:pStyle w:val="10"/>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default" w:ascii="Times New Roman" w:hAnsi="Times New Roman" w:eastAsia="黑体" w:cs="Times New Roman"/>
          <w:sz w:val="32"/>
          <w:szCs w:val="32"/>
          <w:highlight w:val="none"/>
        </w:rPr>
      </w:pPr>
      <w:r>
        <w:rPr>
          <w:rFonts w:hint="eastAsia" w:ascii="仿宋" w:hAnsi="仿宋" w:eastAsia="仿宋" w:cs="仿宋"/>
          <w:kern w:val="2"/>
          <w:sz w:val="30"/>
          <w:szCs w:val="30"/>
          <w:lang w:val="en-US" w:eastAsia="zh-CN"/>
        </w:rPr>
        <w:t>2023年无国有资本经营预算支出情况。</w:t>
      </w:r>
    </w:p>
    <w:p>
      <w:pPr>
        <w:pStyle w:val="10"/>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default"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2023年无社会保险基金预算支出情况。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eastAsia="仿宋" w:cs="仿宋"/>
          <w:kern w:val="2"/>
          <w:sz w:val="30"/>
          <w:szCs w:val="30"/>
          <w:lang w:val="en-US" w:eastAsia="zh-CN"/>
        </w:rPr>
        <w:t>（一）</w:t>
      </w:r>
      <w:r>
        <w:rPr>
          <w:rFonts w:hint="eastAsia" w:ascii="仿宋" w:hAnsi="仿宋" w:eastAsia="仿宋" w:cs="仿宋"/>
          <w:kern w:val="2"/>
          <w:sz w:val="30"/>
          <w:szCs w:val="30"/>
          <w:lang w:val="en-US" w:eastAsia="zh-CN"/>
        </w:rPr>
        <w:t xml:space="preserve">部门资金情况分析 </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我</w:t>
      </w:r>
      <w:r>
        <w:rPr>
          <w:rFonts w:hint="eastAsia" w:eastAsia="仿宋" w:cs="仿宋"/>
          <w:kern w:val="2"/>
          <w:sz w:val="30"/>
          <w:szCs w:val="30"/>
          <w:lang w:val="en-US" w:eastAsia="zh-CN"/>
        </w:rPr>
        <w:t>局2023年资金总额2902.45万元，</w:t>
      </w:r>
      <w:r>
        <w:rPr>
          <w:rFonts w:hint="eastAsia" w:ascii="仿宋" w:hAnsi="仿宋" w:eastAsia="仿宋" w:cs="仿宋"/>
          <w:kern w:val="2"/>
          <w:sz w:val="30"/>
          <w:szCs w:val="30"/>
          <w:lang w:val="en-US" w:eastAsia="zh-CN"/>
        </w:rPr>
        <w:t>专项经费实行专款专用，严格按照相关规定支付</w:t>
      </w:r>
      <w:r>
        <w:rPr>
          <w:rFonts w:hint="eastAsia" w:eastAsia="仿宋" w:cs="仿宋"/>
          <w:kern w:val="2"/>
          <w:sz w:val="30"/>
          <w:szCs w:val="30"/>
          <w:lang w:val="en-US" w:eastAsia="zh-CN"/>
        </w:rPr>
        <w:t>，</w:t>
      </w:r>
      <w:r>
        <w:rPr>
          <w:rFonts w:hint="eastAsia" w:ascii="仿宋" w:hAnsi="仿宋" w:eastAsia="仿宋" w:cs="仿宋"/>
          <w:kern w:val="2"/>
          <w:sz w:val="30"/>
          <w:szCs w:val="30"/>
          <w:lang w:val="en-US" w:eastAsia="zh-CN"/>
        </w:rPr>
        <w:t>资金支付合规合法，资金使用率100%。</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eastAsia="仿宋" w:cs="仿宋"/>
          <w:kern w:val="2"/>
          <w:sz w:val="30"/>
          <w:szCs w:val="30"/>
          <w:lang w:val="en-US" w:eastAsia="zh-CN"/>
        </w:rPr>
        <w:t>（二）</w:t>
      </w:r>
      <w:r>
        <w:rPr>
          <w:rFonts w:hint="eastAsia" w:ascii="仿宋" w:hAnsi="仿宋" w:eastAsia="仿宋" w:cs="仿宋"/>
          <w:kern w:val="2"/>
          <w:sz w:val="30"/>
          <w:szCs w:val="30"/>
          <w:lang w:val="en-US" w:eastAsia="zh-CN"/>
        </w:rPr>
        <w:t>项目绩效指标完成情况分析</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 xml:space="preserve">1.履职效能情况分析 </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default"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2023年，城区空气环境综合指数为2.98，优良率为94.4%（2023年市级考核指标：93.7%），</w:t>
      </w:r>
      <w:r>
        <w:rPr>
          <w:rFonts w:hint="default" w:ascii="仿宋" w:hAnsi="仿宋" w:eastAsia="仿宋" w:cs="仿宋"/>
          <w:kern w:val="2"/>
          <w:sz w:val="30"/>
          <w:szCs w:val="30"/>
          <w:lang w:val="en-US" w:eastAsia="zh-CN"/>
        </w:rPr>
        <w:t>空气环境综合指数</w:t>
      </w:r>
      <w:r>
        <w:rPr>
          <w:rFonts w:hint="eastAsia" w:ascii="仿宋" w:hAnsi="仿宋" w:eastAsia="仿宋" w:cs="仿宋"/>
          <w:kern w:val="2"/>
          <w:sz w:val="30"/>
          <w:szCs w:val="30"/>
          <w:lang w:val="en-US" w:eastAsia="zh-CN"/>
        </w:rPr>
        <w:t>和</w:t>
      </w:r>
      <w:r>
        <w:rPr>
          <w:rFonts w:hint="default" w:ascii="仿宋" w:hAnsi="仿宋" w:eastAsia="仿宋" w:cs="仿宋"/>
          <w:kern w:val="2"/>
          <w:sz w:val="30"/>
          <w:szCs w:val="30"/>
          <w:lang w:val="en-US" w:eastAsia="zh-CN"/>
        </w:rPr>
        <w:t>优良率</w:t>
      </w:r>
      <w:r>
        <w:rPr>
          <w:rFonts w:hint="eastAsia" w:ascii="仿宋" w:hAnsi="仿宋" w:eastAsia="仿宋" w:cs="仿宋"/>
          <w:kern w:val="2"/>
          <w:sz w:val="30"/>
          <w:szCs w:val="30"/>
          <w:lang w:val="en-US" w:eastAsia="zh-CN"/>
        </w:rPr>
        <w:t>排名保持全市第一。1个国考断面（加义水文站）、6个省考断面（黄金洞水库、尧塘水库、杨源洲、严家滩、昌江入汨罗江、新市）水质达到Ⅱ类水质比例达100%，饮用水源水质达标率为100%，水质综合指数3.1402，较去年改善1.8%。全县</w:t>
      </w:r>
      <w:r>
        <w:rPr>
          <w:rFonts w:hint="default" w:ascii="仿宋" w:hAnsi="仿宋" w:eastAsia="仿宋" w:cs="仿宋"/>
          <w:kern w:val="2"/>
          <w:sz w:val="30"/>
          <w:szCs w:val="30"/>
          <w:lang w:val="en-US" w:eastAsia="zh-CN"/>
        </w:rPr>
        <w:t>土壤环境质量总体良好，属于清洁水平。</w:t>
      </w:r>
      <w:r>
        <w:rPr>
          <w:rFonts w:hint="eastAsia" w:ascii="仿宋" w:hAnsi="仿宋" w:eastAsia="仿宋" w:cs="仿宋"/>
          <w:kern w:val="2"/>
          <w:sz w:val="30"/>
          <w:szCs w:val="30"/>
          <w:lang w:val="en-US" w:eastAsia="zh-CN"/>
        </w:rPr>
        <w:t>城区</w:t>
      </w:r>
      <w:r>
        <w:rPr>
          <w:rFonts w:hint="default" w:ascii="仿宋" w:hAnsi="仿宋" w:eastAsia="仿宋" w:cs="仿宋"/>
          <w:kern w:val="2"/>
          <w:sz w:val="30"/>
          <w:szCs w:val="30"/>
          <w:lang w:val="en-US" w:eastAsia="zh-CN"/>
        </w:rPr>
        <w:t>声环境功能区昼间、夜间达标率</w:t>
      </w:r>
      <w:r>
        <w:rPr>
          <w:rFonts w:hint="eastAsia" w:ascii="仿宋" w:hAnsi="仿宋" w:eastAsia="仿宋" w:cs="仿宋"/>
          <w:kern w:val="2"/>
          <w:sz w:val="30"/>
          <w:szCs w:val="30"/>
          <w:lang w:val="en-US" w:eastAsia="zh-CN"/>
        </w:rPr>
        <w:t>均</w:t>
      </w:r>
      <w:r>
        <w:rPr>
          <w:rFonts w:hint="default" w:ascii="仿宋" w:hAnsi="仿宋" w:eastAsia="仿宋" w:cs="仿宋"/>
          <w:kern w:val="2"/>
          <w:sz w:val="30"/>
          <w:szCs w:val="30"/>
          <w:lang w:val="en-US" w:eastAsia="zh-CN"/>
        </w:rPr>
        <w:t>为85.7%，总体稳定。全县环境风险应急预案备案企业249家，环境风险总体稳定可控，未发生等级以上环境污染事件和生态破坏事故。全县2个农村环境质量监控村庄（天岳街道狮岩村、加义</w:t>
      </w:r>
      <w:r>
        <w:rPr>
          <w:rFonts w:hint="default" w:ascii="仿宋" w:hAnsi="仿宋" w:eastAsia="仿宋" w:cs="仿宋"/>
          <w:kern w:val="2"/>
          <w:sz w:val="30"/>
          <w:szCs w:val="30"/>
          <w:lang w:val="en-US" w:eastAsia="zh-CN"/>
        </w:rPr>
        <w:fldChar w:fldCharType="begin"/>
      </w:r>
      <w:r>
        <w:rPr>
          <w:rFonts w:hint="default" w:ascii="仿宋" w:hAnsi="仿宋" w:eastAsia="仿宋" w:cs="仿宋"/>
          <w:kern w:val="2"/>
          <w:sz w:val="30"/>
          <w:szCs w:val="30"/>
          <w:lang w:val="en-US" w:eastAsia="zh-CN"/>
        </w:rPr>
        <w:instrText xml:space="preserve"> HYPERLINK "http://www.baidu.com/link?url=-_KVeHPCHpc8Oh2ujzFRw1Qv9C7LWZZIK3JkVDdqwQk-n0zAYJtGVm-AD79OgJtWKPvtlfPUMcnbcKPrJSd4U9YbXr_BZ3b6gbVik_BCKza" \t "https://www.baidu.com/_blank" </w:instrText>
      </w:r>
      <w:r>
        <w:rPr>
          <w:rFonts w:hint="default" w:ascii="仿宋" w:hAnsi="仿宋" w:eastAsia="仿宋" w:cs="仿宋"/>
          <w:kern w:val="2"/>
          <w:sz w:val="30"/>
          <w:szCs w:val="30"/>
          <w:lang w:val="en-US" w:eastAsia="zh-CN"/>
        </w:rPr>
        <w:fldChar w:fldCharType="separate"/>
      </w:r>
      <w:r>
        <w:rPr>
          <w:rFonts w:hint="default" w:ascii="仿宋" w:hAnsi="仿宋" w:eastAsia="仿宋" w:cs="仿宋"/>
          <w:kern w:val="2"/>
          <w:sz w:val="30"/>
          <w:szCs w:val="30"/>
          <w:lang w:val="en-US" w:eastAsia="zh-CN"/>
        </w:rPr>
        <w:t>高塅村</w:t>
      </w:r>
      <w:r>
        <w:rPr>
          <w:rFonts w:hint="default" w:ascii="仿宋" w:hAnsi="仿宋" w:eastAsia="仿宋" w:cs="仿宋"/>
          <w:kern w:val="2"/>
          <w:sz w:val="30"/>
          <w:szCs w:val="30"/>
          <w:lang w:val="en-US" w:eastAsia="zh-CN"/>
        </w:rPr>
        <w:fldChar w:fldCharType="end"/>
      </w:r>
      <w:r>
        <w:rPr>
          <w:rFonts w:hint="default" w:ascii="仿宋" w:hAnsi="仿宋" w:eastAsia="仿宋" w:cs="仿宋"/>
          <w:kern w:val="2"/>
          <w:sz w:val="30"/>
          <w:szCs w:val="30"/>
          <w:lang w:val="en-US" w:eastAsia="zh-CN"/>
        </w:rPr>
        <w:t>）空气、水、土壤等监测结果均在相关标准范围内，总体稳定。</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2.管理效率情况分析</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预算编制完整，专项资金细化率、预算执行率达到标准，预算调整率偏高，主要原因是</w:t>
      </w:r>
      <w:r>
        <w:rPr>
          <w:rFonts w:hint="eastAsia" w:eastAsia="仿宋" w:cs="仿宋"/>
          <w:kern w:val="2"/>
          <w:sz w:val="30"/>
          <w:szCs w:val="30"/>
          <w:lang w:val="en-US" w:eastAsia="zh-CN"/>
        </w:rPr>
        <w:t>今年县级生态环境事权</w:t>
      </w:r>
      <w:r>
        <w:rPr>
          <w:rFonts w:hint="eastAsia" w:ascii="仿宋" w:hAnsi="仿宋" w:eastAsia="仿宋" w:cs="仿宋"/>
          <w:kern w:val="2"/>
          <w:sz w:val="30"/>
          <w:szCs w:val="30"/>
          <w:lang w:val="en-US" w:eastAsia="zh-CN"/>
        </w:rPr>
        <w:t>增加导致预算调整金额增加。收入支出管理规范，内控制度有效，资产管理规范，部门固定资产利用率符合目标，信息化建设和管理制度建设有效。</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3.运行成本控制情况分析</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“三公经费”</w:t>
      </w:r>
      <w:r>
        <w:rPr>
          <w:rFonts w:hint="eastAsia" w:eastAsia="仿宋" w:cs="仿宋"/>
          <w:kern w:val="2"/>
          <w:sz w:val="30"/>
          <w:szCs w:val="30"/>
          <w:lang w:val="en-US" w:eastAsia="zh-CN"/>
        </w:rPr>
        <w:t>、公用经费均控制在预算范围内，项目支出有所超出预算，原因</w:t>
      </w:r>
      <w:r>
        <w:rPr>
          <w:rFonts w:hint="eastAsia" w:eastAsia="仿宋" w:cs="仿宋"/>
          <w:color w:val="000000" w:themeColor="text1"/>
          <w:kern w:val="2"/>
          <w:sz w:val="30"/>
          <w:szCs w:val="30"/>
          <w:lang w:val="en-US" w:eastAsia="zh-CN"/>
          <w14:textFill>
            <w14:solidFill>
              <w14:schemeClr w14:val="tx1"/>
            </w14:solidFill>
          </w14:textFill>
        </w:rPr>
        <w:t>在于本年度生态环境县级事权增多</w:t>
      </w:r>
      <w:r>
        <w:rPr>
          <w:rFonts w:hint="eastAsia" w:ascii="仿宋" w:hAnsi="仿宋" w:eastAsia="仿宋" w:cs="仿宋"/>
          <w:kern w:val="2"/>
          <w:sz w:val="30"/>
          <w:szCs w:val="30"/>
          <w:lang w:val="en-US" w:eastAsia="zh-CN"/>
        </w:rPr>
        <w:t>。</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4.服务满意度指标完成情况分析</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通过问卷调查形式获得数据反馈情况，群众满意度、对口部门满意度、企业满意度、社会组织满意度、外部监督部门满意度均达到设定的目标。</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5.可持续性影响情况分析</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2023年，在市委市政府的坚强领导和市生环局的有力指导下，平江坚持以“优”为目标，“控”为重点、“治”为基础、“创”为核心，全力推进污染防治攻坚战，扎实推进“绿水青山就是金山银山”（以下简称“两山”）实践创新基地建设，一批环境基础设施有序推进，一批突出问题有效整治，生态环境总体质量保持全市前列</w:t>
      </w:r>
    </w:p>
    <w:p>
      <w:pPr>
        <w:pStyle w:val="10"/>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default" w:ascii="仿宋" w:hAnsi="仿宋" w:eastAsia="仿宋" w:cs="仿宋"/>
          <w:kern w:val="2"/>
          <w:sz w:val="30"/>
          <w:szCs w:val="30"/>
          <w:lang w:val="en-US" w:eastAsia="zh-CN"/>
        </w:rPr>
      </w:pPr>
      <w:r>
        <w:rPr>
          <w:rFonts w:hint="default" w:ascii="仿宋" w:hAnsi="仿宋" w:eastAsia="仿宋" w:cs="仿宋"/>
          <w:kern w:val="2"/>
          <w:sz w:val="30"/>
          <w:szCs w:val="30"/>
          <w:lang w:val="en-US" w:eastAsia="zh-CN"/>
        </w:rPr>
        <w:t>存在问题个别项目资金使用方面预算与实际存在差异。问题产生的主要原因</w:t>
      </w:r>
      <w:r>
        <w:rPr>
          <w:rFonts w:hint="eastAsia" w:eastAsia="仿宋" w:cs="仿宋"/>
          <w:kern w:val="2"/>
          <w:sz w:val="30"/>
          <w:szCs w:val="30"/>
          <w:lang w:val="en-US" w:eastAsia="zh-CN"/>
        </w:rPr>
        <w:t>：</w:t>
      </w:r>
      <w:r>
        <w:rPr>
          <w:rFonts w:hint="default" w:ascii="仿宋" w:hAnsi="仿宋" w:eastAsia="仿宋" w:cs="仿宋"/>
          <w:kern w:val="2"/>
          <w:sz w:val="30"/>
          <w:szCs w:val="30"/>
          <w:lang w:val="en-US" w:eastAsia="zh-CN"/>
        </w:rPr>
        <w:t>面对生态环境保护的新形势，上级的新要求，群众的新期望还有差距</w:t>
      </w:r>
      <w:r>
        <w:rPr>
          <w:rFonts w:hint="eastAsia" w:eastAsia="仿宋" w:cs="仿宋"/>
          <w:kern w:val="2"/>
          <w:sz w:val="30"/>
          <w:szCs w:val="30"/>
          <w:lang w:val="en-US" w:eastAsia="zh-CN"/>
        </w:rPr>
        <w:t>，管理机制还不够顺畅，乡镇独立的环保站办未实质设立，</w:t>
      </w:r>
      <w:r>
        <w:rPr>
          <w:rFonts w:hint="default" w:ascii="仿宋" w:hAnsi="仿宋" w:eastAsia="仿宋" w:cs="仿宋"/>
          <w:kern w:val="2"/>
          <w:sz w:val="30"/>
          <w:szCs w:val="30"/>
          <w:lang w:val="en-US" w:eastAsia="zh-CN"/>
        </w:rPr>
        <w:t>绩效管理水平有待提高，特别是绩效指标设置的科学性、合理性有待进一步改善。</w:t>
      </w:r>
    </w:p>
    <w:p>
      <w:pPr>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加强财务管理，严格财务审批。在费用报账支付时，按照预算规定的费用项目和用途进行资金使用、审核，列报支付，财务核算杜绝超支现象的发生。</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加强培训。建议多开展部门整体绩效评价工作的业务工作培训，组织开展部门之间、单位之间的经验交流，特别是要组织非财务部门的人员参与评价工作，切实推进绩效评价工作的开展。</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default" w:ascii="仿宋" w:hAnsi="仿宋" w:eastAsia="仿宋" w:cs="仿宋"/>
          <w:kern w:val="2"/>
          <w:sz w:val="30"/>
          <w:szCs w:val="30"/>
          <w:lang w:val="en-US" w:eastAsia="zh-CN"/>
        </w:rPr>
      </w:pPr>
      <w:r>
        <w:rPr>
          <w:rFonts w:hint="eastAsia" w:ascii="仿宋" w:hAnsi="仿宋" w:eastAsia="仿宋" w:cs="仿宋"/>
          <w:kern w:val="2"/>
          <w:sz w:val="30"/>
          <w:szCs w:val="30"/>
          <w:lang w:val="en-US" w:eastAsia="zh-CN"/>
        </w:rPr>
        <w:t>建议市财政进一步加大环境保护资金力度，保障水、气、土攻坚“三大战役”持续推进，促进本辖区环境总体质量稳步提升。</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640" w:lineRule="exact"/>
        <w:ind w:firstLine="600" w:firstLineChars="200"/>
        <w:jc w:val="both"/>
        <w:textAlignment w:val="auto"/>
        <w:rPr>
          <w:rFonts w:hint="default" w:ascii="Times New Roman" w:hAnsi="Times New Roman" w:eastAsia="黑体" w:cs="Times New Roman"/>
          <w:sz w:val="32"/>
          <w:szCs w:val="32"/>
          <w:highlight w:val="none"/>
        </w:rPr>
      </w:pPr>
      <w:r>
        <w:rPr>
          <w:rFonts w:hint="eastAsia" w:ascii="仿宋" w:hAnsi="仿宋" w:eastAsia="仿宋" w:cs="仿宋"/>
          <w:kern w:val="2"/>
          <w:sz w:val="30"/>
          <w:szCs w:val="30"/>
          <w:lang w:val="en-US" w:eastAsia="zh-CN"/>
        </w:rPr>
        <w:t>本单位高度重视此项绩效自评工作，积极落实主体责任，切实加强组织领导，按照绩效评价相关制度规定，明确具体责任人，认真开展自评，撰写了此份绩效评价报告，确保绩效自评工作顺利实施，并将按照要求进行信息公开，对存在的问题积极整改。</w:t>
      </w:r>
      <w:r>
        <w:rPr>
          <w:rFonts w:hint="eastAsia" w:eastAsia="仿宋" w:cs="仿宋"/>
          <w:kern w:val="2"/>
          <w:sz w:val="30"/>
          <w:szCs w:val="30"/>
          <w:lang w:val="en-US" w:eastAsia="zh-CN"/>
        </w:rPr>
        <w:tab/>
      </w: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eastAsia" w:ascii="仿宋" w:hAnsi="仿宋" w:eastAsia="仿宋" w:cs="仿宋"/>
          <w:kern w:val="2"/>
          <w:sz w:val="30"/>
          <w:szCs w:val="30"/>
          <w:lang w:val="en-US" w:eastAsia="zh-CN"/>
        </w:rPr>
      </w:pPr>
      <w:r>
        <w:rPr>
          <w:rFonts w:hint="eastAsia" w:eastAsia="仿宋" w:cs="仿宋"/>
          <w:kern w:val="2"/>
          <w:sz w:val="30"/>
          <w:szCs w:val="30"/>
          <w:lang w:val="en-US" w:eastAsia="zh-CN"/>
        </w:rPr>
        <w:t>无。</w:t>
      </w:r>
    </w:p>
    <w:p>
      <w:pPr>
        <w:keepNext w:val="0"/>
        <w:keepLines w:val="0"/>
        <w:pageBreakBefore w:val="0"/>
        <w:widowControl w:val="0"/>
        <w:kinsoku/>
        <w:wordWrap/>
        <w:overflowPunct/>
        <w:topLinePunct w:val="0"/>
        <w:autoSpaceDE/>
        <w:autoSpaceDN/>
        <w:bidi w:val="0"/>
        <w:adjustRightInd/>
        <w:snapToGrid/>
        <w:ind w:left="0" w:firstLine="600" w:firstLineChars="200"/>
        <w:jc w:val="left"/>
        <w:textAlignment w:val="auto"/>
        <w:rPr>
          <w:rFonts w:hint="default" w:ascii="仿宋" w:hAnsi="仿宋" w:eastAsia="仿宋" w:cs="仿宋"/>
          <w:kern w:val="2"/>
          <w:sz w:val="30"/>
          <w:szCs w:val="30"/>
          <w:lang w:val="en-US" w:eastAsia="zh-CN"/>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33E06B"/>
    <w:multiLevelType w:val="singleLevel"/>
    <w:tmpl w:val="9A33E06B"/>
    <w:lvl w:ilvl="0" w:tentative="0">
      <w:start w:val="1"/>
      <w:numFmt w:val="chineseCounting"/>
      <w:suff w:val="nothing"/>
      <w:lvlText w:val="%1、"/>
      <w:lvlJc w:val="left"/>
      <w:rPr>
        <w:rFonts w:hint="eastAsia"/>
      </w:rPr>
    </w:lvl>
  </w:abstractNum>
  <w:abstractNum w:abstractNumId="1">
    <w:nsid w:val="B082758B"/>
    <w:multiLevelType w:val="singleLevel"/>
    <w:tmpl w:val="B082758B"/>
    <w:lvl w:ilvl="0" w:tentative="0">
      <w:start w:val="2"/>
      <w:numFmt w:val="chineseCounting"/>
      <w:suff w:val="nothing"/>
      <w:lvlText w:val="（%1）"/>
      <w:lvlJc w:val="left"/>
      <w:rPr>
        <w:rFonts w:hint="eastAsia"/>
      </w:rPr>
    </w:lvl>
  </w:abstractNum>
  <w:abstractNum w:abstractNumId="2">
    <w:nsid w:val="00F9874B"/>
    <w:multiLevelType w:val="singleLevel"/>
    <w:tmpl w:val="00F9874B"/>
    <w:lvl w:ilvl="0" w:tentative="0">
      <w:start w:val="8"/>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59886344"/>
    <w:rsid w:val="002C08BB"/>
    <w:rsid w:val="007759E0"/>
    <w:rsid w:val="04654360"/>
    <w:rsid w:val="063028A8"/>
    <w:rsid w:val="067B686D"/>
    <w:rsid w:val="089E3E17"/>
    <w:rsid w:val="093231D6"/>
    <w:rsid w:val="0E9F1CD8"/>
    <w:rsid w:val="0FC1070A"/>
    <w:rsid w:val="0FFF6FF0"/>
    <w:rsid w:val="102978DA"/>
    <w:rsid w:val="10E12267"/>
    <w:rsid w:val="117619C8"/>
    <w:rsid w:val="126E269F"/>
    <w:rsid w:val="13A91BE1"/>
    <w:rsid w:val="152A48FD"/>
    <w:rsid w:val="18365A0D"/>
    <w:rsid w:val="199B16E5"/>
    <w:rsid w:val="1A881A08"/>
    <w:rsid w:val="1B3F33BD"/>
    <w:rsid w:val="1B94128E"/>
    <w:rsid w:val="1BC1236C"/>
    <w:rsid w:val="1C6430AA"/>
    <w:rsid w:val="1CA9726E"/>
    <w:rsid w:val="1CD40419"/>
    <w:rsid w:val="1D2F3B3E"/>
    <w:rsid w:val="1D597CA7"/>
    <w:rsid w:val="1EE71D4D"/>
    <w:rsid w:val="21C84F6A"/>
    <w:rsid w:val="22D135F3"/>
    <w:rsid w:val="22D34474"/>
    <w:rsid w:val="23561D84"/>
    <w:rsid w:val="23D42CAA"/>
    <w:rsid w:val="245834F6"/>
    <w:rsid w:val="24FB1784"/>
    <w:rsid w:val="256838D4"/>
    <w:rsid w:val="26AB5818"/>
    <w:rsid w:val="277D533A"/>
    <w:rsid w:val="27E04A80"/>
    <w:rsid w:val="2A21651D"/>
    <w:rsid w:val="2B391645"/>
    <w:rsid w:val="2C9C0EB8"/>
    <w:rsid w:val="2CE675AA"/>
    <w:rsid w:val="2E342663"/>
    <w:rsid w:val="2F0C7FC8"/>
    <w:rsid w:val="2FE57FED"/>
    <w:rsid w:val="3080086A"/>
    <w:rsid w:val="32901E8B"/>
    <w:rsid w:val="32E20814"/>
    <w:rsid w:val="34C62076"/>
    <w:rsid w:val="34CC177B"/>
    <w:rsid w:val="35154937"/>
    <w:rsid w:val="372A7529"/>
    <w:rsid w:val="38654298"/>
    <w:rsid w:val="3927370A"/>
    <w:rsid w:val="3ADD527F"/>
    <w:rsid w:val="3C830972"/>
    <w:rsid w:val="3C860462"/>
    <w:rsid w:val="3CBC20D5"/>
    <w:rsid w:val="3D89020A"/>
    <w:rsid w:val="3EA00DD4"/>
    <w:rsid w:val="40550877"/>
    <w:rsid w:val="407928EC"/>
    <w:rsid w:val="4142704D"/>
    <w:rsid w:val="429B1F12"/>
    <w:rsid w:val="46674E60"/>
    <w:rsid w:val="4A4D2BFA"/>
    <w:rsid w:val="4CD71E3C"/>
    <w:rsid w:val="4E377A81"/>
    <w:rsid w:val="4E742810"/>
    <w:rsid w:val="4F9C7485"/>
    <w:rsid w:val="4FB71EEF"/>
    <w:rsid w:val="503E30D6"/>
    <w:rsid w:val="543A1709"/>
    <w:rsid w:val="54754BEC"/>
    <w:rsid w:val="549E1E6E"/>
    <w:rsid w:val="54F5564F"/>
    <w:rsid w:val="55582AEC"/>
    <w:rsid w:val="557E3F74"/>
    <w:rsid w:val="563805C7"/>
    <w:rsid w:val="563B2DE0"/>
    <w:rsid w:val="565465FE"/>
    <w:rsid w:val="56DC003D"/>
    <w:rsid w:val="598315DE"/>
    <w:rsid w:val="59886344"/>
    <w:rsid w:val="59950F64"/>
    <w:rsid w:val="59B25B64"/>
    <w:rsid w:val="5AEF6EF7"/>
    <w:rsid w:val="60CC2038"/>
    <w:rsid w:val="60D9577E"/>
    <w:rsid w:val="617050B9"/>
    <w:rsid w:val="61E86918"/>
    <w:rsid w:val="61ED6D3C"/>
    <w:rsid w:val="62856942"/>
    <w:rsid w:val="62977699"/>
    <w:rsid w:val="63A50E63"/>
    <w:rsid w:val="64ED07CF"/>
    <w:rsid w:val="661A07ED"/>
    <w:rsid w:val="672E28B2"/>
    <w:rsid w:val="6A092CEC"/>
    <w:rsid w:val="6A154662"/>
    <w:rsid w:val="6BE35B73"/>
    <w:rsid w:val="6D1D00CD"/>
    <w:rsid w:val="6D2B2B4B"/>
    <w:rsid w:val="6EA039EE"/>
    <w:rsid w:val="6EEB2223"/>
    <w:rsid w:val="6F9D1383"/>
    <w:rsid w:val="6FB0729E"/>
    <w:rsid w:val="714A1482"/>
    <w:rsid w:val="71722E9B"/>
    <w:rsid w:val="75387844"/>
    <w:rsid w:val="75D4756D"/>
    <w:rsid w:val="76A2766B"/>
    <w:rsid w:val="77BE2D13"/>
    <w:rsid w:val="77FB46E5"/>
    <w:rsid w:val="791800B8"/>
    <w:rsid w:val="79800F4D"/>
    <w:rsid w:val="7AB84E03"/>
    <w:rsid w:val="7C413482"/>
    <w:rsid w:val="7C5E7647"/>
    <w:rsid w:val="7D147ACD"/>
    <w:rsid w:val="7EF939F5"/>
    <w:rsid w:val="7FDD34C2"/>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 w:hAnsi="仿宋" w:eastAsia="宋体" w:cs="Times New Roman"/>
      <w:kern w:val="0"/>
      <w:sz w:val="28"/>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val="en-US" w:eastAsia="en-US" w:bidi="ar-SA"/>
    </w:rPr>
  </w:style>
  <w:style w:type="paragraph" w:styleId="3">
    <w:name w:val="Normal Indent"/>
    <w:basedOn w:val="1"/>
    <w:autoRedefine/>
    <w:qFormat/>
    <w:uiPriority w:val="99"/>
    <w:pPr>
      <w:ind w:firstLine="420" w:firstLineChars="200"/>
    </w:pPr>
    <w:rPr>
      <w:rFonts w:eastAsia="仿宋_GB2312" w:cs="仿宋_GB2312"/>
      <w:kern w:val="0"/>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autoRedefine/>
    <w:qFormat/>
    <w:uiPriority w:val="0"/>
    <w:pPr>
      <w:widowControl w:val="0"/>
      <w:spacing w:before="100" w:beforeAutospacing="1" w:after="100" w:afterAutospacing="1"/>
      <w:ind w:left="0" w:right="0"/>
      <w:jc w:val="left"/>
    </w:pPr>
    <w:rPr>
      <w:rFonts w:asciiTheme="minorHAnsi" w:hAnsiTheme="minorHAnsi" w:eastAsiaTheme="minorEastAsia" w:cstheme="minorBidi"/>
      <w:kern w:val="0"/>
      <w:sz w:val="24"/>
      <w:szCs w:val="24"/>
      <w:lang w:val="en-US" w:eastAsia="zh-CN" w:bidi="ar"/>
    </w:rPr>
  </w:style>
  <w:style w:type="paragraph" w:customStyle="1" w:styleId="9">
    <w:name w:val="列出段落1"/>
    <w:basedOn w:val="1"/>
    <w:autoRedefine/>
    <w:qFormat/>
    <w:uiPriority w:val="34"/>
    <w:pPr>
      <w:ind w:firstLine="420" w:firstLineChars="200"/>
    </w:pPr>
  </w:style>
  <w:style w:type="paragraph" w:styleId="10">
    <w:name w:val="List Paragraph"/>
    <w:basedOn w:val="1"/>
    <w:autoRedefine/>
    <w:qFormat/>
    <w:uiPriority w:val="99"/>
    <w:pPr>
      <w:ind w:firstLine="420" w:firstLineChars="200"/>
    </w:pPr>
    <w:rPr>
      <w:rFonts w:ascii="Calibri" w:hAnsi="Calibri"/>
      <w:szCs w:val="22"/>
    </w:rPr>
  </w:style>
  <w:style w:type="table" w:customStyle="1" w:styleId="11">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7056</Words>
  <Characters>7832</Characters>
  <Lines>0</Lines>
  <Paragraphs>0</Paragraphs>
  <TotalTime>0</TotalTime>
  <ScaleCrop>false</ScaleCrop>
  <LinksUpToDate>false</LinksUpToDate>
  <CharactersWithSpaces>8049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Gat</cp:lastModifiedBy>
  <cp:lastPrinted>2024-06-26T07:56:00Z</cp:lastPrinted>
  <dcterms:modified xsi:type="dcterms:W3CDTF">2024-06-27T04:12:28Z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6182D3A10D564617983F46DEE354AEAF</vt:lpwstr>
  </property>
</Properties>
</file>