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line="600" w:lineRule="exact"/>
        <w:jc w:val="both"/>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1</w:t>
      </w:r>
    </w:p>
    <w:p>
      <w:pPr>
        <w:spacing w:after="120" w:afterLines="50" w:line="600" w:lineRule="exact"/>
        <w:jc w:val="center"/>
        <w:rPr>
          <w:rFonts w:hint="eastAsia" w:ascii="方正小标宋简体" w:hAnsi="方正小标宋简体" w:eastAsia="方正小标宋简体" w:cs="方正小标宋简体"/>
          <w:sz w:val="24"/>
          <w:highlight w:val="none"/>
        </w:rPr>
      </w:pPr>
      <w:r>
        <w:rPr>
          <w:rFonts w:hint="eastAsia" w:ascii="方正小标宋简体" w:hAnsi="方正小标宋简体" w:eastAsia="方正小标宋简体" w:cs="方正小标宋简体"/>
          <w:sz w:val="36"/>
          <w:szCs w:val="36"/>
          <w:highlight w:val="none"/>
        </w:rPr>
        <w:t>202</w:t>
      </w:r>
      <w:r>
        <w:rPr>
          <w:rFonts w:hint="eastAsia" w:ascii="方正小标宋简体" w:hAnsi="方正小标宋简体" w:eastAsia="方正小标宋简体" w:cs="方正小标宋简体"/>
          <w:sz w:val="36"/>
          <w:szCs w:val="36"/>
          <w:highlight w:val="none"/>
          <w:lang w:val="en-US" w:eastAsia="zh-CN"/>
        </w:rPr>
        <w:t>3</w:t>
      </w:r>
      <w:r>
        <w:rPr>
          <w:rFonts w:hint="eastAsia" w:ascii="方正小标宋简体" w:hAnsi="方正小标宋简体" w:eastAsia="方正小标宋简体" w:cs="方正小标宋简体"/>
          <w:sz w:val="36"/>
          <w:szCs w:val="36"/>
          <w:highlight w:val="none"/>
        </w:rPr>
        <w:t>年度部门整体支出绩效评价基础数据表</w:t>
      </w:r>
    </w:p>
    <w:tbl>
      <w:tblPr>
        <w:tblStyle w:val="5"/>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财政供养人员情况（人）</w:t>
            </w: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73</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73</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2</w:t>
            </w:r>
            <w:r>
              <w:rPr>
                <w:rFonts w:hint="eastAsia" w:ascii="仿宋_GB2312" w:hAnsi="仿宋_GB2312" w:eastAsia="仿宋_GB2312" w:cs="仿宋_GB2312"/>
                <w:b/>
                <w:bCs/>
                <w:sz w:val="20"/>
                <w:szCs w:val="20"/>
                <w:highlight w:val="none"/>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年决算数</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三公经费</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37.22</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17.00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14.48</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32.83</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9.00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7.09</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19.58</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13.25</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9.00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7.09</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0.00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4.39</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8.00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7.39</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项目支出：</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2089.40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1021.00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3127.91</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1、业务工作经费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1344.19</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1540.74</w:t>
            </w:r>
          </w:p>
        </w:tc>
      </w:tr>
      <w:tr>
        <w:tblPrEx>
          <w:tblCellMar>
            <w:top w:w="0" w:type="dxa"/>
            <w:left w:w="108" w:type="dxa"/>
            <w:bottom w:w="0" w:type="dxa"/>
            <w:right w:w="108" w:type="dxa"/>
          </w:tblCellMar>
        </w:tblPrEx>
        <w:trPr>
          <w:trHeight w:val="256"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2、运行维护经费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3、</w:t>
            </w:r>
            <w:r>
              <w:rPr>
                <w:rFonts w:hint="eastAsia" w:ascii="仿宋_GB2312" w:hAnsi="仿宋_GB2312" w:eastAsia="仿宋_GB2312" w:cs="仿宋_GB2312"/>
                <w:sz w:val="20"/>
                <w:szCs w:val="20"/>
                <w:highlight w:val="none"/>
                <w:lang w:eastAsia="zh-CN"/>
              </w:rPr>
              <w:t>市级</w:t>
            </w:r>
            <w:r>
              <w:rPr>
                <w:rFonts w:hint="eastAsia" w:ascii="仿宋_GB2312" w:hAnsi="仿宋_GB2312" w:eastAsia="仿宋_GB2312" w:cs="仿宋_GB2312"/>
                <w:sz w:val="20"/>
                <w:szCs w:val="20"/>
                <w:highlight w:val="none"/>
              </w:rPr>
              <w:t>专项资金（一个专项一行）</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745.21</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1021.00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val="en-US" w:eastAsia="zh-CN"/>
              </w:rPr>
              <w:t>1587.17</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办案费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w:t>
            </w:r>
            <w:r>
              <w:rPr>
                <w:rFonts w:hint="eastAsia" w:ascii="仿宋_GB2312" w:hAnsi="仿宋_GB2312" w:eastAsia="仿宋_GB2312" w:cs="仿宋_GB2312"/>
                <w:sz w:val="20"/>
                <w:szCs w:val="20"/>
                <w:highlight w:val="none"/>
              </w:rPr>
              <w:t>.00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环境监测、监控及监察能力建设</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150.86</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val="en-US" w:eastAsia="zh-CN"/>
              </w:rPr>
              <w:t>276.00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val="en-US" w:eastAsia="zh-CN"/>
              </w:rPr>
              <w:t>64.72</w:t>
            </w:r>
          </w:p>
        </w:tc>
      </w:tr>
      <w:tr>
        <w:tblPrEx>
          <w:tblCellMar>
            <w:top w:w="0" w:type="dxa"/>
            <w:left w:w="108" w:type="dxa"/>
            <w:bottom w:w="0" w:type="dxa"/>
            <w:right w:w="108" w:type="dxa"/>
          </w:tblCellMar>
        </w:tblPrEx>
        <w:trPr>
          <w:trHeight w:val="9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环境监察、监测等运行经费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594.35</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740.00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val="en-US" w:eastAsia="zh-CN"/>
              </w:rPr>
              <w:t>523.45</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边界站辅助设施建设补助</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100.00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城市空气质量奖惩资金</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p>
        </w:tc>
        <w:tc>
          <w:tcPr>
            <w:tcW w:w="2041"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815.00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六五环境日宣传</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80.00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公用经费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219.19</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247.81</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283.18</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198.26</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172.85</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130.15</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16.72</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33.00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8.61</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top"/>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4.21</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0.00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政府采购金额</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1,657.56</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3793.74</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1313.30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1476.37</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1655.50</w:t>
            </w:r>
          </w:p>
        </w:tc>
      </w:tr>
      <w:tr>
        <w:tblPrEx>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楼堂馆所控制情况</w:t>
            </w:r>
            <w:r>
              <w:rPr>
                <w:rFonts w:hint="eastAsia" w:ascii="仿宋_GB2312" w:hAnsi="仿宋_GB2312" w:eastAsia="仿宋_GB2312" w:cs="仿宋_GB2312"/>
                <w:sz w:val="20"/>
                <w:szCs w:val="20"/>
                <w:highlight w:val="none"/>
              </w:rPr>
              <w:br w:type="textWrapping"/>
            </w:r>
            <w:r>
              <w:rPr>
                <w:rFonts w:hint="eastAsia" w:ascii="仿宋_GB2312" w:hAnsi="仿宋_GB2312" w:eastAsia="仿宋_GB2312" w:cs="仿宋_GB2312"/>
                <w:sz w:val="20"/>
                <w:szCs w:val="20"/>
                <w:highlight w:val="none"/>
              </w:rPr>
              <w:t>（202</w:t>
            </w:r>
            <w:r>
              <w:rPr>
                <w:rFonts w:hint="eastAsia" w:ascii="仿宋_GB2312" w:hAnsi="仿宋_GB2312" w:eastAsia="仿宋_GB2312" w:cs="仿宋_GB2312"/>
                <w:sz w:val="20"/>
                <w:szCs w:val="20"/>
                <w:highlight w:val="none"/>
                <w:lang w:val="en-US" w:eastAsia="zh-CN"/>
              </w:rPr>
              <w:t>3</w:t>
            </w:r>
            <w:r>
              <w:rPr>
                <w:rFonts w:hint="eastAsia" w:ascii="仿宋_GB2312" w:hAnsi="仿宋_GB2312" w:eastAsia="仿宋_GB2312" w:cs="仿宋_GB2312"/>
                <w:sz w:val="20"/>
                <w:szCs w:val="20"/>
                <w:highlight w:val="none"/>
              </w:rPr>
              <w:t>年完工项目）</w:t>
            </w: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批复规模</w:t>
            </w:r>
            <w:r>
              <w:rPr>
                <w:rFonts w:hint="eastAsia" w:ascii="仿宋_GB2312" w:hAnsi="仿宋_GB2312" w:eastAsia="仿宋_GB2312" w:cs="仿宋_GB2312"/>
                <w:bCs/>
                <w:sz w:val="20"/>
                <w:szCs w:val="20"/>
                <w:highlight w:val="none"/>
              </w:rPr>
              <w:br w:type="textWrapping"/>
            </w:r>
            <w:r>
              <w:rPr>
                <w:rFonts w:hint="eastAsia" w:ascii="仿宋_GB2312" w:hAnsi="仿宋_GB2312" w:eastAsia="仿宋_GB2312" w:cs="仿宋_GB2312"/>
                <w:bCs/>
                <w:sz w:val="20"/>
                <w:szCs w:val="20"/>
                <w:highlight w:val="none"/>
              </w:rPr>
              <w:t>（㎡）</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实际规模（㎡）</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规模控制率</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预算投资（万元）</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实际投资（万元）</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投资概算控制率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0</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0</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0</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0</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0</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16"/>
                <w:szCs w:val="16"/>
                <w:highlight w:val="none"/>
              </w:rPr>
              <w:t>严格按内控要求执行机关管理，严控“三公经费”、办公经费、差旅费等经费开支。</w:t>
            </w:r>
          </w:p>
        </w:tc>
      </w:tr>
    </w:tbl>
    <w:p>
      <w:pPr>
        <w:widowControl/>
        <w:spacing w:afterLines="0" w:line="400" w:lineRule="exact"/>
        <w:jc w:val="left"/>
        <w:rPr>
          <w:rFonts w:hint="default" w:ascii="Times New Roman" w:hAnsi="Times New Roman" w:eastAsia="仿宋_GB2312" w:cs="Times New Roman"/>
          <w:sz w:val="16"/>
          <w:szCs w:val="18"/>
          <w:highlight w:val="none"/>
        </w:rPr>
      </w:pPr>
      <w:r>
        <w:rPr>
          <w:rFonts w:hint="default" w:ascii="Times New Roman" w:hAnsi="Times New Roman" w:eastAsia="仿宋_GB2312" w:cs="Times New Roman"/>
          <w:sz w:val="16"/>
          <w:szCs w:val="18"/>
          <w:highlight w:val="none"/>
        </w:rPr>
        <w:t>说明：“项目支出”需要填报基本支出以外的所有项目支出情况，“公用经费”填报基本支出中的一般商品和服务支出。</w:t>
      </w:r>
    </w:p>
    <w:p>
      <w:pPr>
        <w:widowControl/>
        <w:spacing w:after="0" w:afterLines="0" w:line="400" w:lineRule="exact"/>
        <w:jc w:val="left"/>
        <w:rPr>
          <w:rFonts w:hint="eastAsia" w:ascii="黑体" w:hAnsi="黑体" w:eastAsia="黑体" w:cs="黑体"/>
          <w:sz w:val="32"/>
          <w:szCs w:val="32"/>
          <w:highlight w:val="none"/>
          <w:lang w:eastAsia="zh-CN"/>
        </w:rPr>
      </w:pPr>
      <w:r>
        <w:rPr>
          <w:rFonts w:hint="default" w:ascii="Times New Roman" w:hAnsi="Times New Roman" w:eastAsia="仿宋_GB2312" w:cs="Times New Roman"/>
          <w:sz w:val="22"/>
          <w:highlight w:val="none"/>
        </w:rPr>
        <w:t>填表人：        填报日期：          联系电话：            单位负责人签字：</w:t>
      </w:r>
      <w:r>
        <w:rPr>
          <w:rFonts w:hint="default" w:ascii="Times New Roman" w:hAnsi="Times New Roman" w:eastAsia="仿宋_GB2312" w:cs="Times New Roman"/>
          <w:sz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2</w:t>
      </w:r>
    </w:p>
    <w:p>
      <w:pPr>
        <w:widowControl/>
        <w:spacing w:after="120" w:afterLines="50"/>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年度部门整体支出绩效自评表</w:t>
      </w:r>
    </w:p>
    <w:tbl>
      <w:tblPr>
        <w:tblStyle w:val="5"/>
        <w:tblW w:w="10079" w:type="dxa"/>
        <w:jc w:val="center"/>
        <w:tblLayout w:type="autofit"/>
        <w:tblCellMar>
          <w:top w:w="0" w:type="dxa"/>
          <w:left w:w="108" w:type="dxa"/>
          <w:bottom w:w="0" w:type="dxa"/>
          <w:right w:w="108" w:type="dxa"/>
        </w:tblCellMar>
      </w:tblPr>
      <w:tblGrid>
        <w:gridCol w:w="1080"/>
        <w:gridCol w:w="1080"/>
        <w:gridCol w:w="1034"/>
        <w:gridCol w:w="1270"/>
        <w:gridCol w:w="1311"/>
        <w:gridCol w:w="1269"/>
        <w:gridCol w:w="716"/>
        <w:gridCol w:w="873"/>
        <w:gridCol w:w="1446"/>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市</w:t>
            </w:r>
            <w:r>
              <w:rPr>
                <w:rFonts w:hint="eastAsia" w:ascii="仿宋_GB2312" w:hAnsi="仿宋_GB2312" w:eastAsia="仿宋_GB2312" w:cs="仿宋_GB2312"/>
                <w:color w:val="000000"/>
                <w:sz w:val="20"/>
                <w:szCs w:val="20"/>
                <w:highlight w:val="none"/>
              </w:rPr>
              <w:t>级预算部门名称</w:t>
            </w:r>
          </w:p>
        </w:tc>
        <w:tc>
          <w:tcPr>
            <w:tcW w:w="8999" w:type="dxa"/>
            <w:gridSpan w:val="8"/>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岳阳市生态环境局本级</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年度预</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算申请</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年初预算数</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全年预算数</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全年执行数</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color w:val="000000"/>
                <w:sz w:val="20"/>
                <w:szCs w:val="20"/>
                <w:highlight w:val="none"/>
              </w:rPr>
              <w:t>年度资金总额</w:t>
            </w: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2497.37</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4</w:t>
            </w:r>
            <w:r>
              <w:rPr>
                <w:rFonts w:hint="eastAsia" w:ascii="仿宋_GB2312" w:hAnsi="仿宋_GB2312" w:eastAsia="仿宋_GB2312" w:cs="仿宋_GB2312"/>
                <w:sz w:val="20"/>
                <w:szCs w:val="20"/>
                <w:highlight w:val="none"/>
                <w:lang w:val="en-US" w:eastAsia="zh-CN"/>
              </w:rPr>
              <w:t>864.60</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4783.41</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100%</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9.83</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按收入性质分：</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按支出性质分：</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 xml:space="preserve">  其中：  一般公共预算：3970.62</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其中：基本支出：</w:t>
            </w:r>
            <w:r>
              <w:rPr>
                <w:rFonts w:hint="eastAsia" w:ascii="仿宋_GB2312" w:hAnsi="仿宋_GB2312" w:eastAsia="仿宋_GB2312" w:cs="仿宋_GB2312"/>
                <w:sz w:val="20"/>
                <w:szCs w:val="20"/>
                <w:highlight w:val="none"/>
              </w:rPr>
              <w:t>1655.50</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ind w:firstLine="800" w:firstLineChars="400"/>
              <w:jc w:val="left"/>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政府性基金拨款：</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ind w:firstLine="600" w:firstLineChars="30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项目支出：</w:t>
            </w:r>
            <w:r>
              <w:rPr>
                <w:rFonts w:hint="eastAsia" w:ascii="仿宋_GB2312" w:hAnsi="仿宋_GB2312" w:eastAsia="仿宋_GB2312" w:cs="仿宋_GB2312"/>
                <w:sz w:val="20"/>
                <w:szCs w:val="20"/>
                <w:highlight w:val="none"/>
              </w:rPr>
              <w:t>3127.91</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纳入专户管理的非税收入拨款：</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ind w:firstLine="1400" w:firstLineChars="700"/>
              <w:jc w:val="left"/>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其他资金：893.98</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695"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30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w:t>
            </w:r>
          </w:p>
        </w:tc>
      </w:tr>
      <w:tr>
        <w:tblPrEx>
          <w:tblCellMar>
            <w:top w:w="0" w:type="dxa"/>
            <w:left w:w="108" w:type="dxa"/>
            <w:bottom w:w="0" w:type="dxa"/>
            <w:right w:w="108" w:type="dxa"/>
          </w:tblCellMar>
        </w:tblPrEx>
        <w:trPr>
          <w:trHeight w:val="90"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落实全市生态环境问题的统筹协调和监督管理，对全市环境保护工作实施统一监管，开展环境监测、环境监察、污染防治、核与辐射监管，以及生态保护和建设等工作。</w:t>
            </w:r>
          </w:p>
        </w:tc>
        <w:tc>
          <w:tcPr>
            <w:tcW w:w="4304" w:type="dxa"/>
            <w:gridSpan w:val="4"/>
            <w:tcBorders>
              <w:top w:val="single" w:color="auto" w:sz="4" w:space="0"/>
              <w:left w:val="nil"/>
              <w:bottom w:val="single" w:color="auto" w:sz="4" w:space="0"/>
              <w:right w:val="single" w:color="auto" w:sz="4" w:space="0"/>
            </w:tcBorders>
            <w:noWrap w:val="0"/>
            <w:vAlign w:val="center"/>
          </w:tcPr>
          <w:p>
            <w:pPr>
              <w:widowControl/>
              <w:numPr>
                <w:ilvl w:val="0"/>
                <w:numId w:val="0"/>
              </w:numPr>
              <w:spacing w:line="240" w:lineRule="exact"/>
              <w:ind w:left="0" w:leftChars="0" w:firstLine="0" w:firstLineChars="0"/>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1、生态环境质量持续改善。空气质量优良率为87.4%，长江岳阳段5个断面水质优良率为100%，连续6年保持为Ⅱ类，</w:t>
            </w:r>
            <w:r>
              <w:rPr>
                <w:rFonts w:hint="default" w:ascii="仿宋_GB2312" w:hAnsi="仿宋_GB2312" w:eastAsia="仿宋_GB2312" w:cs="仿宋_GB2312"/>
                <w:color w:val="000000"/>
                <w:sz w:val="20"/>
                <w:szCs w:val="20"/>
                <w:highlight w:val="none"/>
                <w:lang w:val="en-US" w:eastAsia="zh-CN"/>
              </w:rPr>
              <w:t>全市自然生态状况总体稳定，森林覆盖率和湿地保护率保持为38.19%、71.86%</w:t>
            </w:r>
            <w:r>
              <w:rPr>
                <w:rFonts w:hint="eastAsia" w:ascii="仿宋_GB2312" w:hAnsi="仿宋_GB2312" w:eastAsia="仿宋_GB2312" w:cs="仿宋_GB2312"/>
                <w:color w:val="000000"/>
                <w:sz w:val="20"/>
                <w:szCs w:val="20"/>
                <w:highlight w:val="none"/>
                <w:lang w:val="en-US" w:eastAsia="zh-CN"/>
              </w:rPr>
              <w:t>。</w:t>
            </w:r>
          </w:p>
          <w:p>
            <w:pPr>
              <w:widowControl/>
              <w:numPr>
                <w:ilvl w:val="0"/>
                <w:numId w:val="0"/>
              </w:numPr>
              <w:spacing w:line="240" w:lineRule="exact"/>
              <w:ind w:left="0" w:leftChars="0" w:firstLine="0" w:firstLineChars="0"/>
              <w:jc w:val="left"/>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2、</w:t>
            </w:r>
            <w:r>
              <w:rPr>
                <w:rFonts w:hint="eastAsia" w:ascii="仿宋_GB2312" w:hAnsi="仿宋_GB2312" w:eastAsia="仿宋_GB2312" w:cs="仿宋_GB2312"/>
                <w:color w:val="000000"/>
                <w:sz w:val="20"/>
                <w:szCs w:val="20"/>
                <w:highlight w:val="none"/>
                <w:lang w:val="en-US" w:eastAsia="zh-CN"/>
              </w:rPr>
              <w:t>污染防治攻坚扎实推进。</w:t>
            </w:r>
            <w:r>
              <w:rPr>
                <w:rFonts w:hint="default" w:ascii="仿宋_GB2312" w:hAnsi="仿宋_GB2312" w:eastAsia="仿宋_GB2312" w:cs="仿宋_GB2312"/>
                <w:color w:val="000000"/>
                <w:sz w:val="20"/>
                <w:szCs w:val="20"/>
                <w:highlight w:val="none"/>
                <w:lang w:val="en-US" w:eastAsia="zh-CN"/>
              </w:rPr>
              <w:t>今年</w:t>
            </w:r>
            <w:r>
              <w:rPr>
                <w:rFonts w:hint="eastAsia" w:ascii="仿宋_GB2312" w:hAnsi="仿宋_GB2312" w:eastAsia="仿宋_GB2312" w:cs="仿宋_GB2312"/>
                <w:color w:val="000000"/>
                <w:sz w:val="20"/>
                <w:szCs w:val="20"/>
                <w:highlight w:val="none"/>
                <w:lang w:val="en-US" w:eastAsia="zh-CN"/>
              </w:rPr>
              <w:t>需</w:t>
            </w:r>
            <w:r>
              <w:rPr>
                <w:rFonts w:hint="default" w:ascii="仿宋_GB2312" w:hAnsi="仿宋_GB2312" w:eastAsia="仿宋_GB2312" w:cs="仿宋_GB2312"/>
                <w:color w:val="000000"/>
                <w:sz w:val="20"/>
                <w:szCs w:val="20"/>
                <w:highlight w:val="none"/>
                <w:lang w:val="en-US" w:eastAsia="zh-CN"/>
              </w:rPr>
              <w:t>完成</w:t>
            </w:r>
            <w:r>
              <w:rPr>
                <w:rFonts w:hint="eastAsia" w:ascii="仿宋_GB2312" w:hAnsi="仿宋_GB2312" w:eastAsia="仿宋_GB2312" w:cs="仿宋_GB2312"/>
                <w:color w:val="000000"/>
                <w:sz w:val="20"/>
                <w:szCs w:val="20"/>
                <w:highlight w:val="none"/>
                <w:lang w:val="en-US" w:eastAsia="zh-CN"/>
              </w:rPr>
              <w:t>的15个</w:t>
            </w:r>
            <w:r>
              <w:rPr>
                <w:rFonts w:hint="default" w:ascii="仿宋_GB2312" w:hAnsi="仿宋_GB2312" w:eastAsia="仿宋_GB2312" w:cs="仿宋_GB2312"/>
                <w:color w:val="000000"/>
                <w:sz w:val="20"/>
                <w:szCs w:val="20"/>
                <w:highlight w:val="none"/>
                <w:lang w:val="en-US" w:eastAsia="zh-CN"/>
              </w:rPr>
              <w:t>中央、省交办</w:t>
            </w:r>
            <w:r>
              <w:rPr>
                <w:rFonts w:hint="eastAsia" w:ascii="仿宋_GB2312" w:hAnsi="仿宋_GB2312" w:eastAsia="仿宋_GB2312" w:cs="仿宋_GB2312"/>
                <w:color w:val="000000"/>
                <w:sz w:val="20"/>
                <w:szCs w:val="20"/>
                <w:highlight w:val="none"/>
                <w:lang w:val="en-US" w:eastAsia="zh-CN"/>
              </w:rPr>
              <w:t>问题已全部完成整改；强力推进蓝天保卫战，严抓机动车溯源防治，推进碧水保卫战，加大入河排污口排查整治，保障饮用水源地安全，强力推进净土保卫战，推动农村环境综合治理。</w:t>
            </w:r>
          </w:p>
          <w:p>
            <w:pPr>
              <w:widowControl/>
              <w:numPr>
                <w:ilvl w:val="0"/>
                <w:numId w:val="0"/>
              </w:numPr>
              <w:spacing w:line="240" w:lineRule="exact"/>
              <w:ind w:left="0" w:leftChars="0" w:firstLine="0" w:firstLineChars="0"/>
              <w:jc w:val="left"/>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3、</w:t>
            </w:r>
            <w:r>
              <w:rPr>
                <w:rFonts w:hint="eastAsia" w:ascii="仿宋_GB2312" w:hAnsi="仿宋_GB2312" w:eastAsia="仿宋_GB2312" w:cs="仿宋_GB2312"/>
                <w:color w:val="000000"/>
                <w:sz w:val="20"/>
                <w:szCs w:val="20"/>
                <w:highlight w:val="none"/>
                <w:lang w:val="en-US" w:eastAsia="zh-CN"/>
              </w:rPr>
              <w:t>生态环境安全有效保障。</w:t>
            </w:r>
            <w:r>
              <w:rPr>
                <w:rFonts w:hint="default" w:ascii="仿宋_GB2312" w:hAnsi="仿宋_GB2312" w:eastAsia="仿宋_GB2312" w:cs="仿宋_GB2312"/>
                <w:color w:val="000000"/>
                <w:sz w:val="20"/>
                <w:szCs w:val="20"/>
                <w:highlight w:val="none"/>
                <w:lang w:val="en-US" w:eastAsia="zh-CN"/>
              </w:rPr>
              <w:t>持续保持严厉打击环境违法行为的高压态势，开展涉气企业</w:t>
            </w:r>
            <w:r>
              <w:rPr>
                <w:rFonts w:hint="eastAsia" w:ascii="仿宋_GB2312" w:hAnsi="仿宋_GB2312" w:eastAsia="仿宋_GB2312" w:cs="仿宋_GB2312"/>
                <w:color w:val="000000"/>
                <w:sz w:val="20"/>
                <w:szCs w:val="20"/>
                <w:highlight w:val="none"/>
                <w:lang w:val="en-US" w:eastAsia="zh-CN"/>
              </w:rPr>
              <w:t>“</w:t>
            </w:r>
            <w:r>
              <w:rPr>
                <w:rFonts w:hint="default" w:ascii="仿宋_GB2312" w:hAnsi="仿宋_GB2312" w:eastAsia="仿宋_GB2312" w:cs="仿宋_GB2312"/>
                <w:color w:val="000000"/>
                <w:sz w:val="20"/>
                <w:szCs w:val="20"/>
                <w:highlight w:val="none"/>
                <w:lang w:val="en-US" w:eastAsia="zh-CN"/>
              </w:rPr>
              <w:t>假日行动</w:t>
            </w:r>
            <w:r>
              <w:rPr>
                <w:rFonts w:hint="eastAsia" w:ascii="仿宋_GB2312" w:hAnsi="仿宋_GB2312" w:eastAsia="仿宋_GB2312" w:cs="仿宋_GB2312"/>
                <w:color w:val="000000"/>
                <w:sz w:val="20"/>
                <w:szCs w:val="20"/>
                <w:highlight w:val="none"/>
                <w:lang w:val="en-US" w:eastAsia="zh-CN"/>
              </w:rPr>
              <w:t>”</w:t>
            </w:r>
            <w:r>
              <w:rPr>
                <w:rFonts w:hint="default" w:ascii="仿宋_GB2312" w:hAnsi="仿宋_GB2312" w:eastAsia="仿宋_GB2312" w:cs="仿宋_GB2312"/>
                <w:color w:val="000000"/>
                <w:sz w:val="20"/>
                <w:szCs w:val="20"/>
                <w:highlight w:val="none"/>
                <w:lang w:val="en-US" w:eastAsia="zh-CN"/>
              </w:rPr>
              <w:t>等执法检查和专项执法行动</w:t>
            </w:r>
            <w:r>
              <w:rPr>
                <w:rFonts w:hint="eastAsia" w:ascii="仿宋_GB2312" w:hAnsi="仿宋_GB2312" w:eastAsia="仿宋_GB2312" w:cs="仿宋_GB2312"/>
                <w:color w:val="000000"/>
                <w:sz w:val="20"/>
                <w:szCs w:val="20"/>
                <w:highlight w:val="none"/>
                <w:lang w:val="en-US" w:eastAsia="zh-CN"/>
              </w:rPr>
              <w:t>，紧盯重点领域、重点行业、重点园区，共摸排环境风险隐患648项，已整改完成609项，剩余39项正按计划稳步整改。全年未发生较大及以上环境污染事件。</w:t>
            </w:r>
          </w:p>
          <w:p>
            <w:pPr>
              <w:widowControl/>
              <w:numPr>
                <w:ilvl w:val="0"/>
                <w:numId w:val="0"/>
              </w:numPr>
              <w:spacing w:line="240" w:lineRule="exact"/>
              <w:ind w:left="0" w:leftChars="0" w:firstLine="0" w:firstLineChars="0"/>
              <w:jc w:val="left"/>
              <w:rPr>
                <w:rFonts w:hint="default" w:ascii="Times New Roman" w:hAnsi="Times New Roman" w:eastAsia="仿宋_GB2312" w:cs="Times New Roman"/>
                <w:color w:val="auto"/>
                <w:spacing w:val="6"/>
                <w:sz w:val="32"/>
                <w:szCs w:val="32"/>
                <w:highlight w:val="none"/>
                <w:u w:val="none"/>
                <w:lang w:val="en-US" w:eastAsia="zh-CN"/>
              </w:rPr>
            </w:pPr>
            <w:r>
              <w:rPr>
                <w:rFonts w:hint="default" w:ascii="仿宋_GB2312" w:hAnsi="仿宋_GB2312" w:eastAsia="仿宋_GB2312" w:cs="仿宋_GB2312"/>
                <w:color w:val="000000"/>
                <w:sz w:val="20"/>
                <w:szCs w:val="20"/>
                <w:highlight w:val="none"/>
                <w:lang w:val="en-US" w:eastAsia="zh-CN"/>
              </w:rPr>
              <w:t>4、</w:t>
            </w:r>
            <w:r>
              <w:rPr>
                <w:rFonts w:hint="eastAsia" w:ascii="仿宋_GB2312" w:hAnsi="仿宋_GB2312" w:eastAsia="仿宋_GB2312" w:cs="仿宋_GB2312"/>
                <w:color w:val="000000"/>
                <w:sz w:val="20"/>
                <w:szCs w:val="20"/>
                <w:highlight w:val="none"/>
                <w:lang w:val="en-US" w:eastAsia="zh-CN"/>
              </w:rPr>
              <w:t>全力营造生态环保氛围。举办“4·25”系列活动和长江生态环境保护主题论坛、六五环境日湖南主场活动等。</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p>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年度指标值</w:t>
            </w:r>
          </w:p>
        </w:tc>
        <w:tc>
          <w:tcPr>
            <w:tcW w:w="1269" w:type="dxa"/>
            <w:tcBorders>
              <w:top w:val="nil"/>
              <w:left w:val="nil"/>
              <w:bottom w:val="single" w:color="auto" w:sz="4" w:space="0"/>
              <w:right w:val="single" w:color="auto" w:sz="4" w:space="0"/>
            </w:tcBorders>
            <w:noWrap w:val="0"/>
            <w:vAlign w:val="center"/>
          </w:tcPr>
          <w:p>
            <w:pPr>
              <w:widowControl/>
              <w:spacing w:line="240" w:lineRule="exac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实际完成值</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widowControl/>
              <w:spacing w:line="240" w:lineRule="exact"/>
              <w:jc w:val="center"/>
              <w:rPr>
                <w:rFonts w:hint="eastAsia" w:ascii="仿宋_GB2312" w:hAnsi="仿宋_GB2312" w:eastAsia="仿宋_GB2312" w:cs="仿宋_GB2312"/>
                <w:color w:val="000000"/>
                <w:sz w:val="20"/>
                <w:szCs w:val="20"/>
                <w:highlight w:val="none"/>
              </w:rPr>
            </w:pP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完成总磷污染控制与削减项目</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107个</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107个</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保障饮用水源地安全</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整</w:t>
            </w:r>
            <w:r>
              <w:rPr>
                <w:rFonts w:hint="eastAsia" w:ascii="仿宋_GB2312" w:hAnsi="仿宋_GB2312" w:eastAsia="仿宋_GB2312" w:cs="仿宋_GB2312"/>
                <w:color w:val="000000"/>
                <w:sz w:val="20"/>
                <w:szCs w:val="20"/>
                <w:highlight w:val="none"/>
                <w:lang w:val="en-US" w:eastAsia="zh-CN"/>
              </w:rPr>
              <w:t>改水源地问题</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25个</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25个</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完成企业大气污染综合治理</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75家</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75家</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空气质量优良率</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87.4%</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87.4%</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重点断面水质</w:t>
            </w:r>
            <w:r>
              <w:rPr>
                <w:rFonts w:hint="eastAsia" w:ascii="仿宋_GB2312" w:hAnsi="仿宋_GB2312" w:eastAsia="仿宋_GB2312" w:cs="仿宋_GB2312"/>
                <w:color w:val="000000"/>
                <w:sz w:val="20"/>
                <w:szCs w:val="20"/>
                <w:highlight w:val="none"/>
                <w:lang w:val="en-US" w:eastAsia="zh-CN"/>
              </w:rPr>
              <w:t>优良率</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全市自然生态状况</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稳定</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稳定</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在规定时间内</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2023年度</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2023年度</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在预算内</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sz w:val="20"/>
                <w:szCs w:val="20"/>
                <w:highlight w:val="none"/>
              </w:rPr>
              <w:t>4783.41</w:t>
            </w:r>
            <w:r>
              <w:rPr>
                <w:rFonts w:hint="eastAsia" w:ascii="仿宋_GB2312" w:hAnsi="仿宋_GB2312" w:eastAsia="仿宋_GB2312" w:cs="仿宋_GB2312"/>
                <w:color w:val="000000"/>
                <w:sz w:val="20"/>
                <w:szCs w:val="20"/>
                <w:highlight w:val="none"/>
                <w:lang w:val="en-US" w:eastAsia="zh-CN"/>
              </w:rPr>
              <w:t>万元</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sz w:val="20"/>
                <w:szCs w:val="20"/>
                <w:highlight w:val="none"/>
              </w:rPr>
              <w:t>4783.41</w:t>
            </w:r>
            <w:r>
              <w:rPr>
                <w:rFonts w:hint="eastAsia" w:ascii="仿宋_GB2312" w:hAnsi="仿宋_GB2312" w:eastAsia="仿宋_GB2312" w:cs="仿宋_GB2312"/>
                <w:color w:val="000000"/>
                <w:sz w:val="20"/>
                <w:szCs w:val="20"/>
                <w:highlight w:val="none"/>
                <w:lang w:val="en-US" w:eastAsia="zh-CN"/>
              </w:rPr>
              <w:t>万元</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widowControl/>
              <w:spacing w:line="240" w:lineRule="exact"/>
              <w:jc w:val="left"/>
              <w:rPr>
                <w:rFonts w:hint="eastAsia" w:ascii="仿宋_GB2312" w:hAnsi="仿宋_GB2312" w:eastAsia="仿宋_GB2312" w:cs="仿宋_GB2312"/>
                <w:color w:val="000000"/>
                <w:sz w:val="20"/>
                <w:szCs w:val="20"/>
                <w:highlight w:val="none"/>
              </w:rPr>
            </w:pP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widowControl/>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促进经济发展</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经济平稳发展</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经济平稳发展</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改善居民生产、生活环境，提升幸福生活指数</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有所改善</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有所改善</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全面完成污染防治攻坚战，确保环境案例</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应保尽保</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应保尽保</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trHeight w:val="290" w:hRule="atLeast"/>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环境、经济</w:t>
            </w:r>
            <w:r>
              <w:rPr>
                <w:rFonts w:hint="eastAsia" w:ascii="仿宋_GB2312" w:hAnsi="仿宋_GB2312" w:eastAsia="仿宋_GB2312" w:cs="仿宋_GB2312"/>
                <w:color w:val="000000"/>
                <w:sz w:val="20"/>
                <w:szCs w:val="20"/>
                <w:highlight w:val="none"/>
                <w:lang w:val="en-US" w:eastAsia="zh-CN"/>
              </w:rPr>
              <w:t>得到</w:t>
            </w:r>
            <w:r>
              <w:rPr>
                <w:rFonts w:hint="eastAsia" w:ascii="仿宋_GB2312" w:hAnsi="仿宋_GB2312" w:eastAsia="仿宋_GB2312" w:cs="仿宋_GB2312"/>
                <w:color w:val="000000"/>
                <w:sz w:val="20"/>
                <w:szCs w:val="20"/>
                <w:highlight w:val="none"/>
              </w:rPr>
              <w:t>可持续发展</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可持续</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可持续</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trHeight w:val="330"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服务对象满意度</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≥95%</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9</w:t>
            </w:r>
            <w:r>
              <w:rPr>
                <w:rFonts w:hint="eastAsia" w:ascii="仿宋_GB2312" w:hAnsi="仿宋_GB2312" w:eastAsia="仿宋_GB2312" w:cs="仿宋_GB2312"/>
                <w:color w:val="000000"/>
                <w:sz w:val="20"/>
                <w:szCs w:val="20"/>
                <w:highlight w:val="none"/>
                <w:lang w:val="en-US" w:eastAsia="zh-CN"/>
              </w:rPr>
              <w:t>7</w:t>
            </w:r>
            <w:r>
              <w:rPr>
                <w:rFonts w:hint="eastAsia" w:ascii="仿宋_GB2312" w:hAnsi="仿宋_GB2312" w:eastAsia="仿宋_GB2312" w:cs="仿宋_GB2312"/>
                <w:color w:val="000000"/>
                <w:sz w:val="20"/>
                <w:szCs w:val="20"/>
                <w:highlight w:val="none"/>
                <w:lang w:eastAsia="zh-CN"/>
              </w:rPr>
              <w:t>%</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无偏差</w:t>
            </w:r>
          </w:p>
        </w:tc>
      </w:tr>
      <w:tr>
        <w:tblPrEx>
          <w:tblCellMar>
            <w:top w:w="0" w:type="dxa"/>
            <w:left w:w="108" w:type="dxa"/>
            <w:bottom w:w="0" w:type="dxa"/>
            <w:right w:w="108" w:type="dxa"/>
          </w:tblCellMar>
        </w:tblPrEx>
        <w:trPr>
          <w:trHeight w:val="270" w:hRule="atLeast"/>
          <w:jc w:val="center"/>
        </w:trPr>
        <w:tc>
          <w:tcPr>
            <w:tcW w:w="7044" w:type="dxa"/>
            <w:gridSpan w:val="6"/>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99.83</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bl>
    <w:p>
      <w:pPr>
        <w:widowControl/>
        <w:spacing w:line="600" w:lineRule="exact"/>
        <w:jc w:val="left"/>
        <w:rPr>
          <w:rFonts w:hint="eastAsia" w:ascii="Times New Roman" w:hAnsi="Times New Roman" w:eastAsia="黑体" w:cs="Times New Roman"/>
          <w:sz w:val="32"/>
          <w:szCs w:val="32"/>
          <w:highlight w:val="none"/>
          <w:lang w:eastAsia="zh-CN"/>
        </w:rPr>
      </w:pPr>
      <w:r>
        <w:rPr>
          <w:rFonts w:hint="default" w:ascii="Times New Roman" w:hAnsi="Times New Roman" w:eastAsia="仿宋_GB2312" w:cs="Times New Roman"/>
          <w:sz w:val="22"/>
          <w:szCs w:val="22"/>
          <w:highlight w:val="none"/>
        </w:rPr>
        <w:t xml:space="preserve">填表人：      填报日期：         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5"/>
        <w:tblW w:w="9851" w:type="dxa"/>
        <w:jc w:val="center"/>
        <w:tblLayout w:type="autofit"/>
        <w:tblCellMar>
          <w:top w:w="0" w:type="dxa"/>
          <w:left w:w="108" w:type="dxa"/>
          <w:bottom w:w="0" w:type="dxa"/>
          <w:right w:w="108" w:type="dxa"/>
        </w:tblCellMar>
      </w:tblPr>
      <w:tblGrid>
        <w:gridCol w:w="1057"/>
        <w:gridCol w:w="1064"/>
        <w:gridCol w:w="1051"/>
        <w:gridCol w:w="1204"/>
        <w:gridCol w:w="1216"/>
        <w:gridCol w:w="1216"/>
        <w:gridCol w:w="813"/>
        <w:gridCol w:w="860"/>
        <w:gridCol w:w="1370"/>
      </w:tblGrid>
      <w:tr>
        <w:tblPrEx>
          <w:tblCellMar>
            <w:top w:w="0" w:type="dxa"/>
            <w:left w:w="108" w:type="dxa"/>
            <w:bottom w:w="0" w:type="dxa"/>
            <w:right w:w="108" w:type="dxa"/>
          </w:tblCellMar>
        </w:tblPrEx>
        <w:trPr>
          <w:jc w:val="center"/>
        </w:trPr>
        <w:tc>
          <w:tcPr>
            <w:tcW w:w="10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94" w:type="dxa"/>
            <w:gridSpan w:val="8"/>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sz w:val="20"/>
                <w:szCs w:val="20"/>
                <w:highlight w:val="none"/>
              </w:rPr>
              <w:t>环境监测、监控及监察能力建设</w:t>
            </w:r>
          </w:p>
        </w:tc>
      </w:tr>
      <w:tr>
        <w:tblPrEx>
          <w:tblCellMar>
            <w:top w:w="0" w:type="dxa"/>
            <w:left w:w="108" w:type="dxa"/>
            <w:bottom w:w="0" w:type="dxa"/>
            <w:right w:w="108" w:type="dxa"/>
          </w:tblCellMar>
        </w:tblPrEx>
        <w:trPr>
          <w:jc w:val="center"/>
        </w:trPr>
        <w:tc>
          <w:tcPr>
            <w:tcW w:w="1057"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35"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岳阳市生态环境局</w:t>
            </w:r>
          </w:p>
        </w:tc>
        <w:tc>
          <w:tcPr>
            <w:tcW w:w="1216"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043"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岳阳市生态环境局本级</w:t>
            </w:r>
          </w:p>
        </w:tc>
      </w:tr>
      <w:tr>
        <w:tblPrEx>
          <w:tblCellMar>
            <w:top w:w="0" w:type="dxa"/>
            <w:left w:w="108" w:type="dxa"/>
            <w:bottom w:w="0" w:type="dxa"/>
            <w:right w:w="108" w:type="dxa"/>
          </w:tblCellMar>
        </w:tblPrEx>
        <w:trPr>
          <w:jc w:val="center"/>
        </w:trPr>
        <w:tc>
          <w:tcPr>
            <w:tcW w:w="1057"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15"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0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370"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57"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15"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04"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276.00</w:t>
            </w:r>
          </w:p>
        </w:tc>
        <w:tc>
          <w:tcPr>
            <w:tcW w:w="1216"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64.72</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sz w:val="20"/>
                <w:szCs w:val="20"/>
                <w:highlight w:val="none"/>
                <w:lang w:val="en-US" w:eastAsia="zh-CN"/>
              </w:rPr>
              <w:t>64.72</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10</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13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r>
      <w:tr>
        <w:tblPrEx>
          <w:tblCellMar>
            <w:top w:w="0" w:type="dxa"/>
            <w:left w:w="108" w:type="dxa"/>
            <w:bottom w:w="0" w:type="dxa"/>
            <w:right w:w="108" w:type="dxa"/>
          </w:tblCellMar>
        </w:tblPrEx>
        <w:trPr>
          <w:jc w:val="center"/>
        </w:trPr>
        <w:tc>
          <w:tcPr>
            <w:tcW w:w="1057"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15"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04"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276.00</w:t>
            </w:r>
          </w:p>
        </w:tc>
        <w:tc>
          <w:tcPr>
            <w:tcW w:w="1216"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64.72</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sz w:val="20"/>
                <w:szCs w:val="20"/>
                <w:highlight w:val="none"/>
                <w:lang w:val="en-US" w:eastAsia="zh-CN"/>
              </w:rPr>
              <w:t>64.72</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3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7"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15"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0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3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7"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15"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0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3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7"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35"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9"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trHeight w:val="90" w:hRule="atLeast"/>
          <w:jc w:val="center"/>
        </w:trPr>
        <w:tc>
          <w:tcPr>
            <w:tcW w:w="1057"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35" w:type="dxa"/>
            <w:gridSpan w:val="4"/>
            <w:tcBorders>
              <w:top w:val="single" w:color="auto" w:sz="4" w:space="0"/>
              <w:left w:val="nil"/>
              <w:bottom w:val="single" w:color="auto" w:sz="4" w:space="0"/>
              <w:right w:val="single" w:color="000000" w:sz="4" w:space="0"/>
            </w:tcBorders>
            <w:noWrap w:val="0"/>
            <w:vAlign w:val="center"/>
          </w:tcPr>
          <w:p>
            <w:pPr>
              <w:spacing w:line="240" w:lineRule="exact"/>
              <w:rPr>
                <w:rFonts w:hint="eastAsia" w:ascii="Arial" w:hAnsi="仿宋" w:eastAsia="仿宋_GB2312" w:cs="Times New Roman"/>
                <w:color w:val="000000" w:themeColor="text1"/>
                <w:kern w:val="0"/>
                <w:sz w:val="28"/>
                <w:szCs w:val="21"/>
                <w:highlight w:val="none"/>
                <w:lang w:val="en-US" w:eastAsia="zh-CN" w:bidi="ar-SA"/>
                <w14:textFill>
                  <w14:solidFill>
                    <w14:schemeClr w14:val="tx1"/>
                  </w14:solidFill>
                </w14:textFill>
              </w:rPr>
            </w:pPr>
            <w:r>
              <w:rPr>
                <w:rFonts w:hint="eastAsia" w:ascii="仿宋_GB2312" w:hAnsi="仿宋_GB2312" w:eastAsia="仿宋_GB2312" w:cs="仿宋_GB2312"/>
                <w:color w:val="000000"/>
                <w:sz w:val="20"/>
                <w:szCs w:val="20"/>
                <w:highlight w:val="none"/>
              </w:rPr>
              <w:t>完成环境监测能力建设、污染源自动监控平台建设、排污权能力建设及环境信息网络系统建设</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进一步提升环境监测、监察及监控能力建设，提高环境突发事件应急处置能力，</w:t>
            </w:r>
            <w:r>
              <w:rPr>
                <w:rFonts w:hint="eastAsia" w:ascii="仿宋_GB2312" w:hAnsi="仿宋_GB2312" w:eastAsia="仿宋_GB2312" w:cs="仿宋_GB2312"/>
                <w:color w:val="000000"/>
                <w:sz w:val="20"/>
                <w:szCs w:val="20"/>
                <w:highlight w:val="none"/>
                <w:lang w:eastAsia="zh-CN"/>
              </w:rPr>
              <w:t>加大</w:t>
            </w:r>
            <w:r>
              <w:rPr>
                <w:rFonts w:hint="eastAsia" w:ascii="仿宋_GB2312" w:hAnsi="仿宋_GB2312" w:eastAsia="仿宋_GB2312" w:cs="仿宋_GB2312"/>
                <w:color w:val="000000"/>
                <w:sz w:val="20"/>
                <w:szCs w:val="20"/>
                <w:highlight w:val="none"/>
              </w:rPr>
              <w:t>环境质量监管力度，为打赢污染防治攻坚战提供强有力的支撑</w:t>
            </w:r>
            <w:r>
              <w:rPr>
                <w:rFonts w:hint="eastAsia" w:ascii="仿宋_GB2312" w:hAnsi="仿宋_GB2312" w:eastAsia="仿宋_GB2312" w:cs="仿宋_GB2312"/>
                <w:color w:val="000000"/>
                <w:sz w:val="20"/>
                <w:szCs w:val="20"/>
                <w:highlight w:val="none"/>
                <w:lang w:eastAsia="zh-CN"/>
              </w:rPr>
              <w:t>。</w:t>
            </w:r>
          </w:p>
        </w:tc>
        <w:tc>
          <w:tcPr>
            <w:tcW w:w="4259"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已完成</w:t>
            </w:r>
          </w:p>
        </w:tc>
      </w:tr>
      <w:tr>
        <w:tblPrEx>
          <w:tblCellMar>
            <w:top w:w="0" w:type="dxa"/>
            <w:left w:w="108" w:type="dxa"/>
            <w:bottom w:w="0" w:type="dxa"/>
            <w:right w:w="108" w:type="dxa"/>
          </w:tblCellMar>
        </w:tblPrEx>
        <w:trPr>
          <w:jc w:val="center"/>
        </w:trPr>
        <w:tc>
          <w:tcPr>
            <w:tcW w:w="1057"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6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5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0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3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57"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4"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51"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0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环境信息网络各种平台正常运行</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多个</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已完成</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3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7"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4"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1"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0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按要求完成中央、省生态环保督察、警示片等反馈问题整改任务</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按要求完成</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按要求完成</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3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7"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4"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1" w:type="dxa"/>
            <w:vMerge w:val="restar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0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环境信息网络各种平台正常运行</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正常运行</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正常运行</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3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7"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4"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1"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0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空气环境质量优良率</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lang w:val="en-US" w:eastAsia="zh-CN"/>
              </w:rPr>
              <w:t>83%</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87.4%</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3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90" w:hRule="atLeast"/>
          <w:jc w:val="center"/>
        </w:trPr>
        <w:tc>
          <w:tcPr>
            <w:tcW w:w="1057"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4"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1"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0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地表水环境质量优良率</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lang w:val="en-US" w:eastAsia="zh-CN"/>
              </w:rPr>
              <w:t>82%</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100%</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3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57"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4"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1"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0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土壤环境施肥技术覆盖率</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lang w:val="en-US" w:eastAsia="zh-CN"/>
              </w:rPr>
              <w:t>90%</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96%</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3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57"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4"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0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年内计划按时完成</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2023/12/31</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2023/12/31</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3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7"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4"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1" w:type="dxa"/>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0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在预算内完成</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276</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64.72</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3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7"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实现节能减排</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实现环境容量和环境质量的双达标</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经济水平得以保持稳定并有所上升</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13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7"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4" w:type="dxa"/>
            <w:vMerge w:val="continue"/>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0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改善公众环境认知度</w:t>
            </w:r>
          </w:p>
        </w:tc>
        <w:tc>
          <w:tcPr>
            <w:tcW w:w="12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有所提升</w:t>
            </w:r>
          </w:p>
        </w:tc>
        <w:tc>
          <w:tcPr>
            <w:tcW w:w="12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有所提升</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3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7"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4"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0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促进环境质量提升</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有所改善</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有所改善</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13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7"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64"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生态环境向好发展</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良好发展</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良好发展</w:t>
            </w:r>
          </w:p>
        </w:tc>
        <w:tc>
          <w:tcPr>
            <w:tcW w:w="81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7"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51" w:type="dxa"/>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0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全市群众</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lang w:val="en-US" w:eastAsia="zh-CN"/>
              </w:rPr>
              <w:t>95%</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98%</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3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6808" w:type="dxa"/>
            <w:gridSpan w:val="6"/>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13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 w:val="18"/>
          <w:szCs w:val="18"/>
          <w:highlight w:val="none"/>
        </w:rPr>
      </w:pPr>
    </w:p>
    <w:p>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pPr>
        <w:widowControl/>
        <w:spacing w:line="600" w:lineRule="exact"/>
        <w:jc w:val="left"/>
        <w:rPr>
          <w:rFonts w:hint="eastAsia" w:ascii="Times New Roman" w:hAnsi="Times New Roman" w:eastAsia="黑体" w:cs="Times New Roman"/>
          <w:sz w:val="32"/>
          <w:szCs w:val="32"/>
          <w:highlight w:val="none"/>
          <w:lang w:eastAsia="zh-CN"/>
        </w:r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5"/>
        <w:tblW w:w="9851" w:type="dxa"/>
        <w:jc w:val="center"/>
        <w:tblLayout w:type="autofit"/>
        <w:tblCellMar>
          <w:top w:w="0" w:type="dxa"/>
          <w:left w:w="108" w:type="dxa"/>
          <w:bottom w:w="0" w:type="dxa"/>
          <w:right w:w="108" w:type="dxa"/>
        </w:tblCellMar>
      </w:tblPr>
      <w:tblGrid>
        <w:gridCol w:w="1057"/>
        <w:gridCol w:w="1065"/>
        <w:gridCol w:w="1051"/>
        <w:gridCol w:w="1204"/>
        <w:gridCol w:w="1216"/>
        <w:gridCol w:w="1216"/>
        <w:gridCol w:w="813"/>
        <w:gridCol w:w="860"/>
        <w:gridCol w:w="1369"/>
      </w:tblGrid>
      <w:tr>
        <w:tblPrEx>
          <w:tblCellMar>
            <w:top w:w="0" w:type="dxa"/>
            <w:left w:w="108" w:type="dxa"/>
            <w:bottom w:w="0" w:type="dxa"/>
            <w:right w:w="108" w:type="dxa"/>
          </w:tblCellMar>
        </w:tblPrEx>
        <w:trPr>
          <w:jc w:val="center"/>
        </w:trPr>
        <w:tc>
          <w:tcPr>
            <w:tcW w:w="10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94" w:type="dxa"/>
            <w:gridSpan w:val="8"/>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rPr>
              <w:t>环境监察、监测等运行经费</w:t>
            </w:r>
          </w:p>
        </w:tc>
      </w:tr>
      <w:tr>
        <w:tblPrEx>
          <w:tblCellMar>
            <w:top w:w="0" w:type="dxa"/>
            <w:left w:w="108" w:type="dxa"/>
            <w:bottom w:w="0" w:type="dxa"/>
            <w:right w:w="108" w:type="dxa"/>
          </w:tblCellMar>
        </w:tblPrEx>
        <w:trPr>
          <w:jc w:val="center"/>
        </w:trPr>
        <w:tc>
          <w:tcPr>
            <w:tcW w:w="1057"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36"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042"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7"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1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0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369"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57"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1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04"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740.00</w:t>
            </w:r>
          </w:p>
        </w:tc>
        <w:tc>
          <w:tcPr>
            <w:tcW w:w="1216"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523.45</w:t>
            </w:r>
          </w:p>
        </w:tc>
        <w:tc>
          <w:tcPr>
            <w:tcW w:w="1216"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523.45</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10</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136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r>
      <w:tr>
        <w:tblPrEx>
          <w:tblCellMar>
            <w:top w:w="0" w:type="dxa"/>
            <w:left w:w="108" w:type="dxa"/>
            <w:bottom w:w="0" w:type="dxa"/>
            <w:right w:w="108" w:type="dxa"/>
          </w:tblCellMar>
        </w:tblPrEx>
        <w:trPr>
          <w:jc w:val="center"/>
        </w:trPr>
        <w:tc>
          <w:tcPr>
            <w:tcW w:w="1057"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1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04"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740.00</w:t>
            </w:r>
          </w:p>
        </w:tc>
        <w:tc>
          <w:tcPr>
            <w:tcW w:w="1216"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523.45</w:t>
            </w:r>
          </w:p>
        </w:tc>
        <w:tc>
          <w:tcPr>
            <w:tcW w:w="1216"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523.45</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36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7"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1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0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36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7"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1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0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36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7"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36"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57"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36"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开展水、土、气污染防治三大攻坚战、夏季攻势专项行动；全市空气、组分、工业园环境质量、水环境自动监测站等正常运行；加强日常环境监管；积极应对环保督查；应急处置及时到位；完成减排目标；推广环境保护工作宣传；开展各类环境执法专项行动；对强制性清洁生产企业开展审核评估预验收及培训</w:t>
            </w:r>
            <w:r>
              <w:rPr>
                <w:rFonts w:hint="eastAsia" w:ascii="仿宋_GB2312" w:hAnsi="仿宋_GB2312" w:eastAsia="仿宋_GB2312" w:cs="仿宋_GB2312"/>
                <w:color w:val="000000"/>
                <w:sz w:val="20"/>
                <w:szCs w:val="20"/>
                <w:highlight w:val="none"/>
                <w:lang w:eastAsia="zh-CN"/>
              </w:rPr>
              <w:t>；配合做好中央、省、市环保督察相关工作，降低污染物的排放，改善环境质量，增强公众环保意识，取得良好的社会效益。</w:t>
            </w:r>
          </w:p>
        </w:tc>
        <w:tc>
          <w:tcPr>
            <w:tcW w:w="425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已完成</w:t>
            </w:r>
          </w:p>
        </w:tc>
      </w:tr>
      <w:tr>
        <w:tblPrEx>
          <w:tblCellMar>
            <w:top w:w="0" w:type="dxa"/>
            <w:left w:w="108" w:type="dxa"/>
            <w:bottom w:w="0" w:type="dxa"/>
            <w:right w:w="108" w:type="dxa"/>
          </w:tblCellMar>
        </w:tblPrEx>
        <w:trPr>
          <w:jc w:val="center"/>
        </w:trPr>
        <w:tc>
          <w:tcPr>
            <w:tcW w:w="1057"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6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5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0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36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57"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51"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0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及时办结各类环境信访件</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2000</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已完成</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36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7"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1"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0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水和空气环境自动监测站正常运行</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21</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已完成</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36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7"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1"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0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开展固废、危废排查等各类专项行动</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多个</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已完成</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36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57"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1"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0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开展各类环保科技推广及六五等环境宣传活动</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20</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已完成</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36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57"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1"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0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对建设项目环评文件进行审核</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107</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已完成</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FF"/>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36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57"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1"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0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对强制性清洁生产企业开展审核评估与验收</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25</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已完成</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FF"/>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36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57"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1"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0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及时查处各类环境违法案件</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150</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FF"/>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36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7"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1"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0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信访办结率</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100%</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36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7"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1" w:type="dxa"/>
            <w:vMerge w:val="continue"/>
            <w:tcBorders>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0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空气质量优良天数</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310</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bidi="ar-SA"/>
              </w:rPr>
              <w:t>已达标</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36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7"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0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年内按计划完成</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2023/12/31</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2023/12/31</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36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7"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vMerge w:val="continue"/>
            <w:tcBorders>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0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在预算内完成</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740</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523.45</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36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7"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实现节能减排</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实现环境容量和环境质量的双达标</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经济水平得以保持稳定并有所上升</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136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7"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改善公众环境认知度</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有所提升</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有所提升</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36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7"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促进环境质量提升</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有所改善</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有所改善</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136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7"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生态系统状况保持稳定</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保持稳定</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保持稳定</w:t>
            </w:r>
          </w:p>
        </w:tc>
        <w:tc>
          <w:tcPr>
            <w:tcW w:w="81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3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7"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全市群众</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lang w:val="en-US" w:eastAsia="zh-CN"/>
              </w:rPr>
              <w:t>95%</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98%</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136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6809" w:type="dxa"/>
            <w:gridSpan w:val="6"/>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136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 w:val="18"/>
          <w:szCs w:val="18"/>
          <w:highlight w:val="none"/>
        </w:rPr>
      </w:pPr>
    </w:p>
    <w:p>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pPr>
        <w:rPr>
          <w:rFonts w:hint="default" w:ascii="Times New Roman" w:hAnsi="Times New Roman" w:eastAsia="仿宋_GB2312" w:cs="Times New Roman"/>
          <w:sz w:val="22"/>
          <w:szCs w:val="22"/>
          <w:highlight w:val="none"/>
        </w:r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p>
    <w:p>
      <w:pPr>
        <w:rPr>
          <w:rFonts w:hint="default" w:ascii="Times New Roman" w:hAnsi="Times New Roman" w:eastAsia="仿宋_GB2312" w:cs="Times New Roman"/>
          <w:sz w:val="22"/>
          <w:szCs w:val="22"/>
          <w:highlight w:val="none"/>
        </w:rPr>
      </w:pPr>
      <w:r>
        <w:rPr>
          <w:rFonts w:hint="default" w:ascii="Times New Roman" w:hAnsi="Times New Roman" w:eastAsia="仿宋_GB2312" w:cs="Times New Roman"/>
          <w:sz w:val="22"/>
          <w:szCs w:val="22"/>
          <w:highlight w:val="none"/>
        </w:rPr>
        <w:br w:type="page"/>
      </w:r>
    </w:p>
    <w:p>
      <w:pPr>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4</w:t>
      </w:r>
    </w:p>
    <w:p>
      <w:pPr>
        <w:jc w:val="center"/>
        <w:rPr>
          <w:rFonts w:hint="default" w:ascii="Times New Roman" w:hAnsi="Times New Roman" w:eastAsia="方正小标宋_GBK" w:cs="Times New Roman"/>
          <w:sz w:val="52"/>
          <w:szCs w:val="52"/>
          <w:highlight w:val="none"/>
        </w:rPr>
      </w:pP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年度岳阳市生态环境局本级</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整体支出绩效自评报告</w:t>
      </w:r>
    </w:p>
    <w:p>
      <w:pPr>
        <w:jc w:val="center"/>
        <w:rPr>
          <w:rFonts w:hint="default" w:ascii="Times New Roman" w:hAnsi="Times New Roman" w:eastAsia="方正小标宋_GBK" w:cs="Times New Roman"/>
          <w:b/>
          <w:sz w:val="52"/>
          <w:szCs w:val="5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spacing w:line="600" w:lineRule="exact"/>
        <w:jc w:val="center"/>
        <w:rPr>
          <w:rFonts w:hint="default" w:ascii="Times New Roman" w:hAnsi="Times New Roman" w:eastAsia="仿宋_GB2312" w:cs="Times New Roman"/>
          <w:sz w:val="32"/>
          <w:szCs w:val="32"/>
          <w:highlight w:val="none"/>
          <w:u w:val="single"/>
        </w:rPr>
      </w:pPr>
      <w:r>
        <w:rPr>
          <w:rFonts w:hint="default" w:ascii="Times New Roman" w:hAnsi="Times New Roman" w:eastAsia="仿宋_GB2312" w:cs="Times New Roman"/>
          <w:sz w:val="32"/>
          <w:szCs w:val="32"/>
          <w:highlight w:val="none"/>
        </w:rPr>
        <w:t>部门（单位）名称：</w:t>
      </w:r>
      <w:r>
        <w:rPr>
          <w:rFonts w:hint="default" w:ascii="Times New Roman" w:hAnsi="Times New Roman" w:eastAsia="仿宋_GB2312" w:cs="Times New Roman"/>
          <w:sz w:val="32"/>
          <w:szCs w:val="32"/>
          <w:highlight w:val="none"/>
          <w:u w:val="single"/>
        </w:rPr>
        <w:t>（盖章）</w:t>
      </w:r>
    </w:p>
    <w:p>
      <w:pPr>
        <w:spacing w:line="600" w:lineRule="exact"/>
        <w:jc w:val="center"/>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年  月  日</w:t>
      </w:r>
    </w:p>
    <w:p>
      <w:pPr>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（此页为封面）</w:t>
      </w:r>
    </w:p>
    <w:p>
      <w:pPr>
        <w:jc w:val="center"/>
        <w:rPr>
          <w:rFonts w:hint="eastAsia" w:ascii="方正小标宋简体" w:hAnsi="方正小标宋简体" w:eastAsia="方正小标宋简体" w:cs="方正小标宋简体"/>
          <w:sz w:val="44"/>
          <w:szCs w:val="44"/>
          <w:highlight w:val="none"/>
        </w:rPr>
      </w:pPr>
      <w:r>
        <w:rPr>
          <w:rFonts w:hint="default" w:ascii="Times New Roman" w:hAnsi="Times New Roman" w:eastAsia="仿宋_GB2312" w:cs="Times New Roman"/>
          <w:sz w:val="32"/>
          <w:szCs w:val="32"/>
          <w:highlight w:val="none"/>
        </w:rPr>
        <w:br w:type="page"/>
      </w: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年度岳阳市生态环境局本级</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整体支出</w:t>
      </w:r>
      <w:bookmarkStart w:id="0" w:name="_GoBack"/>
      <w:bookmarkEnd w:id="0"/>
      <w:r>
        <w:rPr>
          <w:rFonts w:hint="eastAsia" w:ascii="方正小标宋简体" w:hAnsi="方正小标宋简体" w:eastAsia="方正小标宋简体" w:cs="方正小标宋简体"/>
          <w:sz w:val="44"/>
          <w:szCs w:val="44"/>
          <w:highlight w:val="none"/>
        </w:rPr>
        <w:t>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numPr>
          <w:ilvl w:val="0"/>
          <w:numId w:val="1"/>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单位基本情况</w:t>
      </w:r>
    </w:p>
    <w:p>
      <w:pPr>
        <w:pStyle w:val="8"/>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eastAsia" w:ascii="Times New Roman" w:hAnsi="Times New Roman" w:eastAsia="楷体_GB2312" w:cs="Times New Roman"/>
          <w:b/>
          <w:kern w:val="0"/>
          <w:sz w:val="32"/>
          <w:szCs w:val="32"/>
          <w:highlight w:val="none"/>
          <w:lang w:val="en-US" w:eastAsia="zh-CN" w:bidi="ar-SA"/>
        </w:rPr>
      </w:pPr>
      <w:r>
        <w:rPr>
          <w:rFonts w:hint="eastAsia" w:ascii="Times New Roman" w:hAnsi="Times New Roman" w:eastAsia="楷体_GB2312" w:cs="Times New Roman"/>
          <w:b/>
          <w:kern w:val="0"/>
          <w:sz w:val="32"/>
          <w:szCs w:val="32"/>
          <w:highlight w:val="none"/>
          <w:lang w:val="en-US" w:eastAsia="zh-CN" w:bidi="ar-SA"/>
        </w:rPr>
        <w:t>（一）职能职责</w:t>
      </w:r>
    </w:p>
    <w:p>
      <w:pPr>
        <w:pStyle w:val="8"/>
        <w:keepNext w:val="0"/>
        <w:keepLines w:val="0"/>
        <w:pageBreakBefore w:val="0"/>
        <w:widowControl/>
        <w:kinsoku/>
        <w:wordWrap/>
        <w:overflowPunct/>
        <w:topLinePunct w:val="0"/>
        <w:autoSpaceDE/>
        <w:autoSpaceDN/>
        <w:bidi w:val="0"/>
        <w:adjustRightInd/>
        <w:snapToGrid/>
        <w:spacing w:line="640" w:lineRule="exact"/>
        <w:ind w:left="0" w:leftChars="0" w:firstLine="640" w:firstLineChars="200"/>
        <w:jc w:val="both"/>
        <w:textAlignment w:val="auto"/>
        <w:rPr>
          <w:rFonts w:hint="eastAsia" w:ascii="仿宋_GB2312" w:hAnsi="仿宋_GB2312" w:eastAsia="仿宋_GB2312" w:cs="Times New Roman"/>
          <w:kern w:val="0"/>
          <w:sz w:val="32"/>
          <w:szCs w:val="24"/>
          <w:highlight w:val="none"/>
          <w:lang w:val="en-US" w:eastAsia="zh-CN" w:bidi="ar-SA"/>
        </w:rPr>
      </w:pPr>
      <w:r>
        <w:rPr>
          <w:rFonts w:hint="eastAsia" w:ascii="仿宋_GB2312" w:hAnsi="仿宋_GB2312" w:eastAsia="仿宋_GB2312" w:cs="Times New Roman"/>
          <w:kern w:val="0"/>
          <w:sz w:val="32"/>
          <w:szCs w:val="24"/>
          <w:highlight w:val="none"/>
          <w:lang w:val="en-US" w:eastAsia="zh-CN" w:bidi="ar-SA"/>
        </w:rPr>
        <w:t>1、贯彻执行生态环境法律法规和标准，会同有关部门拟订本市生态环境政策、规划并组织实施，配合制定生态环境有关地方性法规和政府规章草案；会同有关部门编制并监督实施重点区域、流域、饮用水水源地保护等生态环境规划和水、大气环境、声环境功能区划。</w:t>
      </w:r>
    </w:p>
    <w:p>
      <w:pPr>
        <w:pStyle w:val="8"/>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Times New Roman"/>
          <w:kern w:val="0"/>
          <w:sz w:val="32"/>
          <w:szCs w:val="24"/>
          <w:highlight w:val="none"/>
          <w:lang w:val="en-US" w:eastAsia="zh-CN" w:bidi="ar-SA"/>
        </w:rPr>
      </w:pPr>
      <w:r>
        <w:rPr>
          <w:rFonts w:hint="eastAsia" w:ascii="仿宋_GB2312" w:hAnsi="仿宋_GB2312" w:eastAsia="仿宋_GB2312" w:cs="Times New Roman"/>
          <w:kern w:val="0"/>
          <w:sz w:val="32"/>
          <w:szCs w:val="24"/>
          <w:highlight w:val="none"/>
          <w:lang w:val="en-US" w:eastAsia="zh-CN" w:bidi="ar-SA"/>
        </w:rPr>
        <w:t>2、负责全市生态环境问题的统筹协调和监督管理。</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Times New Roman"/>
          <w:kern w:val="0"/>
          <w:sz w:val="32"/>
          <w:szCs w:val="24"/>
          <w:highlight w:val="none"/>
          <w:lang w:val="en-US" w:eastAsia="zh-CN" w:bidi="ar-SA"/>
        </w:rPr>
      </w:pPr>
      <w:r>
        <w:rPr>
          <w:rFonts w:hint="eastAsia" w:ascii="仿宋_GB2312" w:hAnsi="仿宋_GB2312" w:eastAsia="仿宋_GB2312" w:cs="Times New Roman"/>
          <w:kern w:val="0"/>
          <w:sz w:val="32"/>
          <w:szCs w:val="24"/>
          <w:highlight w:val="none"/>
          <w:lang w:val="en-US" w:eastAsia="zh-CN" w:bidi="ar-SA"/>
        </w:rPr>
        <w:t>3、负责监督管理减排目标的落实。</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Times New Roman"/>
          <w:kern w:val="0"/>
          <w:sz w:val="32"/>
          <w:szCs w:val="24"/>
          <w:highlight w:val="none"/>
          <w:lang w:val="en-US" w:eastAsia="zh-CN" w:bidi="ar-SA"/>
        </w:rPr>
      </w:pPr>
      <w:r>
        <w:rPr>
          <w:rFonts w:hint="eastAsia" w:ascii="仿宋_GB2312" w:hAnsi="仿宋_GB2312" w:eastAsia="仿宋_GB2312" w:cs="Times New Roman"/>
          <w:kern w:val="0"/>
          <w:sz w:val="32"/>
          <w:szCs w:val="24"/>
          <w:highlight w:val="none"/>
          <w:lang w:val="en-US" w:eastAsia="zh-CN" w:bidi="ar-SA"/>
        </w:rPr>
        <w:t>4、负责提出生态环境领域固定资产投资规模和方向、市级财政性资金安排的意见，按规定权限审批、核准规划内和年度计划规模内生态环境领域固定资产投资项目，配合有关部门做好组织实施和监督工作。</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Times New Roman"/>
          <w:kern w:val="0"/>
          <w:sz w:val="32"/>
          <w:szCs w:val="24"/>
          <w:highlight w:val="none"/>
          <w:lang w:val="en-US" w:eastAsia="zh-CN" w:bidi="ar-SA"/>
        </w:rPr>
      </w:pPr>
      <w:r>
        <w:rPr>
          <w:rFonts w:hint="eastAsia" w:ascii="仿宋_GB2312" w:hAnsi="仿宋_GB2312" w:eastAsia="仿宋_GB2312" w:cs="Times New Roman"/>
          <w:kern w:val="0"/>
          <w:sz w:val="32"/>
          <w:szCs w:val="24"/>
          <w:highlight w:val="none"/>
          <w:lang w:val="en-US" w:eastAsia="zh-CN" w:bidi="ar-SA"/>
        </w:rPr>
        <w:t>5、负责环境污染防治的监督管理。</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Times New Roman"/>
          <w:kern w:val="0"/>
          <w:sz w:val="32"/>
          <w:szCs w:val="24"/>
          <w:highlight w:val="none"/>
          <w:lang w:val="en-US" w:eastAsia="zh-CN" w:bidi="ar-SA"/>
        </w:rPr>
      </w:pPr>
      <w:r>
        <w:rPr>
          <w:rFonts w:hint="eastAsia" w:ascii="仿宋_GB2312" w:hAnsi="仿宋_GB2312" w:eastAsia="仿宋_GB2312" w:cs="Times New Roman"/>
          <w:kern w:val="0"/>
          <w:sz w:val="32"/>
          <w:szCs w:val="24"/>
          <w:highlight w:val="none"/>
          <w:lang w:val="en-US" w:eastAsia="zh-CN" w:bidi="ar-SA"/>
        </w:rPr>
        <w:t>6、指导协调和监督生态保护修复工作。</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Times New Roman"/>
          <w:kern w:val="0"/>
          <w:sz w:val="32"/>
          <w:szCs w:val="24"/>
          <w:highlight w:val="none"/>
          <w:lang w:val="en-US" w:eastAsia="zh-CN" w:bidi="ar-SA"/>
        </w:rPr>
      </w:pPr>
      <w:r>
        <w:rPr>
          <w:rFonts w:hint="eastAsia" w:ascii="仿宋_GB2312" w:hAnsi="仿宋_GB2312" w:eastAsia="仿宋_GB2312" w:cs="Times New Roman"/>
          <w:kern w:val="0"/>
          <w:sz w:val="32"/>
          <w:szCs w:val="24"/>
          <w:highlight w:val="none"/>
          <w:lang w:val="en-US" w:eastAsia="zh-CN" w:bidi="ar-SA"/>
        </w:rPr>
        <w:t>7、负责核与辐射安全的监督管理。</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Times New Roman"/>
          <w:kern w:val="0"/>
          <w:sz w:val="32"/>
          <w:szCs w:val="24"/>
          <w:highlight w:val="none"/>
          <w:lang w:val="en-US" w:eastAsia="zh-CN" w:bidi="ar-SA"/>
        </w:rPr>
      </w:pPr>
      <w:r>
        <w:rPr>
          <w:rFonts w:hint="eastAsia" w:ascii="仿宋_GB2312" w:hAnsi="仿宋_GB2312" w:eastAsia="仿宋_GB2312" w:cs="Times New Roman"/>
          <w:kern w:val="0"/>
          <w:sz w:val="32"/>
          <w:szCs w:val="24"/>
          <w:highlight w:val="none"/>
          <w:lang w:val="en-US" w:eastAsia="zh-CN" w:bidi="ar-SA"/>
        </w:rPr>
        <w:t>8、负责生态环境准入的监督管理。</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Times New Roman"/>
          <w:kern w:val="0"/>
          <w:sz w:val="32"/>
          <w:szCs w:val="24"/>
          <w:highlight w:val="none"/>
          <w:lang w:val="en-US" w:eastAsia="zh-CN" w:bidi="ar-SA"/>
        </w:rPr>
      </w:pPr>
      <w:r>
        <w:rPr>
          <w:rFonts w:hint="eastAsia" w:ascii="仿宋_GB2312" w:hAnsi="仿宋_GB2312" w:eastAsia="仿宋_GB2312" w:cs="Times New Roman"/>
          <w:kern w:val="0"/>
          <w:sz w:val="32"/>
          <w:szCs w:val="24"/>
          <w:highlight w:val="none"/>
          <w:lang w:val="en-US" w:eastAsia="zh-CN" w:bidi="ar-SA"/>
        </w:rPr>
        <w:t>9、负责重点污染源监测工作。</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Times New Roman"/>
          <w:kern w:val="0"/>
          <w:sz w:val="32"/>
          <w:szCs w:val="24"/>
          <w:highlight w:val="none"/>
          <w:lang w:val="en-US" w:eastAsia="zh-CN" w:bidi="ar-SA"/>
        </w:rPr>
      </w:pPr>
      <w:r>
        <w:rPr>
          <w:rFonts w:hint="eastAsia" w:ascii="仿宋_GB2312" w:hAnsi="仿宋_GB2312" w:eastAsia="仿宋_GB2312" w:cs="Times New Roman"/>
          <w:kern w:val="0"/>
          <w:sz w:val="32"/>
          <w:szCs w:val="24"/>
          <w:highlight w:val="none"/>
          <w:lang w:val="en-US" w:eastAsia="zh-CN" w:bidi="ar-SA"/>
        </w:rPr>
        <w:t>10、负责应对气候变化工作。</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Times New Roman"/>
          <w:kern w:val="0"/>
          <w:sz w:val="32"/>
          <w:szCs w:val="24"/>
          <w:highlight w:val="none"/>
          <w:lang w:val="en-US" w:eastAsia="zh-CN" w:bidi="ar-SA"/>
        </w:rPr>
      </w:pPr>
      <w:r>
        <w:rPr>
          <w:rFonts w:hint="eastAsia" w:ascii="仿宋_GB2312" w:hAnsi="仿宋_GB2312" w:eastAsia="仿宋_GB2312" w:cs="Times New Roman"/>
          <w:kern w:val="0"/>
          <w:sz w:val="32"/>
          <w:szCs w:val="24"/>
          <w:highlight w:val="none"/>
          <w:lang w:val="en-US" w:eastAsia="zh-CN" w:bidi="ar-SA"/>
        </w:rPr>
        <w:t>11、配合开展生态环境保护督察工作。</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Times New Roman"/>
          <w:kern w:val="0"/>
          <w:sz w:val="32"/>
          <w:szCs w:val="24"/>
          <w:highlight w:val="none"/>
          <w:lang w:val="en-US" w:eastAsia="zh-CN" w:bidi="ar-SA"/>
        </w:rPr>
      </w:pPr>
      <w:r>
        <w:rPr>
          <w:rFonts w:hint="eastAsia" w:ascii="仿宋_GB2312" w:hAnsi="仿宋_GB2312" w:eastAsia="仿宋_GB2312" w:cs="Times New Roman"/>
          <w:kern w:val="0"/>
          <w:sz w:val="32"/>
          <w:szCs w:val="24"/>
          <w:highlight w:val="none"/>
          <w:lang w:val="en-US" w:eastAsia="zh-CN" w:bidi="ar-SA"/>
        </w:rPr>
        <w:t>12、统一监督生态环境执法工作。</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Times New Roman"/>
          <w:kern w:val="0"/>
          <w:sz w:val="32"/>
          <w:szCs w:val="24"/>
          <w:highlight w:val="none"/>
          <w:lang w:val="en-US" w:eastAsia="zh-CN" w:bidi="ar-SA"/>
        </w:rPr>
      </w:pPr>
      <w:r>
        <w:rPr>
          <w:rFonts w:hint="eastAsia" w:ascii="仿宋_GB2312" w:hAnsi="仿宋_GB2312" w:eastAsia="仿宋_GB2312" w:cs="Times New Roman"/>
          <w:kern w:val="0"/>
          <w:sz w:val="32"/>
          <w:szCs w:val="24"/>
          <w:highlight w:val="none"/>
          <w:lang w:val="en-US" w:eastAsia="zh-CN" w:bidi="ar-SA"/>
        </w:rPr>
        <w:t>13、组织指导和协调生态环境宣传教育工作，贯彻实施生态环境保护宣传教育纲要，推动社会组织和公众参与生态环境保护。</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Times New Roman"/>
          <w:kern w:val="0"/>
          <w:sz w:val="32"/>
          <w:szCs w:val="24"/>
          <w:highlight w:val="none"/>
          <w:lang w:val="en-US" w:eastAsia="zh-CN" w:bidi="ar-SA"/>
        </w:rPr>
      </w:pPr>
      <w:r>
        <w:rPr>
          <w:rFonts w:hint="eastAsia" w:ascii="仿宋_GB2312" w:hAnsi="仿宋_GB2312" w:eastAsia="仿宋_GB2312" w:cs="Times New Roman"/>
          <w:kern w:val="0"/>
          <w:sz w:val="32"/>
          <w:szCs w:val="24"/>
          <w:highlight w:val="none"/>
          <w:lang w:val="en-US" w:eastAsia="zh-CN" w:bidi="ar-SA"/>
        </w:rPr>
        <w:t>14、开展生态环境对外合作交流，研究提出生态环境对外合作中有关问题的建议，组织协调有关生态环境国际条约的本市履约工作，参与处理涉外生态环境事务。</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Times New Roman"/>
          <w:kern w:val="0"/>
          <w:sz w:val="32"/>
          <w:szCs w:val="24"/>
          <w:highlight w:val="none"/>
          <w:lang w:val="en-US" w:eastAsia="zh-CN" w:bidi="ar-SA"/>
        </w:rPr>
      </w:pPr>
      <w:r>
        <w:rPr>
          <w:rFonts w:hint="eastAsia" w:ascii="仿宋_GB2312" w:hAnsi="仿宋_GB2312" w:eastAsia="仿宋_GB2312" w:cs="Times New Roman"/>
          <w:kern w:val="0"/>
          <w:sz w:val="32"/>
          <w:szCs w:val="24"/>
          <w:highlight w:val="none"/>
          <w:lang w:val="en-US" w:eastAsia="zh-CN" w:bidi="ar-SA"/>
        </w:rPr>
        <w:t>15、完成市委、市政府交办的其他事项。</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Times New Roman"/>
          <w:kern w:val="0"/>
          <w:sz w:val="32"/>
          <w:szCs w:val="24"/>
          <w:highlight w:val="none"/>
          <w:lang w:val="en-US" w:eastAsia="zh-CN" w:bidi="ar-SA"/>
        </w:rPr>
      </w:pPr>
      <w:r>
        <w:rPr>
          <w:rFonts w:hint="eastAsia" w:ascii="仿宋_GB2312" w:hAnsi="仿宋_GB2312" w:eastAsia="仿宋_GB2312" w:cs="Times New Roman"/>
          <w:kern w:val="0"/>
          <w:sz w:val="32"/>
          <w:szCs w:val="24"/>
          <w:highlight w:val="none"/>
          <w:lang w:val="en-US" w:eastAsia="zh-CN" w:bidi="ar-SA"/>
        </w:rPr>
        <w:t>16、职能转变。</w:t>
      </w:r>
    </w:p>
    <w:p>
      <w:pPr>
        <w:pStyle w:val="8"/>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eastAsia" w:ascii="Times New Roman" w:hAnsi="Times New Roman" w:eastAsia="楷体_GB2312" w:cs="Times New Roman"/>
          <w:b/>
          <w:kern w:val="0"/>
          <w:sz w:val="32"/>
          <w:szCs w:val="32"/>
          <w:highlight w:val="none"/>
          <w:lang w:val="en-US" w:eastAsia="zh-CN" w:bidi="ar-SA"/>
        </w:rPr>
      </w:pPr>
      <w:r>
        <w:rPr>
          <w:rFonts w:hint="eastAsia" w:ascii="Times New Roman" w:hAnsi="Times New Roman" w:eastAsia="楷体_GB2312" w:cs="Times New Roman"/>
          <w:b/>
          <w:kern w:val="0"/>
          <w:sz w:val="32"/>
          <w:szCs w:val="32"/>
          <w:highlight w:val="none"/>
          <w:lang w:val="en-US" w:eastAsia="zh-CN" w:bidi="ar-SA"/>
        </w:rPr>
        <w:t>（二）机构设置</w:t>
      </w:r>
    </w:p>
    <w:p>
      <w:pPr>
        <w:pStyle w:val="8"/>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Times New Roman"/>
          <w:color w:val="FF0000"/>
          <w:kern w:val="0"/>
          <w:sz w:val="32"/>
          <w:szCs w:val="24"/>
          <w:highlight w:val="none"/>
          <w:lang w:val="en-US" w:eastAsia="zh-CN" w:bidi="ar-SA"/>
        </w:rPr>
      </w:pPr>
      <w:r>
        <w:rPr>
          <w:rFonts w:hint="eastAsia" w:ascii="仿宋_GB2312" w:hAnsi="仿宋_GB2312" w:eastAsia="仿宋_GB2312" w:cs="Times New Roman"/>
          <w:color w:val="auto"/>
          <w:kern w:val="0"/>
          <w:sz w:val="32"/>
          <w:szCs w:val="24"/>
          <w:highlight w:val="none"/>
          <w:lang w:val="en-US" w:eastAsia="zh-CN" w:bidi="ar-SA"/>
        </w:rPr>
        <w:t>2023年，我局机关共有干部职工118人，其中在职人数73名，离退人员45人，核定编制人数73人，大专以上学历占90%以上。局内设办公室、生态环境监督科、综合协调科、法规与标准科、自然生态保护科、水生态环境科、大气环境与应对气候变化科、土壤生态环境科、固体废物与化学品科、核与辐射管理科、环评和污染排放科（行政审批办公室）、宣教与监测科、科技与财务科、人事科14个职能科室和机关党委（纪委）、机关工会、离退休人员管理服务科。下设综合行政执法支队、生态环境事务中心2个二级机构；平江、岳阳县、华容、湘阴、汨罗、临湘、岳阳楼、云溪、君山、经开、南湖新区、屈原、城陵矶新港区分局13个派出机构。</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二、一般公共预算支出情况</w:t>
      </w:r>
    </w:p>
    <w:p>
      <w:pPr>
        <w:pStyle w:val="8"/>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（一）基本支出情况</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楷体_GB2312" w:cs="Times New Roman"/>
          <w:b/>
          <w:color w:val="auto"/>
          <w:sz w:val="32"/>
          <w:szCs w:val="32"/>
          <w:highlight w:val="none"/>
        </w:rPr>
      </w:pPr>
      <w:r>
        <w:rPr>
          <w:rFonts w:hint="eastAsia" w:ascii="仿宋_GB2312" w:hAnsi="仿宋_GB2312" w:eastAsia="仿宋_GB2312" w:cs="仿宋_GB2312"/>
          <w:color w:val="auto"/>
          <w:spacing w:val="0"/>
          <w:position w:val="0"/>
          <w:sz w:val="32"/>
          <w:szCs w:val="32"/>
          <w:highlight w:val="none"/>
          <w:lang w:val="en-US" w:eastAsia="zh-CN"/>
        </w:rPr>
        <w:t>2023年基本支出预算数1476.37万元，实际支出决算数1655.50万元。其中：人员经费1372.32万元，主要包括：基本工资、津贴补贴、奖金、伙食补助、绩效工资、机关事业单位基本养老保险缴费、职工基本医疗保险缴费、其他社会保障缴费、住房公积金等、医疗费；退休费、医疗费补助、其他对个人和家庭的补助；公用经费283.18万元，主要包括：办公费、印刷费、水费、电费、公务接待费、工会经费、福利费、公务用车运行维护费、其他交通费用、其他商品和服务支出。</w:t>
      </w:r>
    </w:p>
    <w:p>
      <w:pPr>
        <w:pStyle w:val="8"/>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（二）项目支出情况</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仿宋_GB2312" w:hAnsi="仿宋_GB2312" w:eastAsia="仿宋_GB2312" w:cs="仿宋_GB2312"/>
          <w:color w:val="auto"/>
          <w:spacing w:val="0"/>
          <w:position w:val="0"/>
          <w:sz w:val="32"/>
          <w:szCs w:val="32"/>
          <w:highlight w:val="none"/>
          <w:lang w:val="en-US" w:eastAsia="zh-CN"/>
        </w:rPr>
      </w:pPr>
      <w:r>
        <w:rPr>
          <w:rFonts w:hint="eastAsia" w:ascii="仿宋_GB2312" w:hAnsi="仿宋_GB2312" w:eastAsia="仿宋_GB2312" w:cs="仿宋_GB2312"/>
          <w:color w:val="auto"/>
          <w:spacing w:val="0"/>
          <w:position w:val="0"/>
          <w:sz w:val="32"/>
          <w:szCs w:val="32"/>
          <w:highlight w:val="none"/>
          <w:lang w:val="en-US" w:eastAsia="zh-CN"/>
        </w:rPr>
        <w:t>2023年项目支出预算数1021.00万元，实际支出决算数2462.40万元。其中包含业务工作经费，环境监测、监控及监察能力建设，环境监察、监测等运行经费等项目支出。</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三、政府性基金预算支出情况</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FangSong_GB2312" w:hAnsi="FangSong_GB2312" w:eastAsia="FangSong_GB2312" w:cs="FangSong_GB2312"/>
          <w:color w:val="000000" w:themeColor="text1"/>
          <w:sz w:val="32"/>
          <w:szCs w:val="32"/>
          <w:highlight w:val="none"/>
          <w14:textFill>
            <w14:solidFill>
              <w14:schemeClr w14:val="tx1"/>
            </w14:solidFill>
          </w14:textFill>
        </w:rPr>
        <w:t>202</w:t>
      </w:r>
      <w:r>
        <w:rPr>
          <w:rFonts w:hint="eastAsia" w:ascii="FangSong_GB2312" w:hAnsi="FangSong_GB2312" w:eastAsia="FangSong_GB2312" w:cs="FangSong_GB2312"/>
          <w:color w:val="000000" w:themeColor="text1"/>
          <w:sz w:val="32"/>
          <w:szCs w:val="32"/>
          <w:highlight w:val="none"/>
          <w:lang w:val="en-US" w:eastAsia="zh-CN"/>
          <w14:textFill>
            <w14:solidFill>
              <w14:schemeClr w14:val="tx1"/>
            </w14:solidFill>
          </w14:textFill>
        </w:rPr>
        <w:t>3</w:t>
      </w:r>
      <w:r>
        <w:rPr>
          <w:rFonts w:hint="eastAsia" w:ascii="FangSong_GB2312" w:hAnsi="FangSong_GB2312" w:eastAsia="FangSong_GB2312" w:cs="FangSong_GB2312"/>
          <w:color w:val="000000" w:themeColor="text1"/>
          <w:sz w:val="32"/>
          <w:szCs w:val="32"/>
          <w:highlight w:val="none"/>
          <w14:textFill>
            <w14:solidFill>
              <w14:schemeClr w14:val="tx1"/>
            </w14:solidFill>
          </w14:textFill>
        </w:rPr>
        <w:t>年度本单位无政府性基金安排的支出。</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四、国有资本经营预算支出情况</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FangSong_GB2312" w:hAnsi="FangSong_GB2312" w:eastAsia="FangSong_GB2312" w:cs="FangSong_GB2312"/>
          <w:color w:val="000000" w:themeColor="text1"/>
          <w:sz w:val="32"/>
          <w:szCs w:val="32"/>
          <w:highlight w:val="none"/>
          <w14:textFill>
            <w14:solidFill>
              <w14:schemeClr w14:val="tx1"/>
            </w14:solidFill>
          </w14:textFill>
        </w:rPr>
        <w:t>202</w:t>
      </w:r>
      <w:r>
        <w:rPr>
          <w:rFonts w:hint="eastAsia" w:ascii="FangSong_GB2312" w:hAnsi="FangSong_GB2312" w:eastAsia="FangSong_GB2312" w:cs="FangSong_GB2312"/>
          <w:color w:val="000000" w:themeColor="text1"/>
          <w:sz w:val="32"/>
          <w:szCs w:val="32"/>
          <w:highlight w:val="none"/>
          <w:lang w:val="en-US" w:eastAsia="zh-CN"/>
          <w14:textFill>
            <w14:solidFill>
              <w14:schemeClr w14:val="tx1"/>
            </w14:solidFill>
          </w14:textFill>
        </w:rPr>
        <w:t>3</w:t>
      </w:r>
      <w:r>
        <w:rPr>
          <w:rFonts w:hint="eastAsia" w:ascii="FangSong_GB2312" w:hAnsi="FangSong_GB2312" w:eastAsia="FangSong_GB2312" w:cs="FangSong_GB2312"/>
          <w:color w:val="000000" w:themeColor="text1"/>
          <w:sz w:val="32"/>
          <w:szCs w:val="32"/>
          <w:highlight w:val="none"/>
          <w14:textFill>
            <w14:solidFill>
              <w14:schemeClr w14:val="tx1"/>
            </w14:solidFill>
          </w14:textFill>
        </w:rPr>
        <w:t>年度本单位无国有资本经营预算支出。</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五、社会保险基金预算支出情况</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FangSong_GB2312" w:hAnsi="FangSong_GB2312" w:eastAsia="FangSong_GB2312" w:cs="FangSong_GB2312"/>
          <w:color w:val="000000" w:themeColor="text1"/>
          <w:sz w:val="32"/>
          <w:szCs w:val="32"/>
          <w:highlight w:val="none"/>
          <w14:textFill>
            <w14:solidFill>
              <w14:schemeClr w14:val="tx1"/>
            </w14:solidFill>
          </w14:textFill>
        </w:rPr>
        <w:t>202</w:t>
      </w:r>
      <w:r>
        <w:rPr>
          <w:rFonts w:hint="eastAsia" w:ascii="FangSong_GB2312" w:hAnsi="FangSong_GB2312" w:eastAsia="FangSong_GB2312" w:cs="FangSong_GB2312"/>
          <w:color w:val="000000" w:themeColor="text1"/>
          <w:sz w:val="32"/>
          <w:szCs w:val="32"/>
          <w:highlight w:val="none"/>
          <w:lang w:val="en-US" w:eastAsia="zh-CN"/>
          <w14:textFill>
            <w14:solidFill>
              <w14:schemeClr w14:val="tx1"/>
            </w14:solidFill>
          </w14:textFill>
        </w:rPr>
        <w:t>3</w:t>
      </w:r>
      <w:r>
        <w:rPr>
          <w:rFonts w:hint="eastAsia" w:ascii="FangSong_GB2312" w:hAnsi="FangSong_GB2312" w:eastAsia="FangSong_GB2312" w:cs="FangSong_GB2312"/>
          <w:color w:val="000000" w:themeColor="text1"/>
          <w:sz w:val="32"/>
          <w:szCs w:val="32"/>
          <w:highlight w:val="none"/>
          <w14:textFill>
            <w14:solidFill>
              <w14:schemeClr w14:val="tx1"/>
            </w14:solidFill>
          </w14:textFill>
        </w:rPr>
        <w:t>年度本单位无社会保险基金预算支出。</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六、部门整体支出绩效情况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一）生态环境质量持续改善。空气环境质量稳中有进。市城区空气质量优良率为87.4%，同比上升0.6个百分点；空气质量综合指数为3.65，同比改善2.1%；PM2.5浓度为36μg/m3，全省排名第5位，同比上升3个名次。水环境质量进中提质。全市50个省以上地表水考核断面中，Ⅰ－Ⅲ类水质断面比例为84%，同比持平；长江岳阳段5个断面水质优良率为100%，连续6年保持为Ⅱ类；洞庭湖岳阳区域总磷平均浓度为0.059mg/L，同比下降11%。生态系统状况保持稳定。全市自然生态状况总体稳定，森林覆盖率和湿地保护率保持为38.19%、71.86%；全市土壤环境风险得到基本管控。</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二）污染防治攻坚扎实推进。全力营造生态环保氛围。成功举办“4·25”系列活动和长江生态环境保护主题论坛、六五环境日湖南主场活动等，开展首个全国生态日宣传，持续推进污染防治攻坚战月考核制度，营造了生态环境保护空前氛围。大力推进突出问题整改。今年需完成的15个中央、省交办问题已全部完成整改；围绕水、气等专题拍摄3部市级生态环境警示片，曝光整改各类问题41个。汨罗市黑臭水体问题整改和岳阳市突出环境问题整改、岳阳楼区东风湖治理、华容县饮用水源整治工作分别入选突出生态环境问题整改典型案例和“夏季攻势”典型案例。合力打好治污三大战役。强力推进蓝天保卫战，深抓企业点源治理，完成企业大气污染综合治理75家；严抓机动车线源防治，中心城区建成柴油货车禁行电子围栏，淘汰老旧机动车143台，抽检柴油车辆2200台、非道路移动机械442台。强力推进碧水保卫战，加力入河排污口排查整治，完成3400余个洞庭湖水系排污口疑似清单排查工作，整治长江入河排污口127个；持续开展总磷控制与削减，完成总磷污染控制与削减项目107个；保障饮用水源地安全，完成县级以上城市集中式饮用水水源地环境状况评估和边界核定，整改农村千人以上饮用水水源地问题25个。强力推进净土保卫战，加强土壤污染源头防控，指导5家土壤污染重点企业开展隐患排查，督促27家重点企业完成土壤污染状况调查；推动农村环境综合治理，完成72个村的农村环境整治和25条农村黑臭水体治理任务；争取到中央农村黑臭水体治理试点，获得中央、省专项资金2.4亿元支持。</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三）生态环境安全有效保障。持续保持严厉打击环境违法行为的高压态势，开展涉气企业“假日行动”等执法检查和专项执法行动，全年共立案380起（“五类配套案件”49起），处罚金额1786.4万元。持续开展防范化解重大生态环境风险隐患“利剑”行动，紧盯重点领域、重点行业、重点园区，共摸排环境风险隐患648项，已整改完成609项，剩余39项正按计划稳步整改。全年未发生较大及以上环境污染事件。</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四）党风廉政建设不断深入。全面推进党风建设。局党组书记和班子成员、分管领导和科长之间共开展谈心谈话68次，13个县市区分局划分为4片6组联动互助，支部互检、互比互学。全面检视学习实效。局领导班子成员全年共开展集中学习18次、专题读书班11期、专题研讨6次；选定调研课题10个、开展调研98次、深入基层单位43个、座谈访谈47人次，提出办法举措150条，解决问题48个。全面压实廉政责任。局党组与驻局纪检监察组召开从严治党工作专题会商会2次，建立正科级及以下干部廉政档案共711份，全体干部职工签订清廉承诺书和自查表635份，全年给予党纪政纪处分19人次，坚持念好“教、建、打、练、控、铸”六字诀，全力锻造清廉环保执法铁军，成功入围全国生态环境系统先进集体。</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黑体" w:cs="Times New Roman"/>
          <w:sz w:val="32"/>
          <w:szCs w:val="32"/>
          <w:highlight w:val="none"/>
        </w:rPr>
        <w:t>七、存在的问题及原因分析</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虽然过去一年我局在生态环保工作上取得了一些成效，但仍有不少可以提升的短板领域。一是生态环境质量稳步改善较难。近几年我市环境空气质量和水环境质量均处于历史高位，但受输入性环境污染和极端气象条件、结构性减排空间压减等因素影响，实现持续改善的空间小、难度大。二是重难点工作任务推进较难。通过努力，近几年我市整改了一大批环境问题，但剩下的都是投入资金较大、短时间内难整改的“硬骨头”，比如城乡生活污水收集、农业面源污染治理、秋冬季秸秆焚烧、入河湖排污口整治等等，虽一直在推进，但仍需久久为功。</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八、下一步改进措施</w:t>
      </w:r>
    </w:p>
    <w:p>
      <w:pPr>
        <w:keepNext w:val="0"/>
        <w:keepLines w:val="0"/>
        <w:pageBreakBefore w:val="0"/>
        <w:widowControl/>
        <w:kinsoku/>
        <w:wordWrap/>
        <w:overflowPunct/>
        <w:topLinePunct w:val="0"/>
        <w:autoSpaceDE/>
        <w:autoSpaceDN/>
        <w:bidi w:val="0"/>
        <w:adjustRightInd/>
        <w:snapToGrid/>
        <w:spacing w:line="640" w:lineRule="exact"/>
        <w:ind w:firstLine="684" w:firstLineChars="200"/>
        <w:jc w:val="both"/>
        <w:textAlignment w:val="auto"/>
        <w:rPr>
          <w:rFonts w:hint="default" w:ascii="Times New Roman" w:hAnsi="Times New Roman" w:eastAsia="仿宋_GB2312" w:cs="Times New Roman"/>
          <w:color w:val="000000"/>
          <w:spacing w:val="11"/>
          <w:sz w:val="32"/>
          <w:szCs w:val="32"/>
          <w:highlight w:val="none"/>
        </w:rPr>
      </w:pPr>
      <w:r>
        <w:rPr>
          <w:rFonts w:hint="default" w:ascii="Times New Roman" w:hAnsi="Times New Roman" w:eastAsia="仿宋_GB2312" w:cs="Times New Roman"/>
          <w:color w:val="000000"/>
          <w:spacing w:val="11"/>
          <w:sz w:val="32"/>
          <w:szCs w:val="32"/>
          <w:highlight w:val="none"/>
        </w:rPr>
        <w:t>1、加强项目执行和跟踪管理，提高资金的执行进度和使用效率。建立健全绩效评价制度，综合实行绩效目标全评价措施，把绩效评价结果作为项目管理、预算编制和环保计划安排的依据，促进资金真正落到实处，发挥资金使用效益。</w:t>
      </w:r>
    </w:p>
    <w:p>
      <w:pPr>
        <w:keepNext w:val="0"/>
        <w:keepLines w:val="0"/>
        <w:pageBreakBefore w:val="0"/>
        <w:widowControl/>
        <w:kinsoku/>
        <w:wordWrap/>
        <w:overflowPunct/>
        <w:topLinePunct w:val="0"/>
        <w:autoSpaceDE/>
        <w:autoSpaceDN/>
        <w:bidi w:val="0"/>
        <w:adjustRightInd/>
        <w:snapToGrid/>
        <w:spacing w:line="640" w:lineRule="exact"/>
        <w:ind w:firstLine="684" w:firstLineChars="200"/>
        <w:jc w:val="both"/>
        <w:textAlignment w:val="auto"/>
        <w:rPr>
          <w:rFonts w:hint="default" w:ascii="Times New Roman" w:hAnsi="Times New Roman" w:eastAsia="仿宋_GB2312" w:cs="Times New Roman"/>
          <w:color w:val="000000"/>
          <w:spacing w:val="11"/>
          <w:sz w:val="32"/>
          <w:szCs w:val="32"/>
          <w:highlight w:val="none"/>
        </w:rPr>
      </w:pPr>
      <w:r>
        <w:rPr>
          <w:rFonts w:hint="default" w:ascii="Times New Roman" w:hAnsi="Times New Roman" w:eastAsia="仿宋_GB2312" w:cs="Times New Roman"/>
          <w:color w:val="000000"/>
          <w:spacing w:val="11"/>
          <w:sz w:val="32"/>
          <w:szCs w:val="32"/>
          <w:highlight w:val="none"/>
        </w:rPr>
        <w:t>2、加强制度建设，提高预算编制和项目申报的科学性和精细化。对申报市级环保专项资金的项目单位，做好项目台账收集整理，工作资料建档立卡，强化项目验收及备案工作。加强项目可行性论证，提高预算的准确性。</w:t>
      </w:r>
    </w:p>
    <w:p>
      <w:pPr>
        <w:pStyle w:val="4"/>
        <w:widowControl/>
        <w:shd w:val="clear" w:color="auto" w:fill="FFFFFF"/>
        <w:spacing w:beforeAutospacing="0" w:afterAutospacing="0" w:line="33" w:lineRule="atLeast"/>
        <w:ind w:firstLine="420"/>
        <w:jc w:val="both"/>
        <w:textAlignment w:val="center"/>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九、部门整体支出绩效自评结果拟应用和公开情况</w:t>
      </w:r>
    </w:p>
    <w:p>
      <w:pPr>
        <w:pStyle w:val="4"/>
        <w:widowControl/>
        <w:shd w:val="clear" w:color="auto" w:fill="FFFFFF"/>
        <w:spacing w:beforeAutospacing="0" w:afterAutospacing="0" w:line="33" w:lineRule="atLeast"/>
        <w:ind w:firstLine="420"/>
        <w:jc w:val="both"/>
        <w:textAlignment w:val="center"/>
        <w:rPr>
          <w:rFonts w:ascii="FangSong_GB2312" w:hAnsi="FangSong_GB2312" w:eastAsia="FangSong_GB2312" w:cs="FangSong_GB2312"/>
          <w:color w:val="000000" w:themeColor="text1"/>
          <w:kern w:val="2"/>
          <w:sz w:val="32"/>
          <w:szCs w:val="32"/>
          <w:highlight w:val="none"/>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highlight w:val="none"/>
          <w:lang w:val="en-US" w:eastAsia="zh-CN"/>
          <w14:textFill>
            <w14:solidFill>
              <w14:schemeClr w14:val="tx1"/>
            </w14:solidFill>
          </w14:textFill>
        </w:rPr>
        <w:t>绩效自评结果可以进一步规范财政资金管理，强化部门绩效和责任意识，切实提高财政资金使用效益，同时编制下一年的部门预算可以参考绩效自评结果，以提高预算编制的精准性。已按相关要求及时进行预决算公开及整体支出绩效自评的公开。</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eastAsia="zh-CN"/>
        </w:rPr>
        <w:t>十、</w:t>
      </w:r>
      <w:r>
        <w:rPr>
          <w:rFonts w:hint="default" w:ascii="Times New Roman" w:hAnsi="Times New Roman" w:eastAsia="黑体" w:cs="Times New Roman"/>
          <w:sz w:val="32"/>
          <w:szCs w:val="32"/>
          <w:highlight w:val="none"/>
        </w:rPr>
        <w:t>其他需要说明的情况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eastAsia="zh-CN"/>
        </w:rPr>
        <w:t>无。</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仿宋_GB2312" w:cs="Times New Roman"/>
          <w:sz w:val="32"/>
          <w:szCs w:val="32"/>
          <w:highlight w:val="none"/>
          <w:lang w:eastAsia="zh-CN"/>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报告需要以下附件：</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部门整体支出绩效评价基础数据表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部门整体支出绩效自评表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项目支出绩效自评表（一个一级项目支出一张表）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政府性基金预算支出情况表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国有资本经营预算支出情况表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社会保险基金预算支出情况表</w:t>
      </w:r>
    </w:p>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FangSong_GB2312">
    <w:altName w:val="仿宋_GB2312"/>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5131D0"/>
    <w:multiLevelType w:val="singleLevel"/>
    <w:tmpl w:val="D55131D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hM2RiODNhYzYwODk5ZTg2MTVmODIyMGIzNjA1OGYifQ=="/>
  </w:docVars>
  <w:rsids>
    <w:rsidRoot w:val="59886344"/>
    <w:rsid w:val="02F07327"/>
    <w:rsid w:val="05C30D3A"/>
    <w:rsid w:val="07573F44"/>
    <w:rsid w:val="079E3E7E"/>
    <w:rsid w:val="07BB67DE"/>
    <w:rsid w:val="07BC728B"/>
    <w:rsid w:val="07EC4BEA"/>
    <w:rsid w:val="082B76A8"/>
    <w:rsid w:val="094620D8"/>
    <w:rsid w:val="09A24501"/>
    <w:rsid w:val="0AE04FBF"/>
    <w:rsid w:val="123A47A4"/>
    <w:rsid w:val="15644346"/>
    <w:rsid w:val="17255A22"/>
    <w:rsid w:val="1A9609E5"/>
    <w:rsid w:val="1CA9440A"/>
    <w:rsid w:val="1DF167C4"/>
    <w:rsid w:val="1E62123C"/>
    <w:rsid w:val="1EAF2075"/>
    <w:rsid w:val="1F1D18F8"/>
    <w:rsid w:val="1FAF67D1"/>
    <w:rsid w:val="20671B65"/>
    <w:rsid w:val="20761FAC"/>
    <w:rsid w:val="218E68BA"/>
    <w:rsid w:val="21FC2DBE"/>
    <w:rsid w:val="2651082C"/>
    <w:rsid w:val="26B67982"/>
    <w:rsid w:val="26C03576"/>
    <w:rsid w:val="27533EE6"/>
    <w:rsid w:val="27846795"/>
    <w:rsid w:val="286C0340"/>
    <w:rsid w:val="29257B04"/>
    <w:rsid w:val="295126A7"/>
    <w:rsid w:val="29B0311F"/>
    <w:rsid w:val="2A20564D"/>
    <w:rsid w:val="2B7E174D"/>
    <w:rsid w:val="2B8925CC"/>
    <w:rsid w:val="2EBB3D9B"/>
    <w:rsid w:val="2F070331"/>
    <w:rsid w:val="3240150B"/>
    <w:rsid w:val="330F481B"/>
    <w:rsid w:val="33D068BE"/>
    <w:rsid w:val="34784F8C"/>
    <w:rsid w:val="35690D78"/>
    <w:rsid w:val="369C263D"/>
    <w:rsid w:val="3711214A"/>
    <w:rsid w:val="38415FDC"/>
    <w:rsid w:val="38CC7F9C"/>
    <w:rsid w:val="3AD62352"/>
    <w:rsid w:val="3D26783F"/>
    <w:rsid w:val="3DA6700D"/>
    <w:rsid w:val="44C615A3"/>
    <w:rsid w:val="45941E41"/>
    <w:rsid w:val="48223D6A"/>
    <w:rsid w:val="4B4439C2"/>
    <w:rsid w:val="4B7F2937"/>
    <w:rsid w:val="4BC863A1"/>
    <w:rsid w:val="4C7D081C"/>
    <w:rsid w:val="4E803E01"/>
    <w:rsid w:val="50033E4B"/>
    <w:rsid w:val="51A57070"/>
    <w:rsid w:val="536015B5"/>
    <w:rsid w:val="55CE40CE"/>
    <w:rsid w:val="58FC58DC"/>
    <w:rsid w:val="598315CE"/>
    <w:rsid w:val="59886344"/>
    <w:rsid w:val="59AC1815"/>
    <w:rsid w:val="59B04782"/>
    <w:rsid w:val="5C6E68D3"/>
    <w:rsid w:val="5DD961EC"/>
    <w:rsid w:val="600E33F2"/>
    <w:rsid w:val="603E62FA"/>
    <w:rsid w:val="61363BD9"/>
    <w:rsid w:val="61D513C0"/>
    <w:rsid w:val="63021D41"/>
    <w:rsid w:val="656942F9"/>
    <w:rsid w:val="6A3B6DF6"/>
    <w:rsid w:val="6BE31642"/>
    <w:rsid w:val="6CF272CA"/>
    <w:rsid w:val="6D4B2536"/>
    <w:rsid w:val="6E804461"/>
    <w:rsid w:val="6ED8064A"/>
    <w:rsid w:val="70A15B5A"/>
    <w:rsid w:val="70DE1102"/>
    <w:rsid w:val="716F2C97"/>
    <w:rsid w:val="71E85A49"/>
    <w:rsid w:val="72203F91"/>
    <w:rsid w:val="72461F6E"/>
    <w:rsid w:val="72541E8D"/>
    <w:rsid w:val="727C1162"/>
    <w:rsid w:val="795135CA"/>
    <w:rsid w:val="7CAE37FE"/>
    <w:rsid w:val="7EC56EDB"/>
    <w:rsid w:val="7F9164CE"/>
    <w:rsid w:val="DFEF8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 w:hAnsi="仿宋" w:eastAsia="宋体" w:cs="Times New Roman"/>
      <w:kern w:val="0"/>
      <w:sz w:val="28"/>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footnote text"/>
    <w:basedOn w:val="1"/>
    <w:qFormat/>
    <w:uiPriority w:val="99"/>
    <w:pPr>
      <w:snapToGrid w:val="0"/>
      <w:jc w:val="left"/>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paragraph" w:customStyle="1" w:styleId="7">
    <w:name w:val="列出段落1"/>
    <w:basedOn w:val="1"/>
    <w:qFormat/>
    <w:uiPriority w:val="34"/>
    <w:pPr>
      <w:ind w:firstLine="420" w:firstLineChars="200"/>
    </w:pPr>
  </w:style>
  <w:style w:type="paragraph" w:styleId="8">
    <w:name w:val="List Paragraph"/>
    <w:basedOn w:val="1"/>
    <w:qFormat/>
    <w:uiPriority w:val="99"/>
    <w:pPr>
      <w:ind w:firstLine="420" w:firstLineChars="200"/>
    </w:pPr>
    <w:rPr>
      <w:rFonts w:ascii="Calibri" w:hAnsi="Calibri"/>
      <w:szCs w:val="22"/>
    </w:rPr>
  </w:style>
  <w:style w:type="table" w:customStyle="1" w:styleId="9">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7355</Words>
  <Characters>8197</Characters>
  <Lines>0</Lines>
  <Paragraphs>0</Paragraphs>
  <TotalTime>14</TotalTime>
  <ScaleCrop>false</ScaleCrop>
  <LinksUpToDate>false</LinksUpToDate>
  <CharactersWithSpaces>8478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2024-03-18T08:36:00Z</dcterms:created>
  <dc:creator>Administrator</dc:creator>
  <cp:lastModifiedBy>Gat</cp:lastModifiedBy>
  <dcterms:modified xsi:type="dcterms:W3CDTF">2024-06-27T04:20:56Z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6166E4C6D6D243BB995C17C714021138</vt:lpwstr>
  </property>
</Properties>
</file>