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sz w:val="30"/>
          <w:szCs w:val="24"/>
        </w:rPr>
      </w:pPr>
    </w:p>
    <w:p>
      <w:pPr>
        <w:spacing w:line="360" w:lineRule="auto"/>
        <w:jc w:val="center"/>
        <w:rPr>
          <w:sz w:val="30"/>
          <w:szCs w:val="24"/>
        </w:rPr>
      </w:pPr>
    </w:p>
    <w:p>
      <w:pPr>
        <w:spacing w:line="360" w:lineRule="auto"/>
        <w:jc w:val="center"/>
        <w:rPr>
          <w:sz w:val="30"/>
          <w:szCs w:val="24"/>
        </w:rPr>
      </w:pPr>
    </w:p>
    <w:p>
      <w:pPr>
        <w:jc w:val="right"/>
        <w:rPr>
          <w:rFonts w:ascii="仿宋" w:hAnsi="仿宋" w:eastAsia="仿宋" w:cs="仿宋"/>
          <w:sz w:val="30"/>
          <w:szCs w:val="30"/>
        </w:rPr>
      </w:pPr>
    </w:p>
    <w:p>
      <w:pPr>
        <w:jc w:val="righ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岳君环评〔202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〕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sz w:val="30"/>
          <w:szCs w:val="30"/>
        </w:rPr>
        <w:t>号</w:t>
      </w:r>
    </w:p>
    <w:p>
      <w:pPr>
        <w:spacing w:line="360" w:lineRule="auto"/>
        <w:jc w:val="center"/>
        <w:rPr>
          <w:rFonts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关于日产10万只（100万Ah）聚合物锂离子电池项目环境影响报告表的审批意见</w:t>
      </w:r>
    </w:p>
    <w:p>
      <w:pPr>
        <w:spacing w:line="360" w:lineRule="auto"/>
        <w:rPr>
          <w:sz w:val="24"/>
          <w:szCs w:val="24"/>
        </w:rPr>
      </w:pP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湖南君山路飞新能源有限公司：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你公司报送的《日产10万只（100万Ah）聚合物锂离子电池项目环境影响报告表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报批申请书</w:t>
      </w:r>
      <w:r>
        <w:rPr>
          <w:rFonts w:hint="eastAsia" w:ascii="仿宋" w:hAnsi="仿宋" w:eastAsia="仿宋" w:cs="仿宋"/>
          <w:sz w:val="30"/>
          <w:szCs w:val="30"/>
        </w:rPr>
        <w:t>》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及有关附件</w:t>
      </w:r>
      <w:r>
        <w:rPr>
          <w:rFonts w:hint="eastAsia" w:ascii="仿宋" w:hAnsi="仿宋" w:eastAsia="仿宋" w:cs="仿宋"/>
          <w:sz w:val="30"/>
          <w:szCs w:val="30"/>
        </w:rPr>
        <w:t>已收悉。我局按照建设项目管理有关规定对该项目进行审查，经研究，批复如下：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湖南君山路飞新能源有限公司拟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在岳阳市君山区君山工业集中区荆江门片区标准化厂房五期F栋</w:t>
      </w:r>
      <w:r>
        <w:rPr>
          <w:rFonts w:hint="eastAsia" w:ascii="仿宋" w:hAnsi="仿宋" w:eastAsia="仿宋" w:cs="仿宋"/>
          <w:sz w:val="30"/>
          <w:szCs w:val="30"/>
        </w:rPr>
        <w:t>新建日产10万只（100万Ah）聚合物锂离子电池项目。项目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用地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总</w:t>
      </w:r>
      <w:r>
        <w:rPr>
          <w:rFonts w:hint="eastAsia" w:ascii="仿宋" w:hAnsi="仿宋" w:eastAsia="仿宋" w:cs="仿宋"/>
          <w:sz w:val="30"/>
          <w:szCs w:val="30"/>
        </w:rPr>
        <w:t>面积3991.92m</w:t>
      </w:r>
      <w:r>
        <w:rPr>
          <w:rFonts w:hint="eastAsia" w:ascii="仿宋" w:hAnsi="仿宋" w:eastAsia="仿宋" w:cs="仿宋"/>
          <w:sz w:val="30"/>
          <w:szCs w:val="30"/>
          <w:vertAlign w:val="superscript"/>
        </w:rPr>
        <w:t>2</w:t>
      </w:r>
      <w:r>
        <w:rPr>
          <w:rFonts w:hint="eastAsia" w:ascii="仿宋" w:hAnsi="仿宋" w:eastAsia="仿宋" w:cs="仿宋"/>
          <w:sz w:val="30"/>
          <w:szCs w:val="30"/>
        </w:rPr>
        <w:t>，总投资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12378.21</w:t>
      </w:r>
      <w:r>
        <w:rPr>
          <w:rFonts w:hint="eastAsia" w:ascii="仿宋" w:hAnsi="仿宋" w:eastAsia="仿宋" w:cs="仿宋"/>
          <w:sz w:val="30"/>
          <w:szCs w:val="30"/>
        </w:rPr>
        <w:t>万元，其中环保投资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100</w:t>
      </w:r>
      <w:r>
        <w:rPr>
          <w:rFonts w:hint="eastAsia" w:ascii="仿宋" w:hAnsi="仿宋" w:eastAsia="仿宋" w:cs="仿宋"/>
          <w:sz w:val="30"/>
          <w:szCs w:val="30"/>
        </w:rPr>
        <w:t>万元。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主要建设内容有</w:t>
      </w:r>
      <w:r>
        <w:rPr>
          <w:rFonts w:hint="eastAsia" w:ascii="仿宋" w:hAnsi="仿宋" w:eastAsia="仿宋" w:cs="仿宋"/>
          <w:sz w:val="30"/>
          <w:szCs w:val="30"/>
        </w:rPr>
        <w:t>容包括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涂布、搅拌等</w:t>
      </w:r>
      <w:r>
        <w:rPr>
          <w:rFonts w:hint="eastAsia" w:ascii="仿宋" w:hAnsi="仿宋" w:eastAsia="仿宋" w:cs="仿宋"/>
          <w:sz w:val="30"/>
          <w:szCs w:val="30"/>
        </w:rPr>
        <w:t>生产线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通过涂布、注液等工序将钴酸锂等原辅材料加工成聚合物锂电池，建成后年产2500万只锂电池，合计25000万Ah。根据湖南创佳环保有限公司</w:t>
      </w:r>
      <w:r>
        <w:rPr>
          <w:rFonts w:hint="eastAsia" w:ascii="仿宋" w:hAnsi="仿宋" w:eastAsia="仿宋" w:cs="仿宋"/>
          <w:sz w:val="30"/>
          <w:szCs w:val="30"/>
        </w:rPr>
        <w:t>编制的《日产10万只（100万Ah）聚合物锂离子电池项目环境影响报告表》基本内容、结论、专家评审意见，综合考虑，我局原则同意你公司环境影响报告表中所列建设项目的性质、规模、工艺、地点和环境保护对策措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ind w:firstLine="600" w:firstLineChars="200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一、认真落实专家及环境影响报告表中提出的各项污染防治措施，并应着重注意以下问题：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bookmarkStart w:id="0" w:name="OLE_LINK5"/>
      <w:r>
        <w:rPr>
          <w:rFonts w:hint="eastAsia" w:ascii="仿宋" w:hAnsi="仿宋" w:eastAsia="仿宋" w:cs="仿宋"/>
          <w:sz w:val="30"/>
          <w:szCs w:val="30"/>
        </w:rPr>
        <w:t>（一）</w:t>
      </w:r>
      <w:bookmarkEnd w:id="0"/>
      <w:r>
        <w:rPr>
          <w:rFonts w:hint="eastAsia" w:ascii="仿宋" w:hAnsi="仿宋" w:eastAsia="仿宋" w:cs="仿宋"/>
          <w:sz w:val="30"/>
          <w:szCs w:val="30"/>
        </w:rPr>
        <w:t>切实做好施工期环境保护工作。本项目租赁已建成厂区，施工期主要为设备安装及厂房装修，合理安排作业时间，采取隔声降噪措施。施工期固废综合利用，生活垃圾定点收集，由环卫部门统一收集处理。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bookmarkStart w:id="1" w:name="_GoBack"/>
      <w:bookmarkEnd w:id="1"/>
      <w:r>
        <w:rPr>
          <w:rFonts w:hint="eastAsia" w:ascii="仿宋" w:hAnsi="仿宋" w:eastAsia="仿宋" w:cs="仿宋"/>
          <w:sz w:val="30"/>
          <w:szCs w:val="30"/>
        </w:rPr>
        <w:t>（二）废水污染防治。项目实行雨、污分流，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生产废水主要为纯水制作工序产生的浓水，与生活污水混合后经化粪池处理后满足</w:t>
      </w:r>
      <w:r>
        <w:rPr>
          <w:rFonts w:hint="eastAsia" w:ascii="仿宋" w:hAnsi="仿宋" w:eastAsia="仿宋" w:cs="仿宋"/>
          <w:sz w:val="30"/>
          <w:szCs w:val="30"/>
        </w:rPr>
        <w:t>君山区第二污水处理厂预处理中心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接纳标准</w:t>
      </w:r>
      <w:r>
        <w:rPr>
          <w:rFonts w:hint="eastAsia" w:ascii="仿宋" w:hAnsi="仿宋" w:eastAsia="仿宋" w:cs="仿宋"/>
          <w:sz w:val="30"/>
          <w:szCs w:val="30"/>
        </w:rPr>
        <w:t>后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排</w:t>
      </w:r>
      <w:r>
        <w:rPr>
          <w:rFonts w:hint="eastAsia" w:ascii="仿宋" w:hAnsi="仿宋" w:eastAsia="仿宋" w:cs="仿宋"/>
          <w:sz w:val="30"/>
          <w:szCs w:val="30"/>
        </w:rPr>
        <w:t>入君山区第二污水处理厂预处理中心进行处理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最终进入</w:t>
      </w:r>
      <w:r>
        <w:rPr>
          <w:rFonts w:hint="eastAsia" w:ascii="仿宋" w:hAnsi="仿宋" w:eastAsia="仿宋" w:cs="仿宋"/>
          <w:sz w:val="30"/>
          <w:szCs w:val="30"/>
        </w:rPr>
        <w:t>君山区第二污水处理厂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处理达到《城镇污水处理厂污染物排放标准》（GB18918-2002）中一级A标准后外排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（三）大气污染防治。项目涂布、烘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烤</w:t>
      </w:r>
      <w:r>
        <w:rPr>
          <w:rFonts w:hint="eastAsia" w:ascii="仿宋" w:hAnsi="仿宋" w:eastAsia="仿宋" w:cs="仿宋"/>
          <w:sz w:val="30"/>
          <w:szCs w:val="30"/>
        </w:rPr>
        <w:t>等工艺产生的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NMP</w:t>
      </w:r>
      <w:r>
        <w:rPr>
          <w:rFonts w:hint="eastAsia" w:ascii="仿宋" w:hAnsi="仿宋" w:eastAsia="仿宋" w:cs="仿宋"/>
          <w:sz w:val="30"/>
          <w:szCs w:val="30"/>
        </w:rPr>
        <w:t>废气，经冷凝装置处理后通过管道引至楼顶由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1号</w:t>
      </w:r>
      <w:r>
        <w:rPr>
          <w:rFonts w:hint="eastAsia" w:ascii="仿宋" w:hAnsi="仿宋" w:eastAsia="仿宋" w:cs="仿宋"/>
          <w:sz w:val="30"/>
          <w:szCs w:val="30"/>
        </w:rPr>
        <w:t>活性炭吸附装置处理后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满足《电池工业污染物排放标准》(GB30484-2013)的排放限值要求后</w:t>
      </w:r>
      <w:r>
        <w:rPr>
          <w:rFonts w:hint="eastAsia" w:ascii="仿宋" w:hAnsi="仿宋" w:eastAsia="仿宋" w:cs="仿宋"/>
          <w:sz w:val="30"/>
          <w:szCs w:val="30"/>
        </w:rPr>
        <w:t>经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1号</w:t>
      </w:r>
      <w:r>
        <w:rPr>
          <w:rFonts w:hint="eastAsia" w:ascii="仿宋" w:hAnsi="仿宋" w:eastAsia="仿宋" w:cs="仿宋"/>
          <w:sz w:val="30"/>
          <w:szCs w:val="30"/>
        </w:rPr>
        <w:t>排气筒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20m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sz w:val="30"/>
          <w:szCs w:val="30"/>
        </w:rPr>
        <w:t>排放；注液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工序产生的有机</w:t>
      </w:r>
      <w:r>
        <w:rPr>
          <w:rFonts w:hint="eastAsia" w:ascii="仿宋" w:hAnsi="仿宋" w:eastAsia="仿宋" w:cs="仿宋"/>
          <w:sz w:val="30"/>
          <w:szCs w:val="30"/>
        </w:rPr>
        <w:t>废气经集气罩收集后通过管道引至楼顶由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2号</w:t>
      </w:r>
      <w:r>
        <w:rPr>
          <w:rFonts w:hint="eastAsia" w:ascii="仿宋" w:hAnsi="仿宋" w:eastAsia="仿宋" w:cs="仿宋"/>
          <w:sz w:val="30"/>
          <w:szCs w:val="30"/>
        </w:rPr>
        <w:t>活性炭吸附装置处理后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满足《电池工业污染物排放标准》(GB30484-2013)排放标准的排放限值要求后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经2号</w:t>
      </w:r>
      <w:r>
        <w:rPr>
          <w:rFonts w:hint="eastAsia" w:ascii="仿宋" w:hAnsi="仿宋" w:eastAsia="仿宋" w:cs="仿宋"/>
          <w:sz w:val="30"/>
          <w:szCs w:val="30"/>
        </w:rPr>
        <w:t>排气筒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20m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sz w:val="30"/>
          <w:szCs w:val="30"/>
        </w:rPr>
        <w:t>排放。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合理平面布局，加强厂区绿化，减少无组织废气排放影响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（四）噪声污染防治。选用低噪声设备、合理平面布局，确保厂界噪声达到《工业企业厂界环境噪声排放标准》（GB 12348-2008）3类标准要求。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（五）固体废物污染防治。认真落实一般固废分类收集、处置和综合利用措施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</w:rPr>
        <w:t>生活垃圾由环卫部门定期清运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  <w:r>
        <w:rPr>
          <w:rFonts w:hint="eastAsia" w:ascii="仿宋" w:hAnsi="仿宋" w:eastAsia="仿宋" w:cs="仿宋"/>
          <w:sz w:val="30"/>
          <w:szCs w:val="30"/>
        </w:rPr>
        <w:t>严格按照《危险废物贮存污染控制标准》(GB18597-20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23</w:t>
      </w:r>
      <w:r>
        <w:rPr>
          <w:rFonts w:hint="eastAsia" w:ascii="仿宋" w:hAnsi="仿宋" w:eastAsia="仿宋" w:cs="仿宋"/>
          <w:sz w:val="30"/>
          <w:szCs w:val="30"/>
        </w:rPr>
        <w:t>)的相关要求设置危险固废暂存库，废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包装材料</w:t>
      </w:r>
      <w:r>
        <w:rPr>
          <w:rFonts w:hint="eastAsia" w:ascii="仿宋" w:hAnsi="仿宋" w:eastAsia="仿宋" w:cs="仿宋"/>
          <w:sz w:val="30"/>
          <w:szCs w:val="30"/>
        </w:rPr>
        <w:t>、废活性炭等危废收集于危废暂存间后交由有资质单位进行处置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六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sz w:val="30"/>
          <w:szCs w:val="30"/>
        </w:rPr>
        <w:t>加强营运期风险防范。落实各项风险防范措施，严格按照《突发环境事件应急预案管理暂行办法》要求制定事故环境应急预案，储备风险救助物资并组织演练，杜绝环境风险事故发生。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七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sz w:val="30"/>
          <w:szCs w:val="30"/>
        </w:rPr>
        <w:t>加强环境管理，建立健全的污染防治设施运行管理台帐，设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立</w:t>
      </w:r>
      <w:r>
        <w:rPr>
          <w:rFonts w:hint="eastAsia" w:ascii="仿宋" w:hAnsi="仿宋" w:eastAsia="仿宋" w:cs="仿宋"/>
          <w:sz w:val="30"/>
          <w:szCs w:val="30"/>
        </w:rPr>
        <w:t>专门的环保机构，配备专人负责环保工作，确保各项污染防治设施正常运行，各类污染物稳定达标排放。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八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sz w:val="30"/>
          <w:szCs w:val="30"/>
        </w:rPr>
        <w:t>污染物总量控制指标：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COD</w:t>
      </w:r>
      <w:r>
        <w:rPr>
          <w:rFonts w:hint="eastAsia" w:ascii="仿宋" w:hAnsi="仿宋" w:eastAsia="仿宋" w:cs="仿宋"/>
          <w:sz w:val="30"/>
          <w:szCs w:val="30"/>
        </w:rPr>
        <w:t>≤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0.8</w:t>
      </w:r>
      <w:r>
        <w:rPr>
          <w:rFonts w:hint="eastAsia" w:ascii="仿宋" w:hAnsi="仿宋" w:eastAsia="仿宋" w:cs="仿宋"/>
          <w:sz w:val="30"/>
          <w:szCs w:val="30"/>
        </w:rPr>
        <w:t>t/a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NH</w:t>
      </w:r>
      <w:r>
        <w:rPr>
          <w:rFonts w:hint="default" w:ascii="仿宋_GB2312" w:hAnsi="仿宋_GB2312" w:eastAsia="仿宋_GB2312" w:cs="仿宋_GB2312"/>
          <w:sz w:val="30"/>
          <w:szCs w:val="30"/>
          <w:vertAlign w:val="subscript"/>
          <w:lang w:val="en-US" w:eastAsia="zh-CN"/>
        </w:rPr>
        <w:t>3</w:t>
      </w:r>
      <w: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  <w:t>-N</w:t>
      </w:r>
      <w:r>
        <w:rPr>
          <w:rFonts w:hint="eastAsia" w:ascii="仿宋" w:hAnsi="仿宋" w:eastAsia="仿宋" w:cs="仿宋"/>
          <w:sz w:val="30"/>
          <w:szCs w:val="30"/>
        </w:rPr>
        <w:t>≤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0.1</w:t>
      </w:r>
      <w:r>
        <w:rPr>
          <w:rFonts w:hint="eastAsia" w:ascii="仿宋" w:hAnsi="仿宋" w:eastAsia="仿宋" w:cs="仿宋"/>
          <w:sz w:val="30"/>
          <w:szCs w:val="30"/>
        </w:rPr>
        <w:t>t/a。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ind w:firstLine="600" w:firstLineChars="200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二、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项目建设单位应当保证环境影响评价文件的真实、可靠、有效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否则，我局将有权撤销该批复。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ind w:firstLine="600" w:firstLineChars="200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三</w:t>
      </w:r>
      <w:r>
        <w:rPr>
          <w:rFonts w:hint="eastAsia" w:ascii="仿宋" w:hAnsi="仿宋" w:eastAsia="仿宋" w:cs="仿宋"/>
          <w:sz w:val="30"/>
          <w:szCs w:val="30"/>
        </w:rPr>
        <w:t>、你单位应在收到本批复后15个工作日内，将批复及该项目环评报批稿送至岳阳市君山区环境监察大队、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岳阳市君山区工业园管理委员会、湖南创佳环保有限公司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_4eff_5b8b_GB2312"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四</w:t>
      </w:r>
      <w:r>
        <w:rPr>
          <w:rFonts w:hint="eastAsia" w:ascii="仿宋" w:hAnsi="仿宋" w:eastAsia="仿宋" w:cs="仿宋"/>
          <w:sz w:val="30"/>
          <w:szCs w:val="30"/>
        </w:rPr>
        <w:t>、岳阳市君山区环境监察大队负责项目日常环境监管。</w:t>
      </w:r>
    </w:p>
    <w:p>
      <w:pPr>
        <w:spacing w:line="520" w:lineRule="exact"/>
        <w:ind w:firstLine="4200" w:firstLineChars="1400"/>
        <w:rPr>
          <w:rFonts w:hint="eastAsia" w:ascii="仿宋" w:hAnsi="仿宋" w:eastAsia="仿宋" w:cs="_4eff_5b8b_GB2312"/>
          <w:bCs/>
          <w:color w:val="000000"/>
          <w:sz w:val="30"/>
          <w:szCs w:val="30"/>
        </w:rPr>
      </w:pPr>
    </w:p>
    <w:p>
      <w:pPr>
        <w:spacing w:line="520" w:lineRule="exact"/>
        <w:ind w:firstLine="4200" w:firstLineChars="1400"/>
        <w:rPr>
          <w:rFonts w:hint="eastAsia" w:ascii="仿宋" w:hAnsi="仿宋" w:eastAsia="仿宋" w:cs="_4eff_5b8b_GB2312"/>
          <w:bCs/>
          <w:color w:val="000000"/>
          <w:sz w:val="30"/>
          <w:szCs w:val="30"/>
        </w:rPr>
      </w:pPr>
    </w:p>
    <w:p>
      <w:pPr>
        <w:spacing w:line="520" w:lineRule="exact"/>
        <w:ind w:firstLine="3840" w:firstLineChars="1200"/>
        <w:jc w:val="both"/>
        <w:rPr>
          <w:rFonts w:hint="eastAsia" w:ascii="仿宋" w:hAnsi="仿宋" w:eastAsia="仿宋" w:cs="_4eff_5b8b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_4eff_5b8b_GB2312"/>
          <w:bCs/>
          <w:color w:val="000000"/>
          <w:sz w:val="32"/>
          <w:szCs w:val="32"/>
        </w:rPr>
        <w:t>岳阳市生态环境局</w:t>
      </w:r>
      <w:r>
        <w:rPr>
          <w:rFonts w:hint="eastAsia" w:ascii="仿宋" w:hAnsi="仿宋" w:eastAsia="仿宋" w:cs="_4eff_5b8b_GB2312"/>
          <w:bCs/>
          <w:color w:val="000000"/>
          <w:sz w:val="32"/>
          <w:szCs w:val="32"/>
          <w:lang w:val="en-US" w:eastAsia="zh-CN"/>
        </w:rPr>
        <w:t>君山分局</w:t>
      </w:r>
    </w:p>
    <w:p>
      <w:pPr>
        <w:spacing w:line="520" w:lineRule="exact"/>
        <w:ind w:firstLine="4480" w:firstLineChars="1400"/>
        <w:jc w:val="both"/>
        <w:rPr>
          <w:sz w:val="32"/>
          <w:szCs w:val="32"/>
        </w:rPr>
      </w:pPr>
      <w:r>
        <w:rPr>
          <w:rFonts w:hint="eastAsia" w:ascii="仿宋" w:hAnsi="仿宋" w:eastAsia="仿宋" w:cs="_4eff_5b8b_GB2312"/>
          <w:bCs/>
          <w:color w:val="000000"/>
          <w:sz w:val="32"/>
          <w:szCs w:val="32"/>
        </w:rPr>
        <w:t>202</w:t>
      </w:r>
      <w:r>
        <w:rPr>
          <w:rFonts w:hint="eastAsia" w:ascii="仿宋" w:hAnsi="仿宋" w:eastAsia="仿宋" w:cs="_4eff_5b8b_GB2312"/>
          <w:bCs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_4eff_5b8b_GB2312"/>
          <w:bCs/>
          <w:color w:val="000000"/>
          <w:sz w:val="32"/>
          <w:szCs w:val="32"/>
        </w:rPr>
        <w:t>年</w:t>
      </w:r>
      <w:r>
        <w:rPr>
          <w:rFonts w:hint="eastAsia" w:ascii="仿宋" w:hAnsi="仿宋" w:eastAsia="仿宋" w:cs="_4eff_5b8b_GB2312"/>
          <w:bCs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_4eff_5b8b_GB2312"/>
          <w:bCs/>
          <w:color w:val="000000"/>
          <w:sz w:val="32"/>
          <w:szCs w:val="32"/>
        </w:rPr>
        <w:t>月</w:t>
      </w:r>
      <w:r>
        <w:rPr>
          <w:rFonts w:hint="eastAsia" w:ascii="仿宋" w:hAnsi="仿宋" w:eastAsia="仿宋" w:cs="_4eff_5b8b_GB2312"/>
          <w:bCs/>
          <w:color w:val="000000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 w:cs="_4eff_5b8b_GB2312"/>
          <w:bCs/>
          <w:color w:val="000000"/>
          <w:sz w:val="32"/>
          <w:szCs w:val="32"/>
        </w:rPr>
        <w:t>日</w:t>
      </w:r>
    </w:p>
    <w:p>
      <w:pPr>
        <w:pStyle w:val="7"/>
        <w:jc w:val="right"/>
        <w:rPr>
          <w:rFonts w:hint="eastAsia" w:ascii="仿宋" w:hAnsi="仿宋" w:eastAsia="仿宋" w:cs="仿宋"/>
          <w:sz w:val="30"/>
          <w:szCs w:val="30"/>
          <w:lang w:eastAsia="zh-CN"/>
        </w:rPr>
      </w:pPr>
    </w:p>
    <w:p>
      <w:pPr>
        <w:pStyle w:val="7"/>
      </w:pPr>
    </w:p>
    <w:p>
      <w:pPr>
        <w:pStyle w:val="2"/>
        <w:ind w:firstLine="420" w:firstLineChars="200"/>
      </w:pPr>
    </w:p>
    <w:p>
      <w:pPr>
        <w:pStyle w:val="2"/>
      </w:pPr>
    </w:p>
    <w:p>
      <w:pPr>
        <w:pStyle w:val="2"/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sz w:val="32"/>
          <w:szCs w:val="32"/>
          <w:lang w:val="en-US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_4eff_5b8b_GB2312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6"/>
    <w:multiLevelType w:val="multilevel"/>
    <w:tmpl w:val="00000006"/>
    <w:lvl w:ilvl="0" w:tentative="0">
      <w:start w:val="1"/>
      <w:numFmt w:val="lowerLetter"/>
      <w:lvlText w:val="%1."/>
      <w:lvlJc w:val="left"/>
      <w:pPr>
        <w:tabs>
          <w:tab w:val="left" w:pos="420"/>
        </w:tabs>
        <w:ind w:left="0" w:firstLine="539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pStyle w:val="5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pStyle w:val="4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1D851E95"/>
    <w:multiLevelType w:val="multilevel"/>
    <w:tmpl w:val="1D851E95"/>
    <w:lvl w:ilvl="0" w:tentative="0">
      <w:start w:val="1"/>
      <w:numFmt w:val="japaneseCounting"/>
      <w:lvlText w:val="%1、"/>
      <w:lvlJc w:val="left"/>
      <w:pPr>
        <w:tabs>
          <w:tab w:val="left" w:pos="585"/>
        </w:tabs>
        <w:ind w:left="585" w:hanging="480"/>
      </w:pPr>
      <w:rPr>
        <w:rFonts w:hint="default"/>
      </w:rPr>
    </w:lvl>
    <w:lvl w:ilvl="1" w:tentative="0">
      <w:start w:val="1"/>
      <w:numFmt w:val="lowerLetter"/>
      <w:pStyle w:val="6"/>
      <w:lvlText w:val="%2)"/>
      <w:lvlJc w:val="left"/>
      <w:pPr>
        <w:tabs>
          <w:tab w:val="left" w:pos="945"/>
        </w:tabs>
        <w:ind w:left="945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365"/>
        </w:tabs>
        <w:ind w:left="1365" w:hanging="420"/>
      </w:pPr>
    </w:lvl>
    <w:lvl w:ilvl="3" w:tentative="0">
      <w:start w:val="1"/>
      <w:numFmt w:val="decimal"/>
      <w:lvlText w:val="%4."/>
      <w:lvlJc w:val="left"/>
      <w:pPr>
        <w:tabs>
          <w:tab w:val="left" w:pos="1785"/>
        </w:tabs>
        <w:ind w:left="1785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205"/>
        </w:tabs>
        <w:ind w:left="2205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625"/>
        </w:tabs>
        <w:ind w:left="2625" w:hanging="420"/>
      </w:pPr>
    </w:lvl>
    <w:lvl w:ilvl="6" w:tentative="0">
      <w:start w:val="1"/>
      <w:numFmt w:val="decimal"/>
      <w:lvlText w:val="%7."/>
      <w:lvlJc w:val="left"/>
      <w:pPr>
        <w:tabs>
          <w:tab w:val="left" w:pos="3045"/>
        </w:tabs>
        <w:ind w:left="3045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465"/>
        </w:tabs>
        <w:ind w:left="3465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885"/>
        </w:tabs>
        <w:ind w:left="388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5YzE2Y2M0ODI0MTFmMjlkZTk3NTNjMGRmYTYzNjEifQ=="/>
  </w:docVars>
  <w:rsids>
    <w:rsidRoot w:val="3FEB1A6A"/>
    <w:rsid w:val="03C93C79"/>
    <w:rsid w:val="07BD25FF"/>
    <w:rsid w:val="137D3254"/>
    <w:rsid w:val="1AEC1154"/>
    <w:rsid w:val="1B6B370A"/>
    <w:rsid w:val="1B7654D9"/>
    <w:rsid w:val="276B4859"/>
    <w:rsid w:val="2F417BC9"/>
    <w:rsid w:val="30CC0909"/>
    <w:rsid w:val="35F84B7C"/>
    <w:rsid w:val="3CCD7DCF"/>
    <w:rsid w:val="3EC47CF1"/>
    <w:rsid w:val="3FEB1A6A"/>
    <w:rsid w:val="40206861"/>
    <w:rsid w:val="42D91505"/>
    <w:rsid w:val="4CF8543F"/>
    <w:rsid w:val="4EFF1050"/>
    <w:rsid w:val="56735DEF"/>
    <w:rsid w:val="56815769"/>
    <w:rsid w:val="5DC354A1"/>
    <w:rsid w:val="676228D6"/>
    <w:rsid w:val="6AEC11EF"/>
    <w:rsid w:val="70156E97"/>
    <w:rsid w:val="790346E4"/>
    <w:rsid w:val="7ABD6BA5"/>
    <w:rsid w:val="7B610FC2"/>
    <w:rsid w:val="7D0A6A80"/>
    <w:rsid w:val="7E413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四级条标题"/>
    <w:basedOn w:val="3"/>
    <w:next w:val="7"/>
    <w:qFormat/>
    <w:uiPriority w:val="0"/>
    <w:pPr>
      <w:widowControl/>
      <w:numPr>
        <w:ilvl w:val="3"/>
        <w:numId w:val="0"/>
      </w:numPr>
      <w:tabs>
        <w:tab w:val="left" w:pos="945"/>
        <w:tab w:val="left" w:pos="1260"/>
        <w:tab w:val="left" w:pos="1680"/>
      </w:tabs>
      <w:outlineLvl w:val="5"/>
    </w:pPr>
    <w:rPr>
      <w:rFonts w:ascii="黑体" w:eastAsia="黑体"/>
      <w:kern w:val="0"/>
      <w:szCs w:val="20"/>
    </w:rPr>
  </w:style>
  <w:style w:type="paragraph" w:customStyle="1" w:styleId="3">
    <w:name w:val="三级条标题"/>
    <w:basedOn w:val="4"/>
    <w:next w:val="7"/>
    <w:qFormat/>
    <w:uiPriority w:val="0"/>
    <w:pPr>
      <w:numPr>
        <w:ilvl w:val="3"/>
        <w:numId w:val="0"/>
      </w:numPr>
      <w:tabs>
        <w:tab w:val="left" w:pos="945"/>
        <w:tab w:val="left" w:pos="1260"/>
        <w:tab w:val="left" w:pos="1680"/>
      </w:tabs>
      <w:outlineLvl w:val="4"/>
    </w:pPr>
  </w:style>
  <w:style w:type="paragraph" w:customStyle="1" w:styleId="4">
    <w:name w:val="二级条标题"/>
    <w:basedOn w:val="5"/>
    <w:next w:val="7"/>
    <w:qFormat/>
    <w:uiPriority w:val="0"/>
    <w:pPr>
      <w:numPr>
        <w:ilvl w:val="3"/>
        <w:numId w:val="1"/>
      </w:numPr>
      <w:tabs>
        <w:tab w:val="left" w:pos="945"/>
        <w:tab w:val="left" w:pos="1260"/>
      </w:tabs>
      <w:outlineLvl w:val="3"/>
    </w:pPr>
  </w:style>
  <w:style w:type="paragraph" w:customStyle="1" w:styleId="5">
    <w:name w:val="一级条标题"/>
    <w:basedOn w:val="6"/>
    <w:next w:val="7"/>
    <w:qFormat/>
    <w:uiPriority w:val="0"/>
    <w:pPr>
      <w:numPr>
        <w:ilvl w:val="2"/>
        <w:numId w:val="1"/>
      </w:numPr>
      <w:tabs>
        <w:tab w:val="left" w:pos="945"/>
      </w:tabs>
      <w:spacing w:before="0" w:beforeLines="0" w:after="0" w:afterLines="0"/>
      <w:outlineLvl w:val="2"/>
    </w:pPr>
  </w:style>
  <w:style w:type="paragraph" w:customStyle="1" w:styleId="6">
    <w:name w:val="章标题"/>
    <w:next w:val="7"/>
    <w:qFormat/>
    <w:uiPriority w:val="0"/>
    <w:pPr>
      <w:numPr>
        <w:ilvl w:val="1"/>
        <w:numId w:val="2"/>
      </w:numPr>
      <w:spacing w:before="50" w:after="50"/>
      <w:jc w:val="both"/>
      <w:outlineLvl w:val="1"/>
    </w:pPr>
    <w:rPr>
      <w:rFonts w:ascii="黑体" w:hAnsi="Calibri" w:eastAsia="黑体" w:cs="Times New Roman"/>
      <w:sz w:val="21"/>
      <w:lang w:val="en-US" w:eastAsia="zh-CN" w:bidi="ar-SA"/>
    </w:rPr>
  </w:style>
  <w:style w:type="paragraph" w:customStyle="1" w:styleId="7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szCs w:val="22"/>
      <w:lang w:val="en-US" w:eastAsia="zh-CN" w:bidi="ar-SA"/>
    </w:rPr>
  </w:style>
  <w:style w:type="paragraph" w:styleId="8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1524</Words>
  <Characters>1655</Characters>
  <Lines>0</Lines>
  <Paragraphs>0</Paragraphs>
  <TotalTime>6</TotalTime>
  <ScaleCrop>false</ScaleCrop>
  <LinksUpToDate>false</LinksUpToDate>
  <CharactersWithSpaces>1656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2023-05-16T08:27:00Z</dcterms:created>
  <dc:creator>Administrator</dc:creator>
  <cp:lastModifiedBy>Administrator</cp:lastModifiedBy>
  <dcterms:modified xsi:type="dcterms:W3CDTF">2023-06-16T07:50:38Z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A2ED6572209B400985611A977D14E7F6_13</vt:lpwstr>
  </property>
</Properties>
</file>