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eastAsia="黑体"/>
          <w:b/>
          <w:color w:val="F79646"/>
          <w:sz w:val="36"/>
        </w:rPr>
      </w:pPr>
      <w:r>
        <w:rPr>
          <w:rFonts w:hint="eastAsia" w:eastAsia="黑体"/>
          <w:b/>
          <w:color w:val="F79646"/>
          <w:kern w:val="2"/>
          <w:sz w:val="36"/>
        </w:rPr>
        <w:t xml:space="preserve">                                               </w:t>
      </w:r>
    </w:p>
    <w:p>
      <w:pPr>
        <w:pStyle w:val="32"/>
        <w:spacing w:line="480" w:lineRule="exact"/>
        <w:textAlignment w:val="top"/>
        <w:rPr>
          <w:rFonts w:eastAsia="黑体"/>
          <w:b/>
          <w:color w:val="F79646"/>
          <w:sz w:val="36"/>
        </w:rPr>
      </w:pPr>
    </w:p>
    <w:p>
      <w:pPr>
        <w:pStyle w:val="32"/>
        <w:spacing w:line="440" w:lineRule="exact"/>
        <w:ind w:firstLine="5250" w:firstLineChars="1750"/>
        <w:textAlignment w:val="top"/>
        <w:rPr>
          <w:rFonts w:eastAsia="楷体_GB2312"/>
          <w:color w:val="F79646"/>
          <w:sz w:val="30"/>
          <w:szCs w:val="30"/>
        </w:rPr>
      </w:pPr>
    </w:p>
    <w:p>
      <w:pPr>
        <w:pStyle w:val="32"/>
        <w:spacing w:line="320" w:lineRule="exact"/>
        <w:ind w:firstLine="5250" w:firstLineChars="1750"/>
        <w:textAlignment w:val="top"/>
        <w:rPr>
          <w:rFonts w:eastAsia="楷体_GB2312"/>
          <w:color w:val="F79646"/>
          <w:sz w:val="30"/>
          <w:szCs w:val="30"/>
        </w:rPr>
      </w:pPr>
    </w:p>
    <w:p>
      <w:pPr>
        <w:pStyle w:val="32"/>
        <w:spacing w:line="400" w:lineRule="exact"/>
        <w:jc w:val="both"/>
        <w:textAlignment w:val="top"/>
        <w:rPr>
          <w:rFonts w:eastAsia="楷体_GB2312"/>
          <w:color w:val="F79646"/>
          <w:sz w:val="30"/>
          <w:szCs w:val="30"/>
        </w:rPr>
      </w:pPr>
      <w:bookmarkStart w:id="2" w:name="_GoBack"/>
      <w:bookmarkEnd w:id="2"/>
    </w:p>
    <w:p>
      <w:pPr>
        <w:pStyle w:val="32"/>
        <w:spacing w:after="156" w:afterLines="50" w:line="400" w:lineRule="exact"/>
        <w:jc w:val="right"/>
        <w:textAlignment w:val="top"/>
        <w:rPr>
          <w:rFonts w:ascii="仿宋" w:hAnsi="仿宋" w:eastAsia="仿宋" w:cs="仿宋"/>
          <w:sz w:val="32"/>
          <w:szCs w:val="32"/>
        </w:rPr>
      </w:pPr>
      <w:r>
        <w:rPr>
          <w:rFonts w:hint="eastAsia" w:eastAsia="楷体_GB2312"/>
          <w:color w:val="F79646"/>
          <w:sz w:val="30"/>
          <w:szCs w:val="30"/>
        </w:rPr>
        <w:t xml:space="preserve">                </w:t>
      </w:r>
      <w:r>
        <w:rPr>
          <w:rFonts w:hint="eastAsia" w:eastAsia="楷体_GB2312"/>
          <w:sz w:val="30"/>
          <w:szCs w:val="30"/>
        </w:rPr>
        <w:t xml:space="preserve">                     </w:t>
      </w:r>
      <w:r>
        <w:rPr>
          <w:rFonts w:hint="eastAsia" w:ascii="仿宋" w:hAnsi="仿宋" w:eastAsia="仿宋" w:cs="仿宋"/>
          <w:sz w:val="32"/>
          <w:szCs w:val="32"/>
        </w:rPr>
        <w:t>岳环评〔2023〕</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widowControl/>
        <w:spacing w:line="495" w:lineRule="atLeast"/>
        <w:ind w:firstLine="0" w:firstLineChars="0"/>
        <w:jc w:val="center"/>
        <w:rPr>
          <w:rFonts w:hint="eastAsia" w:ascii="宋体" w:hAnsi="宋体" w:eastAsia="宋体" w:cs="宋体"/>
          <w:b w:val="0"/>
          <w:bCs/>
          <w:sz w:val="36"/>
          <w:szCs w:val="36"/>
        </w:rPr>
      </w:pPr>
    </w:p>
    <w:p>
      <w:pPr>
        <w:widowControl/>
        <w:spacing w:line="495" w:lineRule="atLeast"/>
        <w:ind w:firstLine="0" w:firstLineChars="0"/>
        <w:jc w:val="center"/>
        <w:rPr>
          <w:rFonts w:hint="eastAsia" w:ascii="宋体" w:hAnsi="宋体" w:eastAsia="宋体" w:cs="宋体"/>
          <w:b w:val="0"/>
          <w:bCs/>
          <w:sz w:val="36"/>
          <w:szCs w:val="36"/>
        </w:rPr>
      </w:pPr>
      <w:r>
        <w:rPr>
          <w:rFonts w:hint="eastAsia" w:ascii="宋体" w:hAnsi="宋体" w:eastAsia="宋体" w:cs="宋体"/>
          <w:b w:val="0"/>
          <w:bCs/>
          <w:sz w:val="36"/>
          <w:szCs w:val="36"/>
        </w:rPr>
        <w:t>关于岳阳众兴化工有限公司年产2万吨硅溶胶</w:t>
      </w:r>
    </w:p>
    <w:p>
      <w:pPr>
        <w:widowControl/>
        <w:spacing w:line="495" w:lineRule="atLeast"/>
        <w:ind w:firstLine="0" w:firstLineChars="0"/>
        <w:jc w:val="center"/>
        <w:rPr>
          <w:rFonts w:hint="eastAsia" w:ascii="宋体" w:hAnsi="宋体" w:eastAsia="宋体" w:cs="宋体"/>
          <w:b w:val="0"/>
          <w:bCs/>
          <w:sz w:val="36"/>
          <w:szCs w:val="36"/>
        </w:rPr>
      </w:pPr>
      <w:r>
        <w:rPr>
          <w:rFonts w:hint="eastAsia" w:ascii="宋体" w:hAnsi="宋体" w:eastAsia="宋体" w:cs="宋体"/>
          <w:b w:val="0"/>
          <w:bCs/>
          <w:sz w:val="36"/>
          <w:szCs w:val="36"/>
        </w:rPr>
        <w:t>（水玻璃深加工）生产项目环境影响报告书的批复</w:t>
      </w:r>
    </w:p>
    <w:p>
      <w:pPr>
        <w:autoSpaceDE w:val="0"/>
        <w:autoSpaceDN w:val="0"/>
        <w:adjustRightInd w:val="0"/>
        <w:ind w:left="177" w:hanging="177" w:firstLineChars="0"/>
        <w:jc w:val="center"/>
        <w:rPr>
          <w:rFonts w:ascii="黑体" w:hAnsi="黑体" w:eastAsia="黑体" w:cs="黑体"/>
          <w:b/>
          <w:color w:val="F79646"/>
          <w:sz w:val="36"/>
          <w:szCs w:val="36"/>
          <w:u w:val="single"/>
        </w:rPr>
      </w:pPr>
    </w:p>
    <w:p>
      <w:pPr>
        <w:pStyle w:val="31"/>
        <w:spacing w:line="470" w:lineRule="exact"/>
        <w:jc w:val="both"/>
        <w:rPr>
          <w:rFonts w:ascii="仿宋" w:hAnsi="仿宋" w:eastAsia="仿宋"/>
          <w:color w:val="auto"/>
          <w:sz w:val="32"/>
          <w:szCs w:val="32"/>
        </w:rPr>
      </w:pPr>
      <w:r>
        <w:rPr>
          <w:rFonts w:hint="eastAsia" w:ascii="仿宋" w:hAnsi="仿宋" w:eastAsia="仿宋"/>
          <w:color w:val="auto"/>
          <w:sz w:val="32"/>
          <w:szCs w:val="32"/>
        </w:rPr>
        <w:t>岳阳众兴化工有限公司：</w:t>
      </w:r>
    </w:p>
    <w:p>
      <w:pPr>
        <w:spacing w:line="470" w:lineRule="exact"/>
        <w:ind w:firstLine="640"/>
        <w:jc w:val="both"/>
        <w:rPr>
          <w:rFonts w:ascii="仿宋" w:hAnsi="仿宋" w:eastAsia="仿宋"/>
          <w:sz w:val="32"/>
          <w:szCs w:val="32"/>
        </w:rPr>
      </w:pPr>
      <w:r>
        <w:rPr>
          <w:rFonts w:hint="eastAsia" w:ascii="仿宋" w:hAnsi="仿宋" w:eastAsia="仿宋"/>
          <w:sz w:val="32"/>
          <w:szCs w:val="32"/>
        </w:rPr>
        <w:t>你公司《关于申请〈岳阳众兴化工有限公司年产2万吨硅溶胶（水玻璃深加工）生产项目〉的批复报告》、岳阳市生态环境事务中心《岳阳众兴化工有限公司年产2万吨硅溶胶（水玻璃深加工）生产项目环境影响报告书技术评估报告》（岳环事评估〔2022〕65号）、岳阳市生态环境局云溪分局的预审意见及有关附件收悉。经研究，批复如下：</w:t>
      </w:r>
    </w:p>
    <w:p>
      <w:pPr>
        <w:spacing w:line="470" w:lineRule="exact"/>
        <w:ind w:firstLine="640"/>
        <w:rPr>
          <w:rFonts w:ascii="仿宋" w:hAnsi="仿宋" w:eastAsia="仿宋"/>
          <w:sz w:val="32"/>
          <w:szCs w:val="32"/>
        </w:rPr>
      </w:pPr>
      <w:r>
        <w:rPr>
          <w:rFonts w:hint="eastAsia" w:ascii="仿宋" w:hAnsi="仿宋" w:eastAsia="仿宋"/>
          <w:sz w:val="32"/>
          <w:szCs w:val="32"/>
        </w:rPr>
        <w:t>一、岳阳众兴化工有限公司</w:t>
      </w:r>
      <w:r>
        <w:rPr>
          <w:rFonts w:hint="eastAsia" w:ascii="仿宋" w:hAnsi="仿宋" w:eastAsia="仿宋" w:cs="仿宋"/>
          <w:sz w:val="32"/>
          <w:szCs w:val="32"/>
        </w:rPr>
        <w:t>位于湖南岳阳绿色化工高新技术产业开发区云溪片区（开源西路6号），公司现有10万t/a液体硅酸钠生产线1条，该生产线已通过竣工环境保护验收。</w:t>
      </w:r>
      <w:r>
        <w:rPr>
          <w:rFonts w:hint="eastAsia" w:ascii="仿宋" w:hAnsi="仿宋" w:eastAsia="仿宋"/>
          <w:sz w:val="32"/>
          <w:szCs w:val="32"/>
        </w:rPr>
        <w:t>为谋求企业发展，增强企业产品市场竞争力，公司拟投资1000万元，在现有项目的基础上建设年产2万吨硅溶胶（水玻璃深加工）生产项目。主要建设内容为：主体工程：利用现有车间，新增搅拌釜6台，超滤器1台；储运工程：原料罐新增盐酸储罐1座，成品罐新增2座390m</w:t>
      </w:r>
      <w:r>
        <w:rPr>
          <w:rFonts w:hint="eastAsia" w:ascii="仿宋" w:hAnsi="仿宋" w:eastAsia="仿宋"/>
          <w:sz w:val="32"/>
          <w:szCs w:val="32"/>
          <w:vertAlign w:val="superscript"/>
        </w:rPr>
        <w:t>3</w:t>
      </w:r>
      <w:r>
        <w:rPr>
          <w:rFonts w:hint="eastAsia" w:ascii="仿宋" w:hAnsi="仿宋" w:eastAsia="仿宋"/>
          <w:sz w:val="32"/>
          <w:szCs w:val="32"/>
        </w:rPr>
        <w:t>储罐；辅助工程：调整新增事故池容积，完善配套围堰；环保工程：配套新建废气处理系统，生活污水处理系统新增1座絮凝沉淀池，新增1套MVR蒸发系统，新增噪声处理减振、消声措施。其余主体工程、储运辅助工程、公用工程和环保工程等均依托现有。项目主要原辅材料为：液体硅酸钠（来源于现有工程水玻璃生产线）、工业盐酸、树脂等。产品方案为年产20000吨硅溶胶，同时副产满足国家相关产品质量标准的工业盐约1512吨。</w:t>
      </w:r>
      <w:r>
        <w:rPr>
          <w:rFonts w:hint="eastAsia" w:ascii="仿宋" w:hAnsi="仿宋" w:eastAsia="仿宋" w:cs="仿宋"/>
          <w:sz w:val="32"/>
          <w:szCs w:val="32"/>
        </w:rPr>
        <w:t>项目已取</w:t>
      </w:r>
      <w:r>
        <w:rPr>
          <w:rFonts w:ascii="仿宋" w:hAnsi="仿宋" w:eastAsia="仿宋"/>
          <w:color w:val="000000"/>
          <w:sz w:val="32"/>
          <w:szCs w:val="32"/>
        </w:rPr>
        <w:t>得</w:t>
      </w:r>
      <w:r>
        <w:rPr>
          <w:rFonts w:hint="eastAsia" w:ascii="仿宋" w:hAnsi="仿宋" w:eastAsia="仿宋"/>
          <w:sz w:val="32"/>
          <w:szCs w:val="32"/>
        </w:rPr>
        <w:t>湖南岳阳绿色化工高新技术产业开发区管理委员会的项目</w:t>
      </w:r>
      <w:r>
        <w:rPr>
          <w:rFonts w:hint="eastAsia" w:ascii="仿宋" w:hAnsi="仿宋" w:eastAsia="仿宋" w:cs="仿宋"/>
          <w:sz w:val="32"/>
          <w:szCs w:val="32"/>
        </w:rPr>
        <w:t>备案证明</w:t>
      </w:r>
      <w:r>
        <w:rPr>
          <w:rFonts w:hint="eastAsia" w:ascii="仿宋" w:hAnsi="仿宋" w:eastAsia="仿宋"/>
          <w:color w:val="000000"/>
          <w:sz w:val="32"/>
          <w:szCs w:val="32"/>
        </w:rPr>
        <w:t>（</w:t>
      </w:r>
      <w:r>
        <w:rPr>
          <w:rFonts w:hint="eastAsia" w:ascii="仿宋" w:hAnsi="仿宋" w:eastAsia="仿宋" w:cs="仿宋"/>
          <w:sz w:val="32"/>
          <w:szCs w:val="32"/>
        </w:rPr>
        <w:t>岳绿管备〔2022〕10号</w:t>
      </w:r>
      <w:r>
        <w:rPr>
          <w:rFonts w:hint="eastAsia" w:ascii="仿宋" w:hAnsi="仿宋" w:eastAsia="仿宋"/>
          <w:color w:val="000000"/>
          <w:sz w:val="32"/>
          <w:szCs w:val="32"/>
        </w:rPr>
        <w:t>）</w:t>
      </w:r>
      <w:r>
        <w:rPr>
          <w:rFonts w:ascii="仿宋" w:hAnsi="仿宋" w:eastAsia="仿宋"/>
          <w:color w:val="000000"/>
          <w:sz w:val="32"/>
          <w:szCs w:val="32"/>
        </w:rPr>
        <w:t>。</w:t>
      </w:r>
      <w:r>
        <w:rPr>
          <w:rFonts w:hint="eastAsia" w:ascii="仿宋" w:hAnsi="仿宋" w:eastAsia="仿宋"/>
          <w:sz w:val="32"/>
          <w:szCs w:val="32"/>
        </w:rPr>
        <w:t>根据湖南环腾环保工程有限公司编制的《岳阳众兴化工有限公司年产2万吨硅溶胶（水玻璃深加工）生产项目环境影响报告书》（报批稿）基本内容、结论、专家评审意见和岳阳市生态环境事务中心《岳阳众兴化工有限公司年产2万吨硅溶胶（水玻璃深加工）生产项目环境影响报告书技术评估报告》以及岳阳市生态环境局云溪分局预审意见，从环境保护角度考虑，我局原则同意你公司环境影响报告书中所列建设项目的环境影响评价结论和环境保护对策措施。</w:t>
      </w:r>
    </w:p>
    <w:p>
      <w:pPr>
        <w:spacing w:line="470" w:lineRule="exact"/>
        <w:ind w:firstLine="640"/>
        <w:rPr>
          <w:rFonts w:ascii="仿宋" w:hAnsi="仿宋" w:eastAsia="仿宋" w:cs="Times New Roman"/>
          <w:kern w:val="2"/>
          <w:sz w:val="32"/>
          <w:szCs w:val="32"/>
        </w:rPr>
      </w:pPr>
      <w:r>
        <w:rPr>
          <w:rFonts w:hint="eastAsia" w:ascii="仿宋" w:hAnsi="仿宋" w:eastAsia="仿宋" w:cs="Times New Roman"/>
          <w:kern w:val="2"/>
          <w:sz w:val="32"/>
          <w:szCs w:val="32"/>
        </w:rPr>
        <w:t>二、项目建设和运营必须全面落实环境影响报告书提出的各项环保措施，并着重做好以下工作：</w:t>
      </w:r>
    </w:p>
    <w:p>
      <w:pPr>
        <w:autoSpaceDE w:val="0"/>
        <w:spacing w:line="470" w:lineRule="exact"/>
        <w:ind w:firstLine="640"/>
        <w:jc w:val="both"/>
        <w:rPr>
          <w:rFonts w:ascii="仿宋" w:hAnsi="仿宋" w:eastAsia="仿宋" w:cs="仿宋"/>
          <w:kern w:val="2"/>
          <w:sz w:val="32"/>
          <w:szCs w:val="32"/>
          <w:lang w:bidi="ar"/>
        </w:rPr>
      </w:pPr>
      <w:bookmarkStart w:id="0" w:name="OLE_LINK3"/>
      <w:bookmarkStart w:id="1" w:name="OLE_LINK8"/>
      <w:r>
        <w:rPr>
          <w:rFonts w:hint="eastAsia" w:ascii="仿宋" w:hAnsi="仿宋" w:eastAsia="仿宋"/>
          <w:sz w:val="32"/>
          <w:szCs w:val="32"/>
        </w:rPr>
        <w:t>（一）</w:t>
      </w:r>
      <w:r>
        <w:rPr>
          <w:rFonts w:hint="eastAsia" w:ascii="仿宋" w:hAnsi="仿宋" w:eastAsia="仿宋" w:cs="仿宋"/>
          <w:kern w:val="2"/>
          <w:sz w:val="32"/>
          <w:szCs w:val="32"/>
          <w:lang w:bidi="ar"/>
        </w:rPr>
        <w:t>严格落实以新带老措施，确保解决生产线投料粉尘收集处理、车间地面的跑冒滴漏、储罐区围堰及事故池建设等环境问题。</w:t>
      </w:r>
    </w:p>
    <w:p>
      <w:pPr>
        <w:spacing w:line="470" w:lineRule="exact"/>
        <w:ind w:firstLine="640"/>
        <w:jc w:val="both"/>
        <w:rPr>
          <w:rFonts w:ascii="仿宋" w:hAnsi="仿宋" w:eastAsia="仿宋"/>
          <w:sz w:val="32"/>
          <w:szCs w:val="32"/>
        </w:rPr>
      </w:pPr>
      <w:r>
        <w:rPr>
          <w:rFonts w:hint="eastAsia" w:ascii="仿宋" w:hAnsi="仿宋" w:eastAsia="仿宋"/>
          <w:sz w:val="32"/>
          <w:szCs w:val="32"/>
        </w:rPr>
        <w:t>（二） 施工期环境管理工作。加强施工期环境管理，优化施工工艺、方案，科学施工，落实好各项施工扬尘、噪声、废水、弃渣的防治措施，减少施工期对周边环境的影响。施工机械优先选用低噪声设备，积极采取各项有效降噪措施，确保施工噪声满足《建筑施工场界环境噪声排放标准》（GB12523-2011）要求。建筑垃圾收集后交相关部门统一处理。</w:t>
      </w:r>
    </w:p>
    <w:p>
      <w:pPr>
        <w:spacing w:line="470" w:lineRule="exact"/>
        <w:ind w:firstLine="640"/>
        <w:rPr>
          <w:rFonts w:ascii="仿宋" w:hAnsi="仿宋" w:eastAsia="仿宋" w:cs="仿宋"/>
          <w:sz w:val="32"/>
          <w:szCs w:val="32"/>
        </w:rPr>
      </w:pPr>
      <w:r>
        <w:rPr>
          <w:rFonts w:hint="eastAsia" w:ascii="仿宋" w:hAnsi="仿宋" w:eastAsia="仿宋"/>
          <w:sz w:val="32"/>
          <w:szCs w:val="32"/>
        </w:rPr>
        <w:t>（三）废气污染防治工作。</w:t>
      </w:r>
      <w:r>
        <w:rPr>
          <w:rFonts w:hint="eastAsia" w:ascii="仿宋" w:hAnsi="仿宋" w:eastAsia="仿宋" w:cs="仿宋"/>
          <w:sz w:val="32"/>
          <w:szCs w:val="32"/>
        </w:rPr>
        <w:t>严格控制项目废气污染，规范建设废气收集处理排放系统。加强日常监管工作，</w:t>
      </w:r>
      <w:r>
        <w:rPr>
          <w:rFonts w:hint="eastAsia" w:ascii="仿宋" w:hAnsi="仿宋" w:eastAsia="仿宋" w:cs="仿宋"/>
          <w:kern w:val="2"/>
          <w:sz w:val="32"/>
          <w:szCs w:val="32"/>
          <w:lang w:bidi="ar"/>
        </w:rPr>
        <w:t>采取有效措施提高废气收集率，</w:t>
      </w:r>
      <w:r>
        <w:rPr>
          <w:rFonts w:hint="eastAsia" w:ascii="仿宋" w:hAnsi="仿宋" w:eastAsia="仿宋" w:cs="仿宋"/>
          <w:sz w:val="32"/>
          <w:szCs w:val="32"/>
        </w:rPr>
        <w:t>定期对设备、机泵、管道、阀门、法兰等进行维护和检测，杜绝</w:t>
      </w:r>
      <w:r>
        <w:rPr>
          <w:rFonts w:hint="eastAsia" w:ascii="仿宋" w:hAnsi="仿宋" w:eastAsia="仿宋" w:cs="仿宋"/>
          <w:bCs/>
          <w:sz w:val="32"/>
          <w:szCs w:val="32"/>
        </w:rPr>
        <w:t>生产</w:t>
      </w:r>
      <w:r>
        <w:rPr>
          <w:rFonts w:hint="eastAsia" w:ascii="仿宋" w:hAnsi="仿宋" w:eastAsia="仿宋" w:cs="仿宋"/>
          <w:sz w:val="32"/>
          <w:szCs w:val="32"/>
        </w:rPr>
        <w:t>过程中的跑、冒、滴、漏，最大限度减少</w:t>
      </w:r>
      <w:r>
        <w:rPr>
          <w:rFonts w:hint="eastAsia" w:ascii="仿宋" w:hAnsi="仿宋" w:eastAsia="仿宋" w:cs="仿宋"/>
          <w:bCs/>
          <w:sz w:val="32"/>
          <w:szCs w:val="32"/>
        </w:rPr>
        <w:t>生产过程中的</w:t>
      </w:r>
      <w:r>
        <w:rPr>
          <w:rFonts w:hint="eastAsia" w:ascii="仿宋" w:hAnsi="仿宋" w:eastAsia="仿宋" w:cs="仿宋"/>
          <w:sz w:val="32"/>
          <w:szCs w:val="32"/>
        </w:rPr>
        <w:t>废气无组织排放。厂界无组织废气排放执行《无机化学工业污染物排放标准》（GB31573-2015）表3中“其他”限值要求。</w:t>
      </w:r>
      <w:r>
        <w:rPr>
          <w:rFonts w:hint="eastAsia" w:ascii="仿宋" w:hAnsi="仿宋" w:eastAsia="仿宋" w:cs="仿宋"/>
          <w:bCs/>
          <w:snapToGrid w:val="0"/>
          <w:sz w:val="32"/>
          <w:szCs w:val="32"/>
        </w:rPr>
        <w:t>酰化工序含氯化氢废气经“三级降膜吸收塔+二级碱洗塔”处理达标后，精制工段产生的含尘废气经布袋除尘处理达标后，均由同一根25m高（FQ-EAQ-0001）排气筒合并外排；以上工艺废气有组织排放执行《无机化学工业污染物排放标准》（GB31573-2015）表3大气污染物排放限值</w:t>
      </w:r>
      <w:r>
        <w:rPr>
          <w:rFonts w:hint="eastAsia" w:ascii="仿宋" w:hAnsi="仿宋" w:eastAsia="仿宋" w:cs="仿宋"/>
          <w:sz w:val="32"/>
          <w:szCs w:val="32"/>
        </w:rPr>
        <w:t>。</w:t>
      </w:r>
    </w:p>
    <w:p>
      <w:pPr>
        <w:spacing w:line="470" w:lineRule="exact"/>
        <w:ind w:firstLine="640"/>
        <w:jc w:val="both"/>
        <w:rPr>
          <w:rFonts w:ascii="仿宋" w:hAnsi="仿宋" w:eastAsia="仿宋" w:cs="_4eff_5b8b_GB2312"/>
          <w:bCs/>
          <w:color w:val="000000"/>
          <w:sz w:val="32"/>
          <w:szCs w:val="32"/>
        </w:rPr>
      </w:pPr>
      <w:r>
        <w:rPr>
          <w:rFonts w:hint="eastAsia" w:ascii="仿宋" w:hAnsi="仿宋" w:eastAsia="仿宋"/>
          <w:sz w:val="32"/>
          <w:szCs w:val="32"/>
        </w:rPr>
        <w:t>（四）废水污染防治工作。</w:t>
      </w:r>
      <w:r>
        <w:rPr>
          <w:rFonts w:hint="eastAsia" w:ascii="仿宋" w:hAnsi="仿宋" w:eastAsia="仿宋" w:cs="仿宋"/>
          <w:sz w:val="32"/>
          <w:szCs w:val="32"/>
        </w:rPr>
        <w:t>严格按照“雨污分流、清污分流、污污分流”的原则，完善项目区域雨污管网。</w:t>
      </w:r>
      <w:r>
        <w:rPr>
          <w:rFonts w:hint="eastAsia" w:ascii="仿宋" w:hAnsi="仿宋" w:eastAsia="仿宋"/>
          <w:sz w:val="32"/>
          <w:szCs w:val="32"/>
        </w:rPr>
        <w:t>项目产生的工艺废水、废气处理废水、地面冲洗废水等废水收集后经厂区污水处理站（处理规模</w:t>
      </w:r>
      <w:r>
        <w:rPr>
          <w:rFonts w:ascii="仿宋" w:hAnsi="仿宋" w:eastAsia="仿宋"/>
          <w:sz w:val="32"/>
          <w:szCs w:val="32"/>
        </w:rPr>
        <w:t>600m</w:t>
      </w:r>
      <w:r>
        <w:rPr>
          <w:rFonts w:ascii="仿宋" w:hAnsi="仿宋" w:eastAsia="仿宋"/>
          <w:sz w:val="32"/>
          <w:szCs w:val="32"/>
          <w:vertAlign w:val="superscript"/>
        </w:rPr>
        <w:t>3</w:t>
      </w:r>
      <w:r>
        <w:rPr>
          <w:rFonts w:ascii="仿宋" w:hAnsi="仿宋" w:eastAsia="仿宋"/>
          <w:sz w:val="32"/>
          <w:szCs w:val="32"/>
        </w:rPr>
        <w:t>/d</w:t>
      </w:r>
      <w:r>
        <w:rPr>
          <w:rFonts w:hint="eastAsia" w:ascii="仿宋" w:hAnsi="仿宋" w:eastAsia="仿宋"/>
          <w:sz w:val="32"/>
          <w:szCs w:val="32"/>
        </w:rPr>
        <w:t>，处理工艺为“混凝沉淀+板框压滤+芬顿+中和沉淀+混凝沉淀+中和沉淀+活性炭吸附+树脂吸附+生化处理+砂滤”）预处理，</w:t>
      </w:r>
      <w:r>
        <w:rPr>
          <w:rFonts w:hint="eastAsia" w:ascii="仿宋" w:hAnsi="仿宋" w:eastAsia="仿宋" w:cs="_4eff_5b8b_GB2312"/>
          <w:bCs/>
          <w:color w:val="000000"/>
          <w:sz w:val="32"/>
          <w:szCs w:val="32"/>
        </w:rPr>
        <w:t>满足《无机化学工业污染物排放准》(GB31573-2015)及</w:t>
      </w:r>
      <w:r>
        <w:rPr>
          <w:rFonts w:ascii="仿宋" w:hAnsi="仿宋" w:eastAsia="仿宋" w:cs="_4eff_5b8b_GB2312"/>
          <w:bCs/>
          <w:color w:val="000000"/>
          <w:sz w:val="32"/>
          <w:szCs w:val="32"/>
        </w:rPr>
        <w:t>云溪区污水处理厂</w:t>
      </w:r>
      <w:r>
        <w:rPr>
          <w:rFonts w:hint="eastAsia" w:ascii="仿宋" w:hAnsi="仿宋" w:eastAsia="仿宋" w:cs="_4eff_5b8b_GB2312"/>
          <w:bCs/>
          <w:color w:val="000000"/>
          <w:sz w:val="32"/>
          <w:szCs w:val="32"/>
        </w:rPr>
        <w:t>进水水质要求中较严限值后，经工业园污水专用管道送工业污水处理站进一步达标处理；生活污水经预处理满足《污水综合排放标准》GB8978-1996三级标准及</w:t>
      </w:r>
      <w:r>
        <w:rPr>
          <w:rFonts w:ascii="仿宋" w:hAnsi="仿宋" w:eastAsia="仿宋" w:cs="_4eff_5b8b_GB2312"/>
          <w:bCs/>
          <w:color w:val="000000"/>
          <w:sz w:val="32"/>
          <w:szCs w:val="32"/>
        </w:rPr>
        <w:t>云溪区污水处理厂</w:t>
      </w:r>
      <w:r>
        <w:rPr>
          <w:rFonts w:hint="eastAsia" w:ascii="仿宋" w:hAnsi="仿宋" w:eastAsia="仿宋" w:cs="_4eff_5b8b_GB2312"/>
          <w:bCs/>
          <w:color w:val="000000"/>
          <w:sz w:val="32"/>
          <w:szCs w:val="32"/>
        </w:rPr>
        <w:t>进水水质要求中较严限值后，经生活污水管线送</w:t>
      </w:r>
      <w:r>
        <w:rPr>
          <w:rFonts w:ascii="仿宋" w:hAnsi="仿宋" w:eastAsia="仿宋" w:cs="_4eff_5b8b_GB2312"/>
          <w:bCs/>
          <w:color w:val="000000"/>
          <w:sz w:val="32"/>
          <w:szCs w:val="32"/>
        </w:rPr>
        <w:t>云溪区污水处理厂</w:t>
      </w:r>
      <w:r>
        <w:rPr>
          <w:rFonts w:hint="eastAsia" w:ascii="仿宋" w:hAnsi="仿宋" w:eastAsia="仿宋" w:cs="_4eff_5b8b_GB2312"/>
          <w:bCs/>
          <w:color w:val="000000"/>
          <w:sz w:val="32"/>
          <w:szCs w:val="32"/>
        </w:rPr>
        <w:t>进一步达标处理。</w:t>
      </w:r>
    </w:p>
    <w:p>
      <w:pPr>
        <w:autoSpaceDE w:val="0"/>
        <w:spacing w:line="470" w:lineRule="exact"/>
        <w:ind w:firstLine="560"/>
        <w:rPr>
          <w:rFonts w:ascii="仿宋" w:hAnsi="仿宋" w:eastAsia="仿宋" w:cs="_4eff_5b8b_GB2312"/>
          <w:bCs/>
          <w:color w:val="000000"/>
          <w:sz w:val="32"/>
          <w:szCs w:val="32"/>
        </w:rPr>
      </w:pPr>
      <w:r>
        <w:rPr>
          <w:rFonts w:hint="eastAsia" w:ascii="仿宋" w:hAnsi="仿宋" w:eastAsia="仿宋" w:cs="仿宋"/>
          <w:bCs/>
          <w:sz w:val="28"/>
          <w:szCs w:val="28"/>
          <w:lang w:bidi="ar"/>
        </w:rPr>
        <w:t>（</w:t>
      </w:r>
      <w:r>
        <w:rPr>
          <w:rFonts w:hint="eastAsia" w:ascii="仿宋" w:hAnsi="仿宋" w:eastAsia="仿宋"/>
          <w:sz w:val="32"/>
          <w:szCs w:val="32"/>
        </w:rPr>
        <w:t>五）</w:t>
      </w:r>
      <w:r>
        <w:rPr>
          <w:rFonts w:hint="eastAsia" w:ascii="仿宋" w:hAnsi="仿宋" w:eastAsia="仿宋" w:cs="_4eff_5b8b_GB2312"/>
          <w:bCs/>
          <w:color w:val="000000"/>
          <w:sz w:val="32"/>
          <w:szCs w:val="32"/>
        </w:rPr>
        <w:t>地下水污染防治工作。按照“源头控制、分区防治、污染监控、应急响应”相结合的原则，严格落实报告书提出的地下水污染防治措施，做好项目生产车间、储罐区、危险废物暂存间、污水池、事故池和污水管道等的防腐、防渗、防漏工作，按相关规范要求做好跟踪监测工作，确保地下水环境安全。</w:t>
      </w:r>
    </w:p>
    <w:p>
      <w:pPr>
        <w:pStyle w:val="33"/>
        <w:spacing w:line="470" w:lineRule="exact"/>
        <w:ind w:firstLine="640"/>
        <w:rPr>
          <w:rFonts w:ascii="仿宋" w:hAnsi="仿宋" w:eastAsia="仿宋"/>
          <w:color w:val="auto"/>
          <w:sz w:val="32"/>
          <w:szCs w:val="32"/>
        </w:rPr>
      </w:pPr>
      <w:r>
        <w:rPr>
          <w:rFonts w:hint="eastAsia" w:hAnsi="仿宋" w:eastAsia="仿宋" w:cs="Times New Roman"/>
          <w:color w:val="auto"/>
          <w:sz w:val="32"/>
          <w:szCs w:val="32"/>
        </w:rPr>
        <w:t>（六）</w:t>
      </w:r>
      <w:r>
        <w:rPr>
          <w:rFonts w:hint="eastAsia" w:ascii="仿宋" w:hAnsi="仿宋" w:eastAsia="仿宋"/>
          <w:color w:val="auto"/>
          <w:sz w:val="32"/>
          <w:szCs w:val="32"/>
        </w:rPr>
        <w:t>噪声防治工作。严格落实各项噪声防治措施，采用低噪声设备，加强各类设施的维护保养，对风机、各类泵等噪声产生设施设备采取隔声、减振、消声等措施，确保</w:t>
      </w:r>
      <w:r>
        <w:rPr>
          <w:rFonts w:hint="eastAsia" w:ascii="仿宋" w:hAnsi="仿宋" w:eastAsia="仿宋" w:cs="仿宋"/>
          <w:color w:val="auto"/>
          <w:sz w:val="32"/>
          <w:szCs w:val="32"/>
        </w:rPr>
        <w:t>厂界</w:t>
      </w:r>
      <w:r>
        <w:rPr>
          <w:rFonts w:hint="eastAsia" w:ascii="仿宋" w:hAnsi="仿宋" w:eastAsia="仿宋"/>
          <w:color w:val="auto"/>
          <w:sz w:val="32"/>
          <w:szCs w:val="32"/>
        </w:rPr>
        <w:t>噪声满足《工业企业厂界环境噪声排放标准》(GB12348-2008)中的3类标准要求</w:t>
      </w:r>
      <w:r>
        <w:rPr>
          <w:rFonts w:ascii="仿宋" w:hAnsi="仿宋" w:eastAsia="仿宋"/>
          <w:color w:val="auto"/>
          <w:sz w:val="32"/>
          <w:szCs w:val="32"/>
        </w:rPr>
        <w:t>。</w:t>
      </w:r>
    </w:p>
    <w:p>
      <w:pPr>
        <w:spacing w:line="470" w:lineRule="exact"/>
        <w:ind w:firstLine="640"/>
        <w:jc w:val="both"/>
        <w:rPr>
          <w:rFonts w:hAnsi="仿宋" w:eastAsia="仿宋" w:cs="Times New Roman"/>
          <w:sz w:val="32"/>
          <w:szCs w:val="32"/>
        </w:rPr>
      </w:pPr>
      <w:r>
        <w:rPr>
          <w:rFonts w:hint="eastAsia" w:hAnsi="仿宋" w:eastAsia="仿宋" w:cs="Times New Roman"/>
          <w:sz w:val="32"/>
          <w:szCs w:val="32"/>
        </w:rPr>
        <w:t>（七）</w:t>
      </w:r>
      <w:r>
        <w:rPr>
          <w:rFonts w:hint="eastAsia" w:ascii="仿宋" w:hAnsi="仿宋" w:eastAsia="仿宋"/>
          <w:sz w:val="32"/>
          <w:szCs w:val="32"/>
        </w:rPr>
        <w:t>固体废物管理工作。</w:t>
      </w:r>
      <w:r>
        <w:rPr>
          <w:rFonts w:hint="eastAsia" w:hAnsi="仿宋" w:eastAsia="仿宋" w:cs="Times New Roman"/>
          <w:sz w:val="32"/>
          <w:szCs w:val="32"/>
        </w:rPr>
        <w:t>按</w:t>
      </w:r>
      <w:r>
        <w:rPr>
          <w:rFonts w:eastAsia="仿宋" w:cs="Times New Roman"/>
          <w:sz w:val="32"/>
          <w:szCs w:val="32"/>
        </w:rPr>
        <w:t>“</w:t>
      </w:r>
      <w:r>
        <w:rPr>
          <w:rFonts w:hint="eastAsia" w:hAnsi="仿宋" w:eastAsia="仿宋" w:cs="Times New Roman"/>
          <w:sz w:val="32"/>
          <w:szCs w:val="32"/>
        </w:rPr>
        <w:t>无害化、减量化、资源化</w:t>
      </w:r>
      <w:r>
        <w:rPr>
          <w:rFonts w:eastAsia="仿宋" w:cs="Times New Roman"/>
          <w:sz w:val="32"/>
          <w:szCs w:val="32"/>
        </w:rPr>
        <w:t>”</w:t>
      </w:r>
      <w:r>
        <w:rPr>
          <w:rFonts w:hint="eastAsia" w:hAnsi="仿宋" w:eastAsia="仿宋" w:cs="Times New Roman"/>
          <w:sz w:val="32"/>
          <w:szCs w:val="32"/>
        </w:rPr>
        <w:t>原则，</w:t>
      </w:r>
      <w:r>
        <w:rPr>
          <w:rFonts w:hint="eastAsia" w:ascii="仿宋" w:hAnsi="仿宋" w:eastAsia="仿宋"/>
          <w:sz w:val="32"/>
          <w:szCs w:val="32"/>
        </w:rPr>
        <w:t>严格落实《危险废物贮存污染控制标准（GB18597-2001）》及其2013年修改单和《</w:t>
      </w:r>
      <w:r>
        <w:fldChar w:fldCharType="begin"/>
      </w:r>
      <w:r>
        <w:instrText xml:space="preserve"> HYPERLINK "http://www.mee.gov.cn/ywgz/fgbz/bz/bzwb/gthw/gtfwwrkzbz/202012/W020201218695845325455.pdf" </w:instrText>
      </w:r>
      <w:r>
        <w:fldChar w:fldCharType="separate"/>
      </w:r>
      <w:r>
        <w:rPr>
          <w:rFonts w:hint="eastAsia" w:ascii="仿宋" w:hAnsi="仿宋" w:eastAsia="仿宋"/>
          <w:sz w:val="32"/>
          <w:szCs w:val="32"/>
        </w:rPr>
        <w:t>一般工业固体废物贮存和填埋污染控制标准（GB18599-2020）</w:t>
      </w:r>
      <w:r>
        <w:rPr>
          <w:rFonts w:hint="eastAsia" w:ascii="仿宋" w:hAnsi="仿宋" w:eastAsia="仿宋"/>
          <w:sz w:val="32"/>
          <w:szCs w:val="32"/>
        </w:rPr>
        <w:fldChar w:fldCharType="end"/>
      </w:r>
      <w:r>
        <w:rPr>
          <w:rFonts w:hint="eastAsia" w:ascii="仿宋" w:hAnsi="仿宋" w:eastAsia="仿宋"/>
          <w:sz w:val="32"/>
          <w:szCs w:val="32"/>
        </w:rPr>
        <w:t>》等相关标准和规定要求，</w:t>
      </w:r>
      <w:r>
        <w:rPr>
          <w:rFonts w:hint="eastAsia" w:ascii="仿宋" w:hAnsi="仿宋" w:eastAsia="仿宋" w:cs="仿宋"/>
          <w:sz w:val="32"/>
          <w:szCs w:val="32"/>
        </w:rPr>
        <w:t>完善危险废物和一般工业固体废物暂存间建设，</w:t>
      </w:r>
      <w:r>
        <w:rPr>
          <w:rFonts w:hint="eastAsia" w:hAnsi="仿宋" w:eastAsia="仿宋" w:cs="Times New Roman"/>
          <w:sz w:val="32"/>
          <w:szCs w:val="32"/>
        </w:rPr>
        <w:t>做好固体废物分类收集、暂存工作，建立健全固体废物产生、转运、处置全过程管理台帐。项目产生的</w:t>
      </w:r>
      <w:r>
        <w:rPr>
          <w:rFonts w:hint="eastAsia" w:ascii="仿宋" w:hAnsi="仿宋" w:eastAsia="仿宋"/>
          <w:sz w:val="32"/>
          <w:szCs w:val="32"/>
        </w:rPr>
        <w:t>废离子交换树脂</w:t>
      </w:r>
      <w:r>
        <w:rPr>
          <w:rFonts w:hint="eastAsia" w:hAnsi="仿宋" w:eastAsia="仿宋" w:cs="Times New Roman"/>
          <w:sz w:val="32"/>
          <w:szCs w:val="32"/>
        </w:rPr>
        <w:t>等危险废物经收集后交有资质的单位安全处置并</w:t>
      </w:r>
      <w:r>
        <w:rPr>
          <w:rFonts w:hint="eastAsia" w:ascii="仿宋" w:hAnsi="仿宋" w:eastAsia="仿宋" w:cs="仿宋"/>
          <w:kern w:val="2"/>
          <w:sz w:val="32"/>
          <w:szCs w:val="32"/>
          <w:lang w:bidi="ar"/>
        </w:rPr>
        <w:t>严格按照</w:t>
      </w:r>
      <w:r>
        <w:rPr>
          <w:rFonts w:hint="eastAsia" w:ascii="仿宋" w:hAnsi="仿宋" w:eastAsia="仿宋" w:cs="仿宋"/>
          <w:sz w:val="32"/>
          <w:szCs w:val="32"/>
        </w:rPr>
        <w:t>《</w:t>
      </w:r>
      <w:r>
        <w:rPr>
          <w:rFonts w:hint="eastAsia" w:ascii="仿宋" w:hAnsi="仿宋" w:eastAsia="仿宋" w:cs="仿宋"/>
          <w:kern w:val="2"/>
          <w:sz w:val="32"/>
          <w:szCs w:val="32"/>
          <w:lang w:bidi="ar"/>
        </w:rPr>
        <w:t>危险废物转移管理办法</w:t>
      </w:r>
      <w:r>
        <w:rPr>
          <w:rFonts w:hint="eastAsia" w:ascii="仿宋" w:hAnsi="仿宋" w:eastAsia="仿宋" w:cs="仿宋"/>
          <w:sz w:val="32"/>
          <w:szCs w:val="32"/>
        </w:rPr>
        <w:t>》要求</w:t>
      </w:r>
      <w:r>
        <w:rPr>
          <w:rFonts w:hint="eastAsia" w:ascii="仿宋" w:hAnsi="仿宋" w:eastAsia="仿宋" w:cs="仿宋"/>
          <w:kern w:val="2"/>
          <w:sz w:val="32"/>
          <w:szCs w:val="32"/>
          <w:lang w:bidi="ar"/>
        </w:rPr>
        <w:t>落实相关转移</w:t>
      </w:r>
      <w:r>
        <w:rPr>
          <w:rFonts w:hint="eastAsia" w:hAnsi="仿宋" w:eastAsia="仿宋" w:cs="Times New Roman"/>
          <w:sz w:val="32"/>
          <w:szCs w:val="32"/>
        </w:rPr>
        <w:t>工作。</w:t>
      </w:r>
      <w:r>
        <w:rPr>
          <w:rFonts w:hint="eastAsia" w:ascii="仿宋" w:hAnsi="仿宋" w:eastAsia="仿宋"/>
          <w:sz w:val="32"/>
          <w:szCs w:val="32"/>
        </w:rPr>
        <w:t>沉渣、废硅</w:t>
      </w:r>
      <w:r>
        <w:rPr>
          <w:rFonts w:hint="eastAsia" w:hAnsi="仿宋" w:eastAsia="仿宋" w:cs="Times New Roman"/>
          <w:sz w:val="32"/>
          <w:szCs w:val="32"/>
        </w:rPr>
        <w:t>溶胶、废弃原料包装材料等一般工业固体废物经收集后综合回收利用。</w:t>
      </w:r>
    </w:p>
    <w:p>
      <w:pPr>
        <w:spacing w:line="470" w:lineRule="exact"/>
        <w:ind w:firstLine="640"/>
        <w:jc w:val="both"/>
        <w:rPr>
          <w:rFonts w:ascii="仿宋" w:hAnsi="仿宋" w:eastAsia="仿宋"/>
          <w:sz w:val="32"/>
          <w:szCs w:val="32"/>
        </w:rPr>
      </w:pPr>
      <w:r>
        <w:rPr>
          <w:rFonts w:hint="eastAsia" w:hAnsi="仿宋" w:eastAsia="仿宋" w:cs="Times New Roman"/>
          <w:sz w:val="32"/>
          <w:szCs w:val="32"/>
        </w:rPr>
        <w:t>（八）</w:t>
      </w:r>
      <w:r>
        <w:rPr>
          <w:rFonts w:hint="eastAsia" w:ascii="仿宋" w:hAnsi="仿宋" w:eastAsia="仿宋"/>
          <w:sz w:val="32"/>
          <w:szCs w:val="32"/>
        </w:rPr>
        <w:t>环境管理和风险防范工作。设专门环保机构，配备专职环保管理人员，</w:t>
      </w:r>
      <w:r>
        <w:rPr>
          <w:rFonts w:hint="eastAsia" w:ascii="仿宋" w:hAnsi="仿宋" w:eastAsia="仿宋" w:cs="仿宋"/>
          <w:sz w:val="32"/>
          <w:szCs w:val="32"/>
        </w:rPr>
        <w:t>按计划做好运营期环境监测工作，</w:t>
      </w:r>
      <w:r>
        <w:rPr>
          <w:rFonts w:hint="eastAsia" w:ascii="仿宋" w:hAnsi="仿宋" w:eastAsia="仿宋"/>
          <w:sz w:val="32"/>
          <w:szCs w:val="32"/>
        </w:rPr>
        <w:t>加强日常监管，</w:t>
      </w:r>
      <w:r>
        <w:rPr>
          <w:rFonts w:hint="eastAsia" w:hAnsi="仿宋" w:eastAsia="仿宋" w:cs="Times New Roman"/>
          <w:sz w:val="32"/>
          <w:szCs w:val="32"/>
        </w:rPr>
        <w:t>落实好巡检维护工作，</w:t>
      </w:r>
      <w:r>
        <w:rPr>
          <w:rFonts w:hint="eastAsia" w:ascii="仿宋" w:hAnsi="仿宋" w:eastAsia="仿宋"/>
          <w:sz w:val="32"/>
          <w:szCs w:val="32"/>
        </w:rPr>
        <w:t>确保各污染防治设施的正常运行，各类污染物稳定达标排放。</w:t>
      </w:r>
      <w:r>
        <w:rPr>
          <w:rFonts w:hint="eastAsia" w:hAnsi="仿宋" w:eastAsia="仿宋" w:cs="Times New Roman"/>
          <w:sz w:val="32"/>
          <w:szCs w:val="32"/>
        </w:rPr>
        <w:t>加强环境风险管理，</w:t>
      </w:r>
      <w:r>
        <w:rPr>
          <w:rFonts w:hint="eastAsia" w:ascii="仿宋" w:hAnsi="仿宋" w:eastAsia="仿宋"/>
          <w:sz w:val="32"/>
          <w:szCs w:val="32"/>
        </w:rPr>
        <w:t>严格落实报告书提出的各项环境风险防范措施，按要求配齐各类泄漏检测预警和监控、应急设施，按照《突发环境事件应急管理办法》完善好突发环境事件应急预案并落实到位，</w:t>
      </w:r>
      <w:r>
        <w:rPr>
          <w:rFonts w:hint="eastAsia" w:ascii="仿宋" w:hAnsi="仿宋" w:eastAsia="仿宋" w:cs="仿宋"/>
          <w:sz w:val="32"/>
          <w:szCs w:val="32"/>
        </w:rPr>
        <w:t>加强与化工产业园、云溪区等应急预案的应急联动，</w:t>
      </w:r>
      <w:r>
        <w:rPr>
          <w:rFonts w:hint="eastAsia" w:ascii="仿宋" w:hAnsi="仿宋" w:eastAsia="仿宋"/>
          <w:sz w:val="32"/>
          <w:szCs w:val="32"/>
        </w:rPr>
        <w:t>储备风险救助物资并定期组织演练，杜绝环境风险事故发生，确保周边环境安全。</w:t>
      </w:r>
    </w:p>
    <w:p>
      <w:pPr>
        <w:autoSpaceDE w:val="0"/>
        <w:spacing w:line="470" w:lineRule="exact"/>
        <w:ind w:firstLine="640"/>
        <w:rPr>
          <w:rFonts w:ascii="仿宋" w:hAnsi="仿宋" w:eastAsia="仿宋" w:cs="仿宋"/>
          <w:sz w:val="32"/>
          <w:szCs w:val="32"/>
          <w:u w:val="single"/>
        </w:rPr>
      </w:pPr>
      <w:r>
        <w:rPr>
          <w:rFonts w:hint="eastAsia" w:hAnsi="仿宋" w:eastAsia="仿宋" w:cs="Times New Roman"/>
          <w:sz w:val="32"/>
          <w:szCs w:val="32"/>
        </w:rPr>
        <w:t>（九）本项目新增主要污染物总量控制指标为：</w:t>
      </w:r>
      <w:r>
        <w:rPr>
          <w:rFonts w:hint="eastAsia" w:ascii="仿宋" w:hAnsi="仿宋" w:eastAsia="仿宋" w:cs="仿宋"/>
          <w:sz w:val="32"/>
          <w:szCs w:val="32"/>
        </w:rPr>
        <w:t>COD≤4.6t/a、</w:t>
      </w:r>
      <w:r>
        <w:rPr>
          <w:rFonts w:hint="eastAsia" w:ascii="仿宋" w:hAnsi="仿宋" w:eastAsia="仿宋" w:cs="_4eff_5b8b_GB2312"/>
          <w:bCs/>
          <w:color w:val="000000"/>
          <w:sz w:val="32"/>
          <w:szCs w:val="32"/>
        </w:rPr>
        <w:t>氨氮≤0.5t/a</w:t>
      </w:r>
      <w:r>
        <w:rPr>
          <w:rFonts w:hint="eastAsia" w:ascii="仿宋" w:hAnsi="仿宋" w:eastAsia="仿宋" w:cs="仿宋"/>
          <w:sz w:val="32"/>
          <w:szCs w:val="32"/>
        </w:rPr>
        <w:t>。</w:t>
      </w:r>
    </w:p>
    <w:p>
      <w:pPr>
        <w:spacing w:line="470" w:lineRule="exact"/>
        <w:ind w:firstLine="640"/>
        <w:jc w:val="both"/>
        <w:rPr>
          <w:rFonts w:hAnsi="仿宋" w:eastAsia="仿宋" w:cs="Times New Roman"/>
          <w:sz w:val="32"/>
          <w:szCs w:val="32"/>
        </w:rPr>
      </w:pPr>
      <w:r>
        <w:rPr>
          <w:rFonts w:hint="eastAsia" w:hAnsi="仿宋" w:eastAsia="仿宋" w:cs="Times New Roman"/>
          <w:sz w:val="32"/>
          <w:szCs w:val="32"/>
        </w:rPr>
        <w:t>三、你公司应在收到本批复后15个工作日内，将批复及批准的环评报告文本送至岳阳市生态环境局云溪分局、</w:t>
      </w:r>
      <w:r>
        <w:rPr>
          <w:rFonts w:hint="eastAsia" w:ascii="仿宋" w:hAnsi="仿宋" w:eastAsia="仿宋"/>
          <w:sz w:val="32"/>
          <w:szCs w:val="32"/>
        </w:rPr>
        <w:t>湖南环腾环保工程有限公司</w:t>
      </w:r>
      <w:r>
        <w:rPr>
          <w:rFonts w:hint="eastAsia" w:hAnsi="仿宋" w:eastAsia="仿宋" w:cs="Times New Roman"/>
          <w:sz w:val="32"/>
          <w:szCs w:val="32"/>
        </w:rPr>
        <w:t>。</w:t>
      </w:r>
    </w:p>
    <w:bookmarkEnd w:id="0"/>
    <w:bookmarkEnd w:id="1"/>
    <w:p>
      <w:pPr>
        <w:spacing w:line="470" w:lineRule="exact"/>
        <w:ind w:firstLine="640"/>
        <w:rPr>
          <w:rFonts w:ascii="仿宋" w:hAnsi="仿宋" w:eastAsia="仿宋"/>
          <w:sz w:val="32"/>
          <w:szCs w:val="32"/>
        </w:rPr>
      </w:pPr>
      <w:r>
        <w:rPr>
          <w:rFonts w:hint="eastAsia" w:ascii="仿宋" w:hAnsi="仿宋" w:eastAsia="仿宋"/>
          <w:sz w:val="32"/>
          <w:szCs w:val="32"/>
        </w:rPr>
        <w:t>四、请</w:t>
      </w:r>
      <w:r>
        <w:rPr>
          <w:rFonts w:hint="eastAsia" w:hAnsi="仿宋" w:eastAsia="仿宋" w:cs="Times New Roman"/>
          <w:sz w:val="32"/>
          <w:szCs w:val="32"/>
        </w:rPr>
        <w:t>岳阳市生态环境局云溪分局</w:t>
      </w:r>
      <w:r>
        <w:rPr>
          <w:rFonts w:hint="eastAsia" w:ascii="仿宋" w:hAnsi="仿宋" w:eastAsia="仿宋"/>
          <w:sz w:val="32"/>
          <w:szCs w:val="32"/>
        </w:rPr>
        <w:t>负责项目建设和运营期的日常环境监管。</w:t>
      </w:r>
    </w:p>
    <w:p>
      <w:pPr>
        <w:spacing w:line="450" w:lineRule="exact"/>
        <w:ind w:firstLine="0" w:firstLineChars="0"/>
        <w:rPr>
          <w:rFonts w:ascii="仿宋" w:hAnsi="仿宋" w:eastAsia="仿宋"/>
          <w:sz w:val="32"/>
          <w:szCs w:val="32"/>
        </w:rPr>
      </w:pPr>
    </w:p>
    <w:p>
      <w:pPr>
        <w:spacing w:line="450" w:lineRule="exact"/>
        <w:ind w:firstLine="0" w:firstLineChars="0"/>
        <w:rPr>
          <w:rFonts w:ascii="仿宋" w:hAnsi="仿宋" w:eastAsia="仿宋"/>
          <w:sz w:val="32"/>
          <w:szCs w:val="32"/>
        </w:rPr>
      </w:pPr>
    </w:p>
    <w:p>
      <w:pPr>
        <w:spacing w:line="460" w:lineRule="exact"/>
        <w:ind w:firstLine="0" w:firstLineChars="0"/>
        <w:rPr>
          <w:rFonts w:ascii="仿宋" w:hAnsi="仿宋" w:eastAsia="仿宋"/>
          <w:sz w:val="32"/>
          <w:szCs w:val="32"/>
        </w:rPr>
      </w:pPr>
      <w:r>
        <w:rPr>
          <w:rFonts w:hint="eastAsia" w:ascii="仿宋" w:hAnsi="仿宋" w:eastAsia="仿宋"/>
          <w:sz w:val="32"/>
          <w:szCs w:val="32"/>
        </w:rPr>
        <w:t xml:space="preserve">                             岳阳市生态环境局</w:t>
      </w:r>
    </w:p>
    <w:p>
      <w:pPr>
        <w:spacing w:line="460" w:lineRule="exact"/>
        <w:ind w:firstLine="64" w:firstLineChars="20"/>
        <w:rPr>
          <w:color w:val="F79646"/>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2023年1月</w:t>
      </w:r>
      <w:r>
        <w:rPr>
          <w:rFonts w:hint="eastAsia" w:ascii="仿宋" w:hAnsi="仿宋" w:eastAsia="仿宋"/>
          <w:sz w:val="32"/>
          <w:szCs w:val="32"/>
          <w:lang w:val="en-US" w:eastAsia="zh-CN"/>
        </w:rPr>
        <w:t>20</w:t>
      </w:r>
      <w:r>
        <w:rPr>
          <w:rFonts w:hint="eastAsia" w:ascii="仿宋" w:hAnsi="仿宋" w:eastAsia="仿宋"/>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7"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 PAGE   \* MERGEFORMAT </w:instrText>
    </w:r>
    <w:r>
      <w:fldChar w:fldCharType="separate"/>
    </w:r>
    <w:r>
      <w:rPr>
        <w:lang w:val="zh-CN"/>
      </w:rPr>
      <w:t>3</w:t>
    </w:r>
    <w: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4BB90"/>
    <w:multiLevelType w:val="singleLevel"/>
    <w:tmpl w:val="7AF4BB90"/>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Q5NDQxNzExMTNkYWJkYzI5YTMyM2M4MWY1NzkifQ=="/>
  </w:docVars>
  <w:rsids>
    <w:rsidRoot w:val="00172A27"/>
    <w:rsid w:val="001079C4"/>
    <w:rsid w:val="00172A27"/>
    <w:rsid w:val="001A5241"/>
    <w:rsid w:val="001C31CD"/>
    <w:rsid w:val="00292D1B"/>
    <w:rsid w:val="00492B9D"/>
    <w:rsid w:val="004A1D17"/>
    <w:rsid w:val="004A7447"/>
    <w:rsid w:val="005471A6"/>
    <w:rsid w:val="005E141B"/>
    <w:rsid w:val="005E28A1"/>
    <w:rsid w:val="006E05E0"/>
    <w:rsid w:val="007C3E45"/>
    <w:rsid w:val="007E21C8"/>
    <w:rsid w:val="00905411"/>
    <w:rsid w:val="00A66054"/>
    <w:rsid w:val="00AD1661"/>
    <w:rsid w:val="00C64EDE"/>
    <w:rsid w:val="00C86672"/>
    <w:rsid w:val="00CF5969"/>
    <w:rsid w:val="00D45532"/>
    <w:rsid w:val="00E679DA"/>
    <w:rsid w:val="00EE2C4F"/>
    <w:rsid w:val="00F11053"/>
    <w:rsid w:val="00FE58FE"/>
    <w:rsid w:val="015224BD"/>
    <w:rsid w:val="01891285"/>
    <w:rsid w:val="01B0D7D3"/>
    <w:rsid w:val="01C75D8C"/>
    <w:rsid w:val="01D17772"/>
    <w:rsid w:val="02241CF7"/>
    <w:rsid w:val="032B378F"/>
    <w:rsid w:val="037800D1"/>
    <w:rsid w:val="04B8280B"/>
    <w:rsid w:val="04C9670A"/>
    <w:rsid w:val="050843DE"/>
    <w:rsid w:val="051D3377"/>
    <w:rsid w:val="058C63F9"/>
    <w:rsid w:val="05C50C80"/>
    <w:rsid w:val="05C60FBA"/>
    <w:rsid w:val="06125F58"/>
    <w:rsid w:val="067A7CA7"/>
    <w:rsid w:val="06C8264F"/>
    <w:rsid w:val="072A5547"/>
    <w:rsid w:val="077D3476"/>
    <w:rsid w:val="07830DF3"/>
    <w:rsid w:val="07B60C9F"/>
    <w:rsid w:val="086F61D4"/>
    <w:rsid w:val="08D764E3"/>
    <w:rsid w:val="09074C3A"/>
    <w:rsid w:val="093A0C8D"/>
    <w:rsid w:val="096E1B37"/>
    <w:rsid w:val="0A0D1C58"/>
    <w:rsid w:val="0AD77DB8"/>
    <w:rsid w:val="0B381347"/>
    <w:rsid w:val="0C2F7944"/>
    <w:rsid w:val="0C6C5A75"/>
    <w:rsid w:val="0D3A7F2F"/>
    <w:rsid w:val="0D906017"/>
    <w:rsid w:val="0E5D61F2"/>
    <w:rsid w:val="1073CCF6"/>
    <w:rsid w:val="10A5534F"/>
    <w:rsid w:val="119F4A7B"/>
    <w:rsid w:val="12032D93"/>
    <w:rsid w:val="1315735E"/>
    <w:rsid w:val="136514D2"/>
    <w:rsid w:val="14074349"/>
    <w:rsid w:val="144D7E6F"/>
    <w:rsid w:val="14BD1BE5"/>
    <w:rsid w:val="1573694A"/>
    <w:rsid w:val="15B64A89"/>
    <w:rsid w:val="15C05E79"/>
    <w:rsid w:val="1626164D"/>
    <w:rsid w:val="16A164D9"/>
    <w:rsid w:val="175B2081"/>
    <w:rsid w:val="17DC26EE"/>
    <w:rsid w:val="184D197C"/>
    <w:rsid w:val="18DF6E59"/>
    <w:rsid w:val="18E036D9"/>
    <w:rsid w:val="196953A5"/>
    <w:rsid w:val="19FA7936"/>
    <w:rsid w:val="1AF16875"/>
    <w:rsid w:val="1B2A2304"/>
    <w:rsid w:val="1BC64D24"/>
    <w:rsid w:val="1C0B04F9"/>
    <w:rsid w:val="1D411421"/>
    <w:rsid w:val="1D9E0C23"/>
    <w:rsid w:val="1E13542C"/>
    <w:rsid w:val="1E1937AA"/>
    <w:rsid w:val="1E5E2C4E"/>
    <w:rsid w:val="1FD437AC"/>
    <w:rsid w:val="1FE30229"/>
    <w:rsid w:val="203C3DDD"/>
    <w:rsid w:val="203D69F7"/>
    <w:rsid w:val="20605D1D"/>
    <w:rsid w:val="2129562B"/>
    <w:rsid w:val="213561A0"/>
    <w:rsid w:val="23B16EC4"/>
    <w:rsid w:val="2425BFD6"/>
    <w:rsid w:val="242A7C6C"/>
    <w:rsid w:val="254E4F41"/>
    <w:rsid w:val="255D4AD5"/>
    <w:rsid w:val="261E6904"/>
    <w:rsid w:val="26A90D8F"/>
    <w:rsid w:val="27AEFAF6"/>
    <w:rsid w:val="27D112AE"/>
    <w:rsid w:val="27FF319F"/>
    <w:rsid w:val="282E2AF9"/>
    <w:rsid w:val="28603185"/>
    <w:rsid w:val="28D77D24"/>
    <w:rsid w:val="29F6041F"/>
    <w:rsid w:val="2AD215D6"/>
    <w:rsid w:val="2AD54DBF"/>
    <w:rsid w:val="2AE82532"/>
    <w:rsid w:val="2AF552B4"/>
    <w:rsid w:val="2B367DA6"/>
    <w:rsid w:val="2B7663F5"/>
    <w:rsid w:val="2BFA0087"/>
    <w:rsid w:val="2C2C11A9"/>
    <w:rsid w:val="2C4C18EE"/>
    <w:rsid w:val="2C8A6E9D"/>
    <w:rsid w:val="2E0917A2"/>
    <w:rsid w:val="2E240243"/>
    <w:rsid w:val="2E620EB2"/>
    <w:rsid w:val="2EED2F93"/>
    <w:rsid w:val="2F740E9D"/>
    <w:rsid w:val="2FBC6DA7"/>
    <w:rsid w:val="31A2252C"/>
    <w:rsid w:val="32BB1100"/>
    <w:rsid w:val="336C1655"/>
    <w:rsid w:val="338D3BB2"/>
    <w:rsid w:val="33F11A54"/>
    <w:rsid w:val="34202917"/>
    <w:rsid w:val="3495078B"/>
    <w:rsid w:val="34A44F53"/>
    <w:rsid w:val="34E16FD5"/>
    <w:rsid w:val="352B4C2C"/>
    <w:rsid w:val="36750FCA"/>
    <w:rsid w:val="37111565"/>
    <w:rsid w:val="372E23BC"/>
    <w:rsid w:val="37CF1C23"/>
    <w:rsid w:val="382F4F9D"/>
    <w:rsid w:val="38363ADA"/>
    <w:rsid w:val="387009C5"/>
    <w:rsid w:val="388724AA"/>
    <w:rsid w:val="394748FE"/>
    <w:rsid w:val="39924689"/>
    <w:rsid w:val="39DD195D"/>
    <w:rsid w:val="3A374274"/>
    <w:rsid w:val="3AD865AA"/>
    <w:rsid w:val="3B4EB73D"/>
    <w:rsid w:val="3B741B33"/>
    <w:rsid w:val="3B75103E"/>
    <w:rsid w:val="3B8E6B21"/>
    <w:rsid w:val="3C4531C7"/>
    <w:rsid w:val="3C924665"/>
    <w:rsid w:val="3E0C2FCD"/>
    <w:rsid w:val="3F2E34FD"/>
    <w:rsid w:val="407F40BE"/>
    <w:rsid w:val="4081341A"/>
    <w:rsid w:val="41002FD6"/>
    <w:rsid w:val="41553DF4"/>
    <w:rsid w:val="41DA54D8"/>
    <w:rsid w:val="4346769E"/>
    <w:rsid w:val="437601E6"/>
    <w:rsid w:val="43EE526A"/>
    <w:rsid w:val="44120CDC"/>
    <w:rsid w:val="444A40F8"/>
    <w:rsid w:val="44732B10"/>
    <w:rsid w:val="45222FEE"/>
    <w:rsid w:val="45717A64"/>
    <w:rsid w:val="45752376"/>
    <w:rsid w:val="457900D2"/>
    <w:rsid w:val="45CC1124"/>
    <w:rsid w:val="463D0684"/>
    <w:rsid w:val="46EA4B04"/>
    <w:rsid w:val="473368AA"/>
    <w:rsid w:val="48945CB4"/>
    <w:rsid w:val="489C6724"/>
    <w:rsid w:val="48A43BE0"/>
    <w:rsid w:val="48CA63AA"/>
    <w:rsid w:val="49E51A66"/>
    <w:rsid w:val="4A175819"/>
    <w:rsid w:val="4A2D61DB"/>
    <w:rsid w:val="4AF604B7"/>
    <w:rsid w:val="4B064900"/>
    <w:rsid w:val="4BF673A4"/>
    <w:rsid w:val="4BFB1F7C"/>
    <w:rsid w:val="4CF4811B"/>
    <w:rsid w:val="4D144A97"/>
    <w:rsid w:val="4D58B1EE"/>
    <w:rsid w:val="4DA34F38"/>
    <w:rsid w:val="4E688D3F"/>
    <w:rsid w:val="4E991D8B"/>
    <w:rsid w:val="4EA1526E"/>
    <w:rsid w:val="4F1D1F4A"/>
    <w:rsid w:val="4F281DEA"/>
    <w:rsid w:val="505238DA"/>
    <w:rsid w:val="51322B94"/>
    <w:rsid w:val="519B7D5C"/>
    <w:rsid w:val="51E3405A"/>
    <w:rsid w:val="52521775"/>
    <w:rsid w:val="53884126"/>
    <w:rsid w:val="53C25DCC"/>
    <w:rsid w:val="53CE7F9E"/>
    <w:rsid w:val="540E3642"/>
    <w:rsid w:val="5472334E"/>
    <w:rsid w:val="557B4484"/>
    <w:rsid w:val="55CC6B6C"/>
    <w:rsid w:val="565D79FD"/>
    <w:rsid w:val="56A641D2"/>
    <w:rsid w:val="56C4B182"/>
    <w:rsid w:val="57131575"/>
    <w:rsid w:val="57160908"/>
    <w:rsid w:val="574F20E5"/>
    <w:rsid w:val="57865553"/>
    <w:rsid w:val="578F1EDD"/>
    <w:rsid w:val="58415EB1"/>
    <w:rsid w:val="58A7264E"/>
    <w:rsid w:val="590421A1"/>
    <w:rsid w:val="593740D0"/>
    <w:rsid w:val="59B6602C"/>
    <w:rsid w:val="59C3875F"/>
    <w:rsid w:val="5AB47733"/>
    <w:rsid w:val="5ABE78FA"/>
    <w:rsid w:val="5ADC59C5"/>
    <w:rsid w:val="5BB95D06"/>
    <w:rsid w:val="5CB169DD"/>
    <w:rsid w:val="5DA06CA0"/>
    <w:rsid w:val="5E2F0830"/>
    <w:rsid w:val="5E9F7435"/>
    <w:rsid w:val="5ED32983"/>
    <w:rsid w:val="5FE51E22"/>
    <w:rsid w:val="600BACD0"/>
    <w:rsid w:val="604F6C39"/>
    <w:rsid w:val="615B2711"/>
    <w:rsid w:val="61871294"/>
    <w:rsid w:val="632520E6"/>
    <w:rsid w:val="63BE035D"/>
    <w:rsid w:val="645390CB"/>
    <w:rsid w:val="64BC3905"/>
    <w:rsid w:val="650224CC"/>
    <w:rsid w:val="6630477D"/>
    <w:rsid w:val="66325DA6"/>
    <w:rsid w:val="668051FB"/>
    <w:rsid w:val="66B91D25"/>
    <w:rsid w:val="66CC23D8"/>
    <w:rsid w:val="67423054"/>
    <w:rsid w:val="67957627"/>
    <w:rsid w:val="683A2D35"/>
    <w:rsid w:val="6984AC29"/>
    <w:rsid w:val="69D55151"/>
    <w:rsid w:val="6AA84AAF"/>
    <w:rsid w:val="6C5117E7"/>
    <w:rsid w:val="6CAD2EBE"/>
    <w:rsid w:val="6D03684E"/>
    <w:rsid w:val="6D0C7CFE"/>
    <w:rsid w:val="6E1F56F5"/>
    <w:rsid w:val="6EDD4050"/>
    <w:rsid w:val="6EEA1E83"/>
    <w:rsid w:val="6F2DCDBF"/>
    <w:rsid w:val="6F630C97"/>
    <w:rsid w:val="6F926156"/>
    <w:rsid w:val="6FF1DE50"/>
    <w:rsid w:val="706E693C"/>
    <w:rsid w:val="70C6787F"/>
    <w:rsid w:val="712F0C92"/>
    <w:rsid w:val="71B702C3"/>
    <w:rsid w:val="73331928"/>
    <w:rsid w:val="73442398"/>
    <w:rsid w:val="734E92DB"/>
    <w:rsid w:val="735C724B"/>
    <w:rsid w:val="736D08BC"/>
    <w:rsid w:val="74620B8C"/>
    <w:rsid w:val="7512B24F"/>
    <w:rsid w:val="753D0121"/>
    <w:rsid w:val="75764783"/>
    <w:rsid w:val="76361D6D"/>
    <w:rsid w:val="767B0688"/>
    <w:rsid w:val="78860138"/>
    <w:rsid w:val="78F543CA"/>
    <w:rsid w:val="78FD1E59"/>
    <w:rsid w:val="790E62D1"/>
    <w:rsid w:val="79905EA0"/>
    <w:rsid w:val="79E443E5"/>
    <w:rsid w:val="7A6C39F7"/>
    <w:rsid w:val="7AAA3570"/>
    <w:rsid w:val="7AD17C0A"/>
    <w:rsid w:val="7B644EB3"/>
    <w:rsid w:val="7B7D250F"/>
    <w:rsid w:val="7C5232BC"/>
    <w:rsid w:val="7DEC1BF7"/>
    <w:rsid w:val="86858C31"/>
    <w:rsid w:val="8E04678C"/>
    <w:rsid w:val="8F5FDD30"/>
    <w:rsid w:val="8FC4CA7E"/>
    <w:rsid w:val="92D04097"/>
    <w:rsid w:val="97006194"/>
    <w:rsid w:val="979DDDD4"/>
    <w:rsid w:val="A664DBED"/>
    <w:rsid w:val="B15C4454"/>
    <w:rsid w:val="B802294B"/>
    <w:rsid w:val="CB126221"/>
    <w:rsid w:val="CC030370"/>
    <w:rsid w:val="CC70B200"/>
    <w:rsid w:val="D1277365"/>
    <w:rsid w:val="D2B89D44"/>
    <w:rsid w:val="D4E24DC6"/>
    <w:rsid w:val="D52DFC7B"/>
    <w:rsid w:val="E4F77385"/>
    <w:rsid w:val="E6862EAB"/>
    <w:rsid w:val="E6A9EF47"/>
    <w:rsid w:val="E9BADB65"/>
    <w:rsid w:val="EF90E004"/>
    <w:rsid w:val="F35DE0D3"/>
    <w:rsid w:val="F5C9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微软雅黑" w:cs="宋体"/>
      <w:lang w:val="en-US" w:eastAsia="zh-CN" w:bidi="ar-SA"/>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styleId="5">
    <w:name w:val="E-mail Signature"/>
    <w:basedOn w:val="1"/>
    <w:next w:val="6"/>
    <w:qFormat/>
    <w:uiPriority w:val="0"/>
    <w:pPr>
      <w:spacing w:line="460" w:lineRule="exact"/>
      <w:ind w:firstLine="200"/>
    </w:pPr>
  </w:style>
  <w:style w:type="paragraph" w:customStyle="1" w:styleId="6">
    <w:name w:val="文章"/>
    <w:basedOn w:val="7"/>
    <w:next w:val="8"/>
    <w:qFormat/>
    <w:uiPriority w:val="0"/>
    <w:pPr>
      <w:widowControl/>
      <w:ind w:firstLine="480"/>
      <w:jc w:val="center"/>
    </w:pPr>
    <w:rPr>
      <w:sz w:val="26"/>
    </w:rPr>
  </w:style>
  <w:style w:type="paragraph" w:styleId="7">
    <w:name w:val="Body Text Indent"/>
    <w:basedOn w:val="1"/>
    <w:next w:val="1"/>
    <w:qFormat/>
    <w:uiPriority w:val="0"/>
    <w:pPr>
      <w:spacing w:after="120"/>
      <w:ind w:left="283"/>
    </w:pPr>
    <w:rPr>
      <w:rFonts w:eastAsia="宋体" w:cs="Times New Roman"/>
    </w:rPr>
  </w:style>
  <w:style w:type="paragraph" w:styleId="8">
    <w:name w:val="List"/>
    <w:basedOn w:val="1"/>
    <w:next w:val="9"/>
    <w:qFormat/>
    <w:uiPriority w:val="0"/>
    <w:pPr>
      <w:ind w:left="200" w:hanging="200" w:hangingChars="200"/>
      <w:jc w:val="center"/>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spacing w:before="280" w:after="280"/>
    </w:pPr>
    <w:rPr>
      <w:rFonts w:ascii="宋体"/>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qFormat/>
    <w:uiPriority w:val="0"/>
    <w:pPr>
      <w:ind w:firstLine="420"/>
    </w:pPr>
  </w:style>
  <w:style w:type="paragraph" w:styleId="14">
    <w:name w:val="footer"/>
    <w:basedOn w:val="1"/>
    <w:link w:val="26"/>
    <w:qFormat/>
    <w:uiPriority w:val="0"/>
    <w:pPr>
      <w:tabs>
        <w:tab w:val="center" w:pos="4153"/>
        <w:tab w:val="right" w:pos="8306"/>
      </w:tabs>
      <w:snapToGrid w:val="0"/>
    </w:pPr>
    <w:rPr>
      <w:rFonts w:ascii="Calibri" w:hAnsi="Calibri"/>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Body Text Indent 3"/>
    <w:basedOn w:val="1"/>
    <w:qFormat/>
    <w:uiPriority w:val="0"/>
    <w:pPr>
      <w:spacing w:line="480" w:lineRule="auto"/>
      <w:ind w:firstLine="560"/>
    </w:pPr>
    <w:rPr>
      <w:rFonts w:ascii="仿宋_GB2312" w:hAnsi="宋体" w:eastAsia="仿宋_GB2312"/>
      <w:color w:val="000000"/>
      <w:sz w:val="28"/>
      <w:szCs w:val="24"/>
    </w:rPr>
  </w:style>
  <w:style w:type="paragraph" w:styleId="17">
    <w:name w:val="toc 2"/>
    <w:basedOn w:val="1"/>
    <w:next w:val="5"/>
    <w:unhideWhenUsed/>
    <w:qFormat/>
    <w:uiPriority w:val="39"/>
    <w:pPr>
      <w:ind w:left="420" w:leftChars="200"/>
    </w:pPr>
  </w:style>
  <w:style w:type="paragraph" w:styleId="18">
    <w:name w:val="Normal (Web)"/>
    <w:basedOn w:val="1"/>
    <w:qFormat/>
    <w:uiPriority w:val="0"/>
    <w:pPr>
      <w:spacing w:before="100" w:beforeAutospacing="1" w:after="100" w:afterAutospacing="1"/>
    </w:pPr>
    <w:rPr>
      <w:rFonts w:ascii="Calibri" w:hAnsi="Calibri" w:cs="Times New Roman"/>
      <w:sz w:val="24"/>
    </w:rPr>
  </w:style>
  <w:style w:type="paragraph" w:customStyle="1" w:styleId="21">
    <w:name w:val="Default"/>
    <w:basedOn w:val="22"/>
    <w:next w:val="23"/>
    <w:qFormat/>
    <w:uiPriority w:val="0"/>
    <w:pPr>
      <w:widowControl w:val="0"/>
      <w:autoSpaceDE w:val="0"/>
      <w:autoSpaceDN w:val="0"/>
    </w:pPr>
    <w:rPr>
      <w:color w:val="000000"/>
      <w:szCs w:val="24"/>
    </w:rPr>
  </w:style>
  <w:style w:type="paragraph" w:customStyle="1" w:styleId="22">
    <w:name w:val="纯文本1"/>
    <w:basedOn w:val="1"/>
    <w:next w:val="1"/>
    <w:qFormat/>
    <w:uiPriority w:val="0"/>
    <w:pPr>
      <w:widowControl/>
      <w:adjustRightInd w:val="0"/>
      <w:snapToGrid w:val="0"/>
      <w:spacing w:line="360" w:lineRule="auto"/>
      <w:ind w:firstLine="480"/>
    </w:pPr>
    <w:rPr>
      <w:rFonts w:ascii="宋体" w:hAnsi="Courier New"/>
      <w:sz w:val="24"/>
    </w:rPr>
  </w:style>
  <w:style w:type="paragraph" w:customStyle="1" w:styleId="23">
    <w:name w:val="样式35"/>
    <w:basedOn w:val="24"/>
    <w:next w:val="25"/>
    <w:qFormat/>
    <w:uiPriority w:val="0"/>
    <w:pPr>
      <w:tabs>
        <w:tab w:val="left" w:pos="180"/>
      </w:tabs>
      <w:spacing w:line="312" w:lineRule="auto"/>
      <w:ind w:firstLine="567"/>
    </w:pPr>
  </w:style>
  <w:style w:type="paragraph" w:customStyle="1" w:styleId="24">
    <w:name w:val="样式8"/>
    <w:basedOn w:val="16"/>
    <w:qFormat/>
    <w:uiPriority w:val="0"/>
    <w:pPr>
      <w:tabs>
        <w:tab w:val="left" w:pos="180"/>
      </w:tabs>
      <w:spacing w:line="600" w:lineRule="exact"/>
      <w:ind w:firstLine="0" w:firstLineChars="0"/>
      <w:jc w:val="center"/>
    </w:pPr>
    <w:rPr>
      <w:rFonts w:ascii="宋体" w:eastAsia="宋体"/>
      <w:b/>
      <w:color w:val="auto"/>
      <w:szCs w:val="20"/>
    </w:rPr>
  </w:style>
  <w:style w:type="paragraph" w:customStyle="1" w:styleId="25">
    <w:name w:val="font6"/>
    <w:basedOn w:val="1"/>
    <w:next w:val="17"/>
    <w:qFormat/>
    <w:uiPriority w:val="0"/>
    <w:pPr>
      <w:widowControl/>
      <w:spacing w:before="100" w:beforeAutospacing="1" w:after="100" w:afterAutospacing="1"/>
      <w:ind w:firstLine="0" w:firstLineChars="0"/>
    </w:pPr>
    <w:rPr>
      <w:rFonts w:hint="eastAsia" w:ascii="宋体" w:hAnsi="宋体"/>
      <w:sz w:val="28"/>
      <w:szCs w:val="28"/>
    </w:rPr>
  </w:style>
  <w:style w:type="character" w:customStyle="1" w:styleId="26">
    <w:name w:val="页脚 Char"/>
    <w:link w:val="14"/>
    <w:qFormat/>
    <w:uiPriority w:val="0"/>
    <w:rPr>
      <w:rFonts w:ascii="Calibri" w:hAnsi="Calibri" w:eastAsia="微软雅黑" w:cs="宋体"/>
      <w:sz w:val="18"/>
      <w:szCs w:val="18"/>
    </w:rPr>
  </w:style>
  <w:style w:type="character" w:customStyle="1" w:styleId="27">
    <w:name w:val="页眉 Char"/>
    <w:link w:val="15"/>
    <w:qFormat/>
    <w:uiPriority w:val="0"/>
    <w:rPr>
      <w:rFonts w:ascii="Calibri" w:hAnsi="Calibri" w:eastAsia="微软雅黑" w:cs="宋体"/>
      <w:sz w:val="18"/>
      <w:szCs w:val="18"/>
    </w:rPr>
  </w:style>
  <w:style w:type="paragraph" w:customStyle="1" w:styleId="28">
    <w:name w:val="Default2"/>
    <w:next w:val="29"/>
    <w:qFormat/>
    <w:uiPriority w:val="0"/>
    <w:pPr>
      <w:widowControl w:val="0"/>
      <w:autoSpaceDE w:val="0"/>
      <w:autoSpaceDN w:val="0"/>
      <w:adjustRightInd w:val="0"/>
    </w:pPr>
    <w:rPr>
      <w:rFonts w:ascii="黑体" w:hAnsi="Times New Roman" w:eastAsia="Times New Roman" w:cs="黑体"/>
      <w:color w:val="000000"/>
      <w:sz w:val="24"/>
      <w:szCs w:val="24"/>
      <w:lang w:val="en-US" w:eastAsia="zh-TW" w:bidi="ar-SA"/>
    </w:rPr>
  </w:style>
  <w:style w:type="paragraph" w:customStyle="1" w:styleId="29">
    <w:name w:val="目录 9166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30">
    <w:name w:val="0"/>
    <w:basedOn w:val="1"/>
    <w:qFormat/>
    <w:uiPriority w:val="0"/>
    <w:pPr>
      <w:widowControl/>
      <w:snapToGrid w:val="0"/>
      <w:spacing w:line="365" w:lineRule="atLeast"/>
      <w:ind w:left="1"/>
      <w:textAlignment w:val="bottom"/>
    </w:pPr>
    <w:rPr>
      <w:rFonts w:ascii="Calibri" w:hAnsi="Calibri"/>
    </w:rPr>
  </w:style>
  <w:style w:type="paragraph" w:customStyle="1" w:styleId="31">
    <w:name w:val="表格内容"/>
    <w:basedOn w:val="1"/>
    <w:qFormat/>
    <w:uiPriority w:val="0"/>
    <w:pPr>
      <w:autoSpaceDE w:val="0"/>
      <w:autoSpaceDN w:val="0"/>
      <w:adjustRightInd w:val="0"/>
      <w:spacing w:line="360" w:lineRule="auto"/>
      <w:ind w:firstLine="0" w:firstLineChars="0"/>
      <w:jc w:val="center"/>
      <w:textAlignment w:val="baseline"/>
    </w:pPr>
    <w:rPr>
      <w:rFonts w:ascii="Calibri" w:hAnsi="Calibri"/>
      <w:color w:val="000000"/>
      <w:sz w:val="21"/>
      <w:szCs w:val="21"/>
    </w:rPr>
  </w:style>
  <w:style w:type="paragraph" w:customStyle="1" w:styleId="32">
    <w:name w:val="WPS Plain"/>
    <w:qFormat/>
    <w:uiPriority w:val="0"/>
    <w:rPr>
      <w:rFonts w:ascii="Times New Roman" w:hAnsi="Times New Roman" w:eastAsia="微软雅黑" w:cs="宋体"/>
      <w:lang w:val="en-US" w:eastAsia="zh-CN" w:bidi="ar-SA"/>
    </w:rPr>
  </w:style>
  <w:style w:type="paragraph" w:customStyle="1" w:styleId="33">
    <w:name w:val="T正文"/>
    <w:basedOn w:val="1"/>
    <w:qFormat/>
    <w:uiPriority w:val="0"/>
    <w:pPr>
      <w:spacing w:line="440" w:lineRule="exact"/>
      <w:ind w:firstLine="600"/>
      <w:jc w:val="both"/>
    </w:pPr>
    <w:rPr>
      <w:color w:val="F79646"/>
      <w:szCs w:val="24"/>
    </w:rPr>
  </w:style>
  <w:style w:type="paragraph" w:customStyle="1" w:styleId="34">
    <w:name w:val="表格五号"/>
    <w:basedOn w:val="1"/>
    <w:qFormat/>
    <w:uiPriority w:val="0"/>
    <w:pPr>
      <w:ind w:firstLine="0" w:firstLineChars="0"/>
      <w:jc w:val="center"/>
    </w:pPr>
    <w:rPr>
      <w:sz w:val="21"/>
    </w:rPr>
  </w:style>
  <w:style w:type="paragraph" w:customStyle="1" w:styleId="35">
    <w:name w:val="表字体"/>
    <w:basedOn w:val="1"/>
    <w:next w:val="1"/>
    <w:qFormat/>
    <w:uiPriority w:val="0"/>
    <w:pPr>
      <w:jc w:val="center"/>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2528</Words>
  <Characters>2686</Characters>
  <Lines>21</Lines>
  <Paragraphs>5</Paragraphs>
  <TotalTime>10</TotalTime>
  <ScaleCrop>false</ScaleCrop>
  <LinksUpToDate>false</LinksUpToDate>
  <CharactersWithSpaces>2829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2021-09-24T03:05:00Z</dcterms:created>
  <dc:creator>微软用户</dc:creator>
  <cp:lastModifiedBy>一直向前走</cp:lastModifiedBy>
  <cp:lastPrinted>2022-07-13T07:10:00Z</cp:lastPrinted>
  <dcterms:modified xsi:type="dcterms:W3CDTF">2023-01-20T01:23:17Z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D3798B9AA6DE4279A1D08B1D5162AC18</vt:lpwstr>
  </property>
</Properties>
</file>