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440" w:firstLineChars="1700"/>
        <w:jc w:val="both"/>
        <w:rPr>
          <w:rFonts w:hint="eastAsia" w:ascii="仿宋_GB2312" w:hAnsi="仿宋_GB2312" w:eastAsia="仿宋_GB2312" w:cs="仿宋_GB2312"/>
          <w:color w:val="000000"/>
          <w:sz w:val="32"/>
          <w:szCs w:val="32"/>
        </w:rPr>
      </w:pPr>
    </w:p>
    <w:p>
      <w:pPr>
        <w:spacing w:line="560" w:lineRule="exact"/>
        <w:ind w:firstLine="5440" w:firstLineChars="1700"/>
        <w:jc w:val="both"/>
        <w:rPr>
          <w:rFonts w:hint="eastAsia" w:ascii="仿宋_GB2312" w:hAnsi="仿宋_GB2312" w:eastAsia="仿宋_GB2312" w:cs="仿宋_GB2312"/>
          <w:color w:val="000000"/>
          <w:sz w:val="32"/>
          <w:szCs w:val="32"/>
        </w:rPr>
      </w:pPr>
    </w:p>
    <w:p>
      <w:pPr>
        <w:spacing w:line="560" w:lineRule="exact"/>
        <w:ind w:firstLine="5440" w:firstLineChars="1700"/>
        <w:jc w:val="both"/>
        <w:rPr>
          <w:rFonts w:hint="eastAsia" w:ascii="仿宋_GB2312" w:hAnsi="仿宋_GB2312" w:eastAsia="仿宋_GB2312" w:cs="仿宋_GB2312"/>
          <w:color w:val="000000"/>
          <w:sz w:val="32"/>
          <w:szCs w:val="32"/>
        </w:rPr>
      </w:pPr>
    </w:p>
    <w:p>
      <w:pPr>
        <w:spacing w:line="560" w:lineRule="exact"/>
        <w:ind w:firstLine="5440" w:firstLineChars="1700"/>
        <w:jc w:val="both"/>
        <w:rPr>
          <w:rFonts w:hint="eastAsia" w:ascii="仿宋_GB2312" w:hAnsi="仿宋_GB2312" w:eastAsia="仿宋_GB2312" w:cs="仿宋_GB2312"/>
          <w:color w:val="000000"/>
          <w:sz w:val="32"/>
          <w:szCs w:val="32"/>
        </w:rPr>
      </w:pPr>
    </w:p>
    <w:p>
      <w:pPr>
        <w:spacing w:line="560" w:lineRule="exact"/>
        <w:ind w:firstLine="5440" w:firstLineChars="1700"/>
        <w:jc w:val="both"/>
        <w:rPr>
          <w:rFonts w:ascii="仿宋_GB2312" w:hAnsi="仿宋_GB2312" w:eastAsia="仿宋_GB2312" w:cs="仿宋_GB2312"/>
          <w:sz w:val="32"/>
          <w:szCs w:val="32"/>
        </w:rPr>
      </w:pPr>
      <w:bookmarkStart w:id="8" w:name="_GoBack"/>
      <w:bookmarkEnd w:id="8"/>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2023</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10</w:t>
      </w:r>
      <w:r>
        <w:rPr>
          <w:rFonts w:hint="eastAsia" w:ascii="仿宋_GB2312" w:hAnsi="仿宋_GB2312" w:eastAsia="仿宋_GB2312" w:cs="仿宋_GB2312"/>
          <w:sz w:val="32"/>
          <w:szCs w:val="32"/>
        </w:rPr>
        <w:t>号</w:t>
      </w:r>
    </w:p>
    <w:p>
      <w:pPr>
        <w:spacing w:line="560" w:lineRule="exact"/>
        <w:ind w:firstLine="723"/>
        <w:jc w:val="center"/>
        <w:rPr>
          <w:rFonts w:hint="eastAsia" w:asciiTheme="majorEastAsia" w:hAnsiTheme="majorEastAsia" w:eastAsiaTheme="majorEastAsia" w:cstheme="majorEastAsia"/>
          <w:b w:val="0"/>
          <w:bCs/>
          <w:color w:val="000000"/>
          <w:sz w:val="36"/>
          <w:szCs w:val="36"/>
        </w:rPr>
      </w:pPr>
      <w:bookmarkStart w:id="0" w:name="OLE_LINK4"/>
      <w:bookmarkStart w:id="1" w:name="OLE_LINK1"/>
      <w:r>
        <w:rPr>
          <w:rFonts w:hint="eastAsia" w:asciiTheme="majorEastAsia" w:hAnsiTheme="majorEastAsia" w:eastAsiaTheme="majorEastAsia" w:cstheme="majorEastAsia"/>
          <w:b w:val="0"/>
          <w:bCs/>
          <w:color w:val="000000"/>
          <w:sz w:val="36"/>
          <w:szCs w:val="36"/>
        </w:rPr>
        <w:t>关于</w:t>
      </w:r>
      <w:bookmarkStart w:id="2" w:name="OLE_LINK6"/>
      <w:r>
        <w:rPr>
          <w:rFonts w:hint="eastAsia" w:asciiTheme="majorEastAsia" w:hAnsiTheme="majorEastAsia" w:eastAsiaTheme="majorEastAsia" w:cstheme="majorEastAsia"/>
          <w:b w:val="0"/>
          <w:bCs/>
          <w:color w:val="000000"/>
          <w:sz w:val="36"/>
          <w:szCs w:val="36"/>
        </w:rPr>
        <w:t>湖南段三期河道整治工程</w:t>
      </w:r>
      <w:bookmarkEnd w:id="2"/>
      <w:r>
        <w:rPr>
          <w:rFonts w:hint="eastAsia" w:asciiTheme="majorEastAsia" w:hAnsiTheme="majorEastAsia" w:eastAsiaTheme="majorEastAsia" w:cstheme="majorEastAsia"/>
          <w:b w:val="0"/>
          <w:bCs/>
          <w:color w:val="000000"/>
          <w:sz w:val="36"/>
          <w:szCs w:val="36"/>
        </w:rPr>
        <w:t>环境影响报告书的批</w:t>
      </w:r>
      <w:r>
        <w:rPr>
          <w:rFonts w:hint="eastAsia" w:asciiTheme="majorEastAsia" w:hAnsiTheme="majorEastAsia" w:eastAsiaTheme="majorEastAsia" w:cstheme="majorEastAsia"/>
          <w:b w:val="0"/>
          <w:bCs/>
          <w:color w:val="000000"/>
          <w:sz w:val="36"/>
          <w:szCs w:val="36"/>
          <w:lang w:val="en-US" w:eastAsia="zh-CN"/>
        </w:rPr>
        <w:t xml:space="preserve">  </w:t>
      </w:r>
      <w:r>
        <w:rPr>
          <w:rFonts w:hint="eastAsia" w:asciiTheme="majorEastAsia" w:hAnsiTheme="majorEastAsia" w:eastAsiaTheme="majorEastAsia" w:cstheme="majorEastAsia"/>
          <w:b w:val="0"/>
          <w:bCs/>
          <w:color w:val="000000"/>
          <w:sz w:val="36"/>
          <w:szCs w:val="36"/>
        </w:rPr>
        <w:t>复</w:t>
      </w:r>
    </w:p>
    <w:bookmarkEnd w:id="0"/>
    <w:bookmarkEnd w:id="1"/>
    <w:p>
      <w:pPr>
        <w:spacing w:line="560" w:lineRule="exact"/>
        <w:ind w:firstLine="22" w:firstLineChars="6"/>
        <w:jc w:val="both"/>
        <w:rPr>
          <w:rFonts w:ascii="华文中宋" w:hAnsi="华文中宋" w:eastAsia="华文中宋" w:cs="黑体"/>
          <w:b/>
          <w:color w:val="000000"/>
          <w:sz w:val="36"/>
          <w:szCs w:val="36"/>
          <w:u w:val="single"/>
        </w:rPr>
      </w:pPr>
    </w:p>
    <w:p>
      <w:pPr>
        <w:spacing w:line="560" w:lineRule="exact"/>
        <w:ind w:firstLine="19" w:firstLineChars="6"/>
        <w:jc w:val="both"/>
        <w:rPr>
          <w:rFonts w:ascii="仿宋" w:hAnsi="仿宋" w:eastAsia="仿宋"/>
          <w:kern w:val="2"/>
          <w:sz w:val="32"/>
          <w:szCs w:val="32"/>
        </w:rPr>
      </w:pPr>
      <w:r>
        <w:rPr>
          <w:rFonts w:hint="eastAsia" w:ascii="仿宋" w:hAnsi="仿宋" w:eastAsia="仿宋" w:cs="仿宋"/>
          <w:sz w:val="32"/>
          <w:szCs w:val="32"/>
        </w:rPr>
        <w:t>岳阳市长江洞庭湖水利事务中心</w:t>
      </w:r>
      <w:r>
        <w:rPr>
          <w:rFonts w:hint="eastAsia" w:ascii="仿宋" w:hAnsi="仿宋" w:eastAsia="仿宋"/>
          <w:kern w:val="2"/>
          <w:sz w:val="32"/>
          <w:szCs w:val="32"/>
        </w:rPr>
        <w:t>：</w:t>
      </w:r>
    </w:p>
    <w:p>
      <w:pPr>
        <w:spacing w:line="560" w:lineRule="exact"/>
        <w:ind w:firstLine="640"/>
        <w:jc w:val="both"/>
        <w:rPr>
          <w:rFonts w:ascii="仿宋" w:hAnsi="仿宋" w:eastAsia="仿宋" w:cs="仿宋"/>
          <w:sz w:val="32"/>
          <w:szCs w:val="32"/>
        </w:rPr>
      </w:pPr>
      <w:r>
        <w:rPr>
          <w:rFonts w:hint="eastAsia" w:ascii="仿宋" w:hAnsi="仿宋" w:eastAsia="仿宋"/>
          <w:kern w:val="2"/>
          <w:sz w:val="32"/>
          <w:szCs w:val="32"/>
        </w:rPr>
        <w:t>你公司《关于申请</w:t>
      </w:r>
      <w:r>
        <w:rPr>
          <w:rFonts w:hint="eastAsia" w:ascii="仿宋" w:hAnsi="仿宋" w:eastAsia="仿宋" w:cs="仿宋"/>
          <w:kern w:val="2"/>
          <w:sz w:val="32"/>
          <w:szCs w:val="32"/>
        </w:rPr>
        <w:t>〈</w:t>
      </w:r>
      <w:r>
        <w:rPr>
          <w:rFonts w:hint="eastAsia" w:ascii="仿宋" w:hAnsi="仿宋" w:eastAsia="仿宋" w:cs="仿宋"/>
          <w:sz w:val="32"/>
          <w:szCs w:val="32"/>
        </w:rPr>
        <w:t>湖南段三期河道整治工程环境影响报告书〉环评批复的报告</w:t>
      </w:r>
      <w:r>
        <w:rPr>
          <w:rFonts w:hint="eastAsia" w:ascii="仿宋" w:hAnsi="仿宋" w:eastAsia="仿宋"/>
          <w:kern w:val="2"/>
          <w:sz w:val="32"/>
          <w:szCs w:val="32"/>
        </w:rPr>
        <w:t>》、岳阳市生态环境事务中心《</w:t>
      </w:r>
      <w:r>
        <w:rPr>
          <w:rFonts w:hint="eastAsia" w:ascii="仿宋" w:hAnsi="仿宋" w:eastAsia="仿宋" w:cs="仿宋"/>
          <w:sz w:val="32"/>
          <w:szCs w:val="32"/>
        </w:rPr>
        <w:t>湖南段三期河道整治工程环境影响报告书</w:t>
      </w:r>
      <w:r>
        <w:rPr>
          <w:rFonts w:hint="eastAsia" w:ascii="仿宋" w:hAnsi="仿宋" w:eastAsia="仿宋"/>
          <w:kern w:val="2"/>
          <w:sz w:val="32"/>
          <w:szCs w:val="32"/>
        </w:rPr>
        <w:t>技术评估报告》（岳环事评估〔2023〕2号）、岳阳市生态环境局君山分局、城陵矶新港区分局、华容分局、临湘分局的预审意见及有关附件收悉。经研究，批复如下：</w:t>
      </w:r>
    </w:p>
    <w:p>
      <w:pPr>
        <w:spacing w:line="560" w:lineRule="exact"/>
        <w:ind w:firstLine="640"/>
        <w:jc w:val="both"/>
        <w:rPr>
          <w:rFonts w:ascii="仿宋" w:hAnsi="仿宋" w:eastAsia="仿宋" w:cs="宋体"/>
          <w:sz w:val="32"/>
          <w:szCs w:val="32"/>
        </w:rPr>
      </w:pPr>
      <w:r>
        <w:rPr>
          <w:rFonts w:hint="eastAsia" w:ascii="仿宋" w:hAnsi="仿宋" w:eastAsia="仿宋" w:cs="宋体"/>
          <w:sz w:val="32"/>
          <w:szCs w:val="32"/>
        </w:rPr>
        <w:t>一、为妥善处理三峡工程运行后水文条件变化引起的我市长江干流及重点河段河势及岸坡稳定问题，维护堤防安全，进一步稳定下荆江和岳阳河段河势，增强防洪能力，你单位拟实施湖南段三期河道整治工程。</w:t>
      </w:r>
      <w:bookmarkStart w:id="3" w:name="OLE_LINK10"/>
      <w:r>
        <w:rPr>
          <w:rFonts w:hint="eastAsia" w:ascii="仿宋" w:hAnsi="仿宋" w:eastAsia="仿宋" w:cs="宋体"/>
          <w:sz w:val="32"/>
          <w:szCs w:val="32"/>
        </w:rPr>
        <w:t>工程总投资为25356.60万元，其中环保投资381万元，主要建设内容为7个岸段的护岸工程建设，其中，下荆江河段的3段，分别为天字一号段、洪水港和张家墩段；岳阳河段的4段，分别为云溪区擂鼓台段、临湘市边洲段、临湘市新洲脑段、临湘市孙家门至大清江段。总护岸长度12.685km，护脚工程和护坡工程长度均为12.685km。护脚工程中，新护7.185km，加固5.5km。护坡工程中，新建护坡7.185km，维修护坡5.5km</w:t>
      </w:r>
      <w:bookmarkEnd w:id="3"/>
      <w:r>
        <w:rPr>
          <w:rFonts w:hint="eastAsia" w:ascii="仿宋" w:hAnsi="仿宋" w:eastAsia="仿宋" w:cs="宋体"/>
          <w:sz w:val="32"/>
          <w:szCs w:val="32"/>
        </w:rPr>
        <w:t>。</w:t>
      </w:r>
    </w:p>
    <w:p>
      <w:pPr>
        <w:spacing w:line="560" w:lineRule="exact"/>
        <w:ind w:firstLine="640"/>
        <w:jc w:val="both"/>
        <w:rPr>
          <w:rFonts w:ascii="仿宋" w:hAnsi="仿宋" w:eastAsia="仿宋" w:cs="仿宋"/>
          <w:sz w:val="32"/>
          <w:szCs w:val="32"/>
        </w:rPr>
      </w:pPr>
      <w:r>
        <w:rPr>
          <w:rFonts w:hint="eastAsia" w:ascii="仿宋" w:hAnsi="仿宋" w:eastAsia="仿宋" w:cs="宋体"/>
          <w:sz w:val="32"/>
          <w:szCs w:val="32"/>
        </w:rPr>
        <w:t>根据湖南博咨环境技术咨询服务有限公司编制的《</w:t>
      </w:r>
      <w:bookmarkStart w:id="4" w:name="OLE_LINK5"/>
      <w:r>
        <w:rPr>
          <w:rFonts w:hint="eastAsia" w:ascii="仿宋" w:hAnsi="仿宋" w:eastAsia="仿宋" w:cs="仿宋"/>
          <w:sz w:val="32"/>
          <w:szCs w:val="32"/>
        </w:rPr>
        <w:t>湖南段三期河道整治工程环境影响报告书</w:t>
      </w:r>
      <w:bookmarkEnd w:id="4"/>
      <w:r>
        <w:rPr>
          <w:rFonts w:hint="eastAsia" w:ascii="仿宋" w:hAnsi="仿宋" w:eastAsia="仿宋" w:cs="宋体"/>
          <w:sz w:val="32"/>
          <w:szCs w:val="32"/>
        </w:rPr>
        <w:t>（报批稿）》基本内容、结论、专家评审意见和岳阳市生态环境事务中心《</w:t>
      </w:r>
      <w:r>
        <w:rPr>
          <w:rFonts w:hint="eastAsia" w:ascii="仿宋" w:hAnsi="仿宋" w:eastAsia="仿宋" w:cs="仿宋"/>
          <w:sz w:val="32"/>
          <w:szCs w:val="32"/>
        </w:rPr>
        <w:t>湖南段三期河道整治工程环境影响报告书技术评估报告</w:t>
      </w:r>
      <w:r>
        <w:rPr>
          <w:rFonts w:hint="eastAsia" w:ascii="仿宋" w:hAnsi="仿宋" w:eastAsia="仿宋"/>
          <w:color w:val="000000"/>
          <w:sz w:val="32"/>
          <w:szCs w:val="32"/>
        </w:rPr>
        <w:t>》以</w:t>
      </w:r>
      <w:r>
        <w:rPr>
          <w:rFonts w:hint="eastAsia" w:ascii="仿宋" w:hAnsi="仿宋" w:eastAsia="仿宋"/>
          <w:sz w:val="32"/>
          <w:szCs w:val="32"/>
        </w:rPr>
        <w:t>及岳阳市生态环境局君山分局、城陵矶新港区分局、华容分局、临湘分局的预审意见，从环境保护角度考虑，我局原则同意你单位环境影响报告书中所列建设项目的环境影响评价结论和环境保护对策措施。</w:t>
      </w:r>
    </w:p>
    <w:p>
      <w:pPr>
        <w:spacing w:line="560" w:lineRule="exact"/>
        <w:ind w:firstLine="640"/>
        <w:jc w:val="both"/>
        <w:rPr>
          <w:rFonts w:ascii="仿宋" w:hAnsi="仿宋" w:eastAsia="仿宋"/>
          <w:kern w:val="2"/>
          <w:sz w:val="32"/>
          <w:szCs w:val="32"/>
          <w:u w:val="single"/>
        </w:rPr>
      </w:pPr>
      <w:r>
        <w:rPr>
          <w:rFonts w:hint="eastAsia" w:ascii="仿宋" w:hAnsi="仿宋" w:eastAsia="仿宋"/>
          <w:kern w:val="2"/>
          <w:sz w:val="32"/>
          <w:szCs w:val="32"/>
        </w:rPr>
        <w:t>二、</w:t>
      </w:r>
      <w:bookmarkStart w:id="5" w:name="OLE_LINK3"/>
      <w:r>
        <w:rPr>
          <w:rFonts w:hint="eastAsia" w:ascii="仿宋" w:hAnsi="仿宋" w:eastAsia="仿宋"/>
          <w:kern w:val="2"/>
          <w:sz w:val="32"/>
          <w:szCs w:val="32"/>
        </w:rPr>
        <w:t>项目建设和运营必须全面落实环境影响报告书提出的各项环保措施，并着重做好以下工作：</w:t>
      </w:r>
    </w:p>
    <w:bookmarkEnd w:id="5"/>
    <w:p>
      <w:pPr>
        <w:pStyle w:val="2"/>
        <w:spacing w:after="0" w:line="560" w:lineRule="exact"/>
        <w:ind w:firstLine="640"/>
        <w:jc w:val="both"/>
        <w:rPr>
          <w:rFonts w:ascii="仿宋" w:hAnsi="仿宋" w:eastAsia="仿宋"/>
          <w:kern w:val="2"/>
          <w:sz w:val="32"/>
          <w:szCs w:val="32"/>
        </w:rPr>
      </w:pPr>
      <w:bookmarkStart w:id="6" w:name="OLE_LINK2"/>
      <w:bookmarkEnd w:id="6"/>
      <w:bookmarkStart w:id="7" w:name="OLE_LINK11"/>
      <w:r>
        <w:rPr>
          <w:rFonts w:hint="eastAsia" w:ascii="仿宋" w:hAnsi="仿宋" w:eastAsia="仿宋"/>
          <w:kern w:val="2"/>
          <w:sz w:val="32"/>
          <w:szCs w:val="32"/>
        </w:rPr>
        <w:t>1、施工期大气污染防治措施。对施工现场进行科学管理，物料应统一堆放，尽量减少搬运环节。对作业面和土堆适当喷水，使其保持一定湿度，减少扬尘量；施工车辆运输路线应尽量选用水泥或者沥青道路，运输通过临时性道路或土路时，实施现场车辆速度控制，并对路面进行晒水湿化降尘；运输车辆应配备车轮洗刷设备，冲洗水回用于施工生产区降尘，不外排；来往于各施工场地的卡车上的多尘物料应用帆布覆盖；施工期现场设置防尘网，做好防尘工作；选用环保型施工机械、运输车辆，加强维修保养，施工机械和运输车辆尾气实现达标排放；严格执行《岳阳市建设工程施工现场扬尘防治实施细则》做到“6个100%”。施工扬尘污染物排放执行《大气污染物综合排放标准》（GB16297-1996）表2中无组织排放监控浓度限值。</w:t>
      </w:r>
    </w:p>
    <w:p>
      <w:pPr>
        <w:pStyle w:val="2"/>
        <w:spacing w:after="0" w:line="560" w:lineRule="exact"/>
        <w:ind w:firstLine="640"/>
        <w:jc w:val="both"/>
        <w:rPr>
          <w:rFonts w:ascii="仿宋" w:hAnsi="仿宋" w:eastAsia="仿宋"/>
          <w:kern w:val="2"/>
          <w:sz w:val="32"/>
          <w:szCs w:val="32"/>
        </w:rPr>
      </w:pPr>
      <w:r>
        <w:rPr>
          <w:rFonts w:hint="eastAsia" w:ascii="仿宋" w:hAnsi="仿宋" w:eastAsia="仿宋"/>
          <w:kern w:val="2"/>
          <w:sz w:val="32"/>
          <w:szCs w:val="32"/>
        </w:rPr>
        <w:t>2、施工期废水污染防治措施。对施工机械含油废水釆取隔油措施处理后用于洒水降尘和绿化，禁止排入水体。项目施工生产废水经处理后回用，回用标准参照《城市污水再生利用城市杂用水水质标准》（GB/T18920-2020）；施工船舶含油废水由海事部门认可的有资质的船舶污染物接收点接收处理；其他生活污水纳入当地污水收集、处置系统，禁止排入外环境。对可能受影响的饮用水取水口附近水下施工时，应禁止在饮用水水源保护区内布置施工生产和弃土（渣）场，并布设防污屏。加强施工期对饮用水水源保护区及各取水口上、下游的水质监测工作，建立施工水质管理应急联动机制。</w:t>
      </w:r>
    </w:p>
    <w:p>
      <w:pPr>
        <w:pStyle w:val="2"/>
        <w:spacing w:after="0" w:line="560" w:lineRule="exact"/>
        <w:ind w:firstLine="640"/>
        <w:jc w:val="both"/>
        <w:rPr>
          <w:rFonts w:ascii="仿宋" w:hAnsi="仿宋" w:eastAsia="仿宋"/>
          <w:kern w:val="2"/>
          <w:sz w:val="32"/>
          <w:szCs w:val="32"/>
        </w:rPr>
      </w:pPr>
      <w:r>
        <w:rPr>
          <w:rFonts w:hint="eastAsia" w:ascii="仿宋" w:hAnsi="仿宋" w:eastAsia="仿宋"/>
          <w:kern w:val="2"/>
          <w:sz w:val="32"/>
          <w:szCs w:val="32"/>
        </w:rPr>
        <w:t>3、施工期噪声污染防治措施。科学制定施工计划和运输方案，合理选取车辆运输时间、路线，采用低噪声设备、先进施工工艺和合适的施工方式。禁止噪声较强的机械在居民夜间、午间休息时间进行施工，减少噪声扰民。确保施工期噪声满足《建筑施工场界环境噪声排放标准》（GB12523-2011）。</w:t>
      </w:r>
    </w:p>
    <w:p>
      <w:pPr>
        <w:pStyle w:val="2"/>
        <w:spacing w:after="0" w:line="560" w:lineRule="exact"/>
        <w:ind w:firstLine="640"/>
        <w:jc w:val="both"/>
        <w:rPr>
          <w:rFonts w:ascii="仿宋" w:hAnsi="仿宋" w:eastAsia="仿宋"/>
          <w:kern w:val="2"/>
          <w:sz w:val="32"/>
          <w:szCs w:val="32"/>
        </w:rPr>
      </w:pPr>
      <w:r>
        <w:rPr>
          <w:rFonts w:ascii="仿宋" w:hAnsi="仿宋" w:eastAsia="仿宋"/>
          <w:kern w:val="2"/>
          <w:sz w:val="32"/>
          <w:szCs w:val="32"/>
        </w:rPr>
        <w:t>4</w:t>
      </w:r>
      <w:r>
        <w:rPr>
          <w:rFonts w:hint="eastAsia" w:ascii="仿宋" w:hAnsi="仿宋" w:eastAsia="仿宋"/>
          <w:kern w:val="2"/>
          <w:sz w:val="32"/>
          <w:szCs w:val="32"/>
        </w:rPr>
        <w:t>、施工期固体废物污染防治措施。施工期间将在施工工程段设置垃圾筒，生活垃圾集中收集后，进行简单分类，将有机可降解垃圾集中堆肥，其余运至附近生活垃圾填埋场处置，运营期少数管理人员生活垃圾将按照要求送至附近的垃圾收集系统后统一交由环卫部门处置。施工船舶生活垃圾收集后由具有《船舶垃圾接收作业许可证》的船舶垃圾接收单位统一进行处理。建设过程中应将弃渣及时清运，建设完成后对临时堆土场及时进行生态修复。一般工业固体废物应规范收集妥善处置，参照执行《一般工业固体废物贮存和填埋污染控制标准》（GB 18599-2020）。</w:t>
      </w:r>
    </w:p>
    <w:p>
      <w:pPr>
        <w:pStyle w:val="2"/>
        <w:spacing w:after="0" w:line="560" w:lineRule="exact"/>
        <w:ind w:firstLine="640"/>
        <w:jc w:val="both"/>
        <w:rPr>
          <w:rFonts w:ascii="仿宋" w:hAnsi="仿宋" w:eastAsia="仿宋"/>
          <w:kern w:val="2"/>
          <w:sz w:val="32"/>
          <w:szCs w:val="32"/>
        </w:rPr>
      </w:pPr>
      <w:r>
        <w:rPr>
          <w:rFonts w:hint="eastAsia" w:ascii="仿宋" w:hAnsi="仿宋" w:eastAsia="仿宋"/>
          <w:kern w:val="2"/>
          <w:sz w:val="32"/>
          <w:szCs w:val="32"/>
        </w:rPr>
        <w:t>5、生态环境保护措施：严格落实环评报告书及其水产种质资源保护区影响专题论证报告、生物多样性影响调查报告所提出的生态保护措施;优化施工设计和施工布局，严格控制施工范围，最大限度减少临时占地,生态敏感保护区范围内不得设置弃渣场、施工生产生活区和新建施工临时便道等;优化施工方案，合理安排施工时间，避开洞庭湖鸟类迁徙和长江鱼类等水生生物繁殖期,尽量缩短施工作业时间;加强施工期环境管理,强化施工人员生态环境保护意识，加强施工期鱼类、豚类等水生生物保护，落实生态补偿措施,加强陆域生态保护和水土流失防治措施，按照水行政部门批复的水土保持方案，做好区域水土保持工作、防止水土流失。</w:t>
      </w:r>
    </w:p>
    <w:bookmarkEnd w:id="7"/>
    <w:p>
      <w:pPr>
        <w:pStyle w:val="2"/>
        <w:spacing w:after="0" w:line="560" w:lineRule="exact"/>
        <w:ind w:firstLine="640"/>
        <w:jc w:val="both"/>
        <w:rPr>
          <w:rFonts w:ascii="仿宋" w:hAnsi="仿宋" w:eastAsia="仿宋"/>
          <w:sz w:val="32"/>
          <w:szCs w:val="32"/>
          <w:u w:val="single"/>
        </w:rPr>
      </w:pPr>
      <w:r>
        <w:rPr>
          <w:rFonts w:hint="eastAsia" w:ascii="仿宋" w:hAnsi="仿宋" w:eastAsia="仿宋"/>
          <w:sz w:val="32"/>
          <w:szCs w:val="32"/>
        </w:rPr>
        <w:t>三、你公司应收到本批复后15个工作日内，将批复及批准的环评报告文件送岳阳市生态环境局君山分局、城陵矶新港区分局、华容分局、临湘分局、湖南博咨环境技术咨询服务有限公司。</w:t>
      </w:r>
    </w:p>
    <w:p>
      <w:pPr>
        <w:pStyle w:val="2"/>
        <w:spacing w:after="0" w:line="560" w:lineRule="exact"/>
        <w:ind w:firstLine="640"/>
        <w:jc w:val="both"/>
        <w:rPr>
          <w:rFonts w:ascii="仿宋" w:hAnsi="仿宋" w:eastAsia="仿宋" w:cs="_4eff_5b8b_GB2312"/>
          <w:bCs/>
          <w:color w:val="000000"/>
          <w:sz w:val="32"/>
          <w:szCs w:val="32"/>
        </w:rPr>
      </w:pPr>
      <w:r>
        <w:rPr>
          <w:rFonts w:hint="eastAsia" w:ascii="仿宋" w:hAnsi="仿宋" w:eastAsia="仿宋"/>
          <w:sz w:val="32"/>
          <w:szCs w:val="32"/>
        </w:rPr>
        <w:t>四、请岳阳市生态环境局君山分局、城陵矶新港区分局、华容分局、临湘分局负责属地范围内项目建设和运营期的日常环境监管。</w:t>
      </w:r>
    </w:p>
    <w:p>
      <w:pPr>
        <w:pStyle w:val="2"/>
        <w:spacing w:after="0" w:line="560" w:lineRule="exact"/>
        <w:ind w:firstLine="640"/>
        <w:jc w:val="both"/>
        <w:rPr>
          <w:rFonts w:ascii="仿宋" w:hAnsi="仿宋" w:eastAsia="仿宋"/>
          <w:sz w:val="32"/>
          <w:szCs w:val="32"/>
        </w:rPr>
      </w:pPr>
      <w:r>
        <w:rPr>
          <w:rFonts w:hint="eastAsia" w:ascii="仿宋" w:hAnsi="仿宋" w:eastAsia="仿宋"/>
          <w:sz w:val="32"/>
          <w:szCs w:val="32"/>
        </w:rPr>
        <w:t xml:space="preserve">                        岳阳市生态环境局</w:t>
      </w:r>
    </w:p>
    <w:p>
      <w:pPr>
        <w:pStyle w:val="2"/>
        <w:spacing w:after="0" w:line="560" w:lineRule="exact"/>
        <w:ind w:firstLine="640"/>
        <w:jc w:val="both"/>
        <w:rPr>
          <w:rFonts w:ascii="仿宋" w:hAnsi="仿宋" w:eastAsia="仿宋"/>
          <w:sz w:val="32"/>
          <w:szCs w:val="32"/>
        </w:rPr>
      </w:pPr>
      <w:r>
        <w:rPr>
          <w:rFonts w:hint="eastAsia" w:ascii="仿宋" w:hAnsi="仿宋" w:eastAsia="仿宋"/>
          <w:sz w:val="32"/>
          <w:szCs w:val="32"/>
        </w:rPr>
        <w:t xml:space="preserve">                         2023年 1月</w:t>
      </w:r>
      <w:r>
        <w:rPr>
          <w:rFonts w:hint="eastAsia" w:ascii="仿宋" w:hAnsi="仿宋" w:eastAsia="仿宋"/>
          <w:sz w:val="32"/>
          <w:szCs w:val="32"/>
          <w:lang w:val="en-US" w:eastAsia="zh-CN"/>
        </w:rPr>
        <w:t>20</w:t>
      </w:r>
      <w:r>
        <w:rPr>
          <w:rFonts w:hint="eastAsia" w:ascii="仿宋" w:hAnsi="仿宋" w:eastAsia="仿宋"/>
          <w:sz w:val="32"/>
          <w:szCs w:val="32"/>
        </w:rPr>
        <w:t>日</w:t>
      </w:r>
    </w:p>
    <w:p>
      <w:pPr>
        <w:ind w:firstLine="4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mQ5NDQxNzExMTNkYWJkYzI5YTMyM2M4MWY1NzkifQ=="/>
  </w:docVars>
  <w:rsids>
    <w:rsidRoot w:val="008D5FAF"/>
    <w:rsid w:val="001D21F4"/>
    <w:rsid w:val="00205C19"/>
    <w:rsid w:val="002A4D81"/>
    <w:rsid w:val="00303C86"/>
    <w:rsid w:val="003260BB"/>
    <w:rsid w:val="0035503B"/>
    <w:rsid w:val="00395050"/>
    <w:rsid w:val="00443475"/>
    <w:rsid w:val="004B2093"/>
    <w:rsid w:val="004C23BA"/>
    <w:rsid w:val="00503903"/>
    <w:rsid w:val="00613A01"/>
    <w:rsid w:val="00690988"/>
    <w:rsid w:val="006B661E"/>
    <w:rsid w:val="006F1B60"/>
    <w:rsid w:val="00733B47"/>
    <w:rsid w:val="00771C45"/>
    <w:rsid w:val="00856644"/>
    <w:rsid w:val="008B237D"/>
    <w:rsid w:val="008D5FAF"/>
    <w:rsid w:val="0091322E"/>
    <w:rsid w:val="00937183"/>
    <w:rsid w:val="00960BE9"/>
    <w:rsid w:val="00990E39"/>
    <w:rsid w:val="009E1083"/>
    <w:rsid w:val="00AC480A"/>
    <w:rsid w:val="00AF2E55"/>
    <w:rsid w:val="00C01A9F"/>
    <w:rsid w:val="00C20B1E"/>
    <w:rsid w:val="00C86D35"/>
    <w:rsid w:val="00CA7E2D"/>
    <w:rsid w:val="00CD4FB4"/>
    <w:rsid w:val="00D73DEC"/>
    <w:rsid w:val="00DB082B"/>
    <w:rsid w:val="00E62CE8"/>
    <w:rsid w:val="00EB1C61"/>
    <w:rsid w:val="00FA05B7"/>
    <w:rsid w:val="00FF77A4"/>
    <w:rsid w:val="419D440B"/>
    <w:rsid w:val="63DF4596"/>
    <w:rsid w:val="6677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
    <w:qFormat/>
    <w:uiPriority w:val="0"/>
    <w:pPr>
      <w:spacing w:after="120"/>
    </w:pPr>
  </w:style>
  <w:style w:type="paragraph" w:styleId="3">
    <w:name w:val="footer"/>
    <w:basedOn w:val="1"/>
    <w:link w:val="8"/>
    <w:unhideWhenUsed/>
    <w:uiPriority w:val="99"/>
    <w:pPr>
      <w:tabs>
        <w:tab w:val="center" w:pos="4153"/>
        <w:tab w:val="right" w:pos="8306"/>
      </w:tabs>
      <w:snapToGrid w:val="0"/>
      <w:ind w:firstLine="0" w:firstLineChars="0"/>
    </w:pPr>
    <w:rPr>
      <w:rFonts w:asciiTheme="minorHAnsi" w:hAnsiTheme="minorHAnsi" w:eastAsiaTheme="minorEastAsia" w:cstheme="minorBidi"/>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kern w:val="2"/>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 Char"/>
    <w:basedOn w:val="6"/>
    <w:link w:val="2"/>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2062</Words>
  <Characters>2165</Characters>
  <Lines>45</Lines>
  <Paragraphs>8</Paragraphs>
  <TotalTime>187</TotalTime>
  <ScaleCrop>false</ScaleCrop>
  <LinksUpToDate>false</LinksUpToDate>
  <CharactersWithSpaces>2218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2023-01-13T03:40:00Z</dcterms:created>
  <dc:creator>贺鹏</dc:creator>
  <cp:lastModifiedBy>一直向前走</cp:lastModifiedBy>
  <cp:lastPrinted>2023-01-20T01:54:19Z</cp:lastPrinted>
  <dcterms:modified xsi:type="dcterms:W3CDTF">2023-01-20T01:54:43Z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9E8A68AE97A745A9BA49BECF08F590DA</vt:lpwstr>
  </property>
</Properties>
</file>