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r>
        <w:rPr>
          <w:rFonts w:hint="eastAsia" w:eastAsia="黑体"/>
          <w:b/>
          <w:kern w:val="2"/>
          <w:sz w:val="36"/>
        </w:rPr>
        <w:t xml:space="preserve">              </w:t>
      </w:r>
    </w:p>
    <w:p>
      <w:pPr>
        <w:pStyle w:val="33"/>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p>
    <w:p>
      <w:pPr>
        <w:pStyle w:val="33"/>
        <w:keepNext w:val="0"/>
        <w:keepLines w:val="0"/>
        <w:pageBreakBefore w:val="0"/>
        <w:widowControl/>
        <w:kinsoku/>
        <w:wordWrap/>
        <w:overflowPunct/>
        <w:topLinePunct w:val="0"/>
        <w:autoSpaceDE/>
        <w:autoSpaceDN/>
        <w:bidi w:val="0"/>
        <w:adjustRightInd/>
        <w:snapToGrid/>
        <w:spacing w:line="500" w:lineRule="exact"/>
        <w:textAlignment w:val="top"/>
        <w:rPr>
          <w:rFonts w:hint="eastAsia" w:ascii="宋体" w:hAnsi="宋体" w:eastAsia="宋体" w:cs="宋体"/>
          <w:b w:val="0"/>
          <w:bCs/>
          <w:kern w:val="2"/>
          <w:sz w:val="36"/>
        </w:rPr>
      </w:pPr>
    </w:p>
    <w:p>
      <w:pPr>
        <w:pStyle w:val="33"/>
        <w:keepNext w:val="0"/>
        <w:keepLines w:val="0"/>
        <w:pageBreakBefore w:val="0"/>
        <w:widowControl/>
        <w:kinsoku/>
        <w:wordWrap/>
        <w:overflowPunct/>
        <w:topLinePunct w:val="0"/>
        <w:autoSpaceDE/>
        <w:autoSpaceDN/>
        <w:bidi w:val="0"/>
        <w:adjustRightInd/>
        <w:snapToGrid/>
        <w:spacing w:line="660" w:lineRule="exact"/>
        <w:textAlignment w:val="top"/>
        <w:rPr>
          <w:rFonts w:hint="eastAsia" w:eastAsia="黑体"/>
          <w:b/>
          <w:kern w:val="2"/>
          <w:sz w:val="21"/>
          <w:szCs w:val="21"/>
        </w:rPr>
      </w:pPr>
      <w:r>
        <w:rPr>
          <w:rFonts w:hint="eastAsia" w:eastAsia="黑体"/>
          <w:b/>
          <w:kern w:val="2"/>
          <w:sz w:val="36"/>
        </w:rPr>
        <w:t xml:space="preserve">     </w:t>
      </w:r>
    </w:p>
    <w:p>
      <w:pPr>
        <w:spacing w:line="480" w:lineRule="exact"/>
        <w:ind w:left="300" w:hanging="300" w:hangingChars="100"/>
        <w:jc w:val="right"/>
        <w:rPr>
          <w:rFonts w:hint="eastAsia" w:ascii="仿宋_GB2312" w:hAnsi="仿宋_GB2312" w:eastAsia="仿宋_GB2312" w:cs="仿宋_GB2312"/>
          <w:color w:val="000000"/>
          <w:sz w:val="32"/>
          <w:szCs w:val="32"/>
        </w:rPr>
      </w:pPr>
      <w:r>
        <w:rPr>
          <w:rFonts w:hint="eastAsia" w:eastAsia="楷体_GB2312"/>
          <w:color w:val="FF0000"/>
          <w:sz w:val="30"/>
          <w:szCs w:val="30"/>
        </w:rPr>
        <w:t xml:space="preserve">                                    </w:t>
      </w:r>
      <w:r>
        <w:rPr>
          <w:rFonts w:hint="eastAsia" w:ascii="仿宋_GB2312" w:hAnsi="仿宋_GB2312" w:eastAsia="仿宋_GB2312" w:cs="仿宋_GB2312"/>
          <w:color w:val="000000"/>
          <w:sz w:val="32"/>
          <w:szCs w:val="32"/>
        </w:rPr>
        <w:t>岳环评</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69</w:t>
      </w:r>
      <w:r>
        <w:rPr>
          <w:rFonts w:hint="eastAsia" w:ascii="仿宋_GB2312" w:hAnsi="仿宋_GB2312" w:eastAsia="仿宋_GB2312" w:cs="仿宋_GB2312"/>
          <w:color w:val="000000"/>
          <w:sz w:val="32"/>
          <w:szCs w:val="32"/>
        </w:rPr>
        <w:t>号</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r>
        <w:rPr>
          <w:rFonts w:hint="eastAsia" w:ascii="华文中宋" w:hAnsi="华文中宋" w:eastAsia="华文中宋" w:cs="黑体"/>
          <w:b/>
          <w:color w:val="000000"/>
          <w:sz w:val="36"/>
          <w:szCs w:val="36"/>
        </w:rPr>
        <w:t>关于</w:t>
      </w:r>
      <w:r>
        <w:rPr>
          <w:rFonts w:hint="eastAsia" w:ascii="华文中宋" w:hAnsi="华文中宋" w:eastAsia="华文中宋" w:cs="黑体"/>
          <w:b/>
          <w:color w:val="000000"/>
          <w:sz w:val="36"/>
          <w:szCs w:val="36"/>
          <w:lang w:val="en-US" w:eastAsia="zh-CN"/>
        </w:rPr>
        <w:t>岳阳兴长石化股份有限公司0.5万吨/年废酸综合利用项目</w:t>
      </w:r>
      <w:r>
        <w:rPr>
          <w:rFonts w:hint="eastAsia" w:ascii="华文中宋" w:hAnsi="华文中宋" w:eastAsia="华文中宋" w:cs="黑体"/>
          <w:b/>
          <w:color w:val="000000"/>
          <w:sz w:val="36"/>
          <w:szCs w:val="36"/>
        </w:rPr>
        <w:t>环境影响报</w:t>
      </w:r>
      <w:r>
        <w:rPr>
          <w:rFonts w:hint="eastAsia" w:ascii="华文中宋" w:hAnsi="华文中宋" w:eastAsia="华文中宋" w:cs="黑体"/>
          <w:b/>
          <w:color w:val="000000"/>
          <w:sz w:val="36"/>
          <w:szCs w:val="36"/>
          <w:lang w:val="en-US" w:eastAsia="zh-CN"/>
        </w:rPr>
        <w:t>告</w:t>
      </w:r>
      <w:r>
        <w:rPr>
          <w:rFonts w:hint="eastAsia" w:ascii="华文中宋" w:hAnsi="华文中宋" w:eastAsia="华文中宋" w:cs="黑体"/>
          <w:b/>
          <w:color w:val="000000"/>
          <w:sz w:val="36"/>
          <w:szCs w:val="36"/>
        </w:rPr>
        <w:t>书的批复</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p>
    <w:p>
      <w:pPr>
        <w:keepNext w:val="0"/>
        <w:keepLines w:val="0"/>
        <w:pageBreakBefore w:val="0"/>
        <w:widowControl w:val="0"/>
        <w:kinsoku/>
        <w:wordWrap/>
        <w:overflowPunct/>
        <w:topLinePunct w:val="0"/>
        <w:autoSpaceDE/>
        <w:autoSpaceDN/>
        <w:bidi w:val="0"/>
        <w:adjustRightInd/>
        <w:snapToGrid/>
        <w:spacing w:line="508" w:lineRule="exact"/>
        <w:ind w:left="0" w:leftChars="0" w:firstLine="0" w:firstLineChars="0"/>
        <w:textAlignment w:val="auto"/>
        <w:rPr>
          <w:rFonts w:hint="eastAsia" w:ascii="仿宋" w:hAnsi="仿宋" w:eastAsia="仿宋" w:cs="Times New Roman"/>
          <w:color w:val="000000"/>
          <w:sz w:val="32"/>
          <w:szCs w:val="32"/>
          <w:u w:val="single"/>
          <w:lang w:val="en-US" w:eastAsia="zh-CN"/>
        </w:rPr>
      </w:pPr>
      <w:r>
        <w:rPr>
          <w:rFonts w:hint="eastAsia" w:ascii="仿宋" w:hAnsi="仿宋" w:eastAsia="仿宋" w:cs="Times New Roman"/>
          <w:color w:val="000000"/>
          <w:sz w:val="32"/>
          <w:szCs w:val="32"/>
          <w:u w:val="none"/>
          <w:lang w:val="en-US" w:eastAsia="zh-CN"/>
        </w:rPr>
        <w:t>岳阳兴长石化股份有限公司：</w:t>
      </w:r>
    </w:p>
    <w:p>
      <w:pPr>
        <w:keepNext w:val="0"/>
        <w:keepLines w:val="0"/>
        <w:pageBreakBefore w:val="0"/>
        <w:widowControl w:val="0"/>
        <w:kinsoku/>
        <w:wordWrap/>
        <w:overflowPunct/>
        <w:topLinePunct w:val="0"/>
        <w:autoSpaceDE/>
        <w:autoSpaceDN/>
        <w:bidi w:val="0"/>
        <w:adjustRightInd/>
        <w:snapToGrid/>
        <w:spacing w:line="508" w:lineRule="exact"/>
        <w:ind w:left="0" w:leftChars="0" w:firstLine="640" w:firstLineChars="200"/>
        <w:textAlignment w:val="auto"/>
        <w:rPr>
          <w:rFonts w:hint="eastAsia" w:ascii="仿宋" w:hAnsi="仿宋" w:eastAsia="仿宋" w:cs="Times New Roman"/>
          <w:color w:val="000000"/>
          <w:sz w:val="32"/>
          <w:szCs w:val="32"/>
          <w:u w:val="none"/>
          <w:lang w:val="en-US" w:eastAsia="zh-CN"/>
        </w:rPr>
      </w:pPr>
      <w:r>
        <w:rPr>
          <w:rFonts w:hint="eastAsia" w:ascii="仿宋" w:hAnsi="仿宋" w:eastAsia="仿宋" w:cs="Times New Roman"/>
          <w:color w:val="000000"/>
          <w:sz w:val="32"/>
          <w:szCs w:val="32"/>
          <w:u w:val="none"/>
          <w:lang w:val="en-US" w:eastAsia="zh-CN"/>
        </w:rPr>
        <w:t>你公司《关于〈岳阳兴长石化股份有限公司0.5万吨/年废酸综合利用项目〉申请批复的请示》，岳阳市生态环境事务中心《岳阳兴长石化股份有限公司0.5万吨/年废酸综合利用项目环境影响报告书技术评估报告》（岳环事评估〔2022〕43号）、岳阳市生态环境局云溪分局的预审意见及有关附件收悉。经研究，批复如下：</w:t>
      </w:r>
    </w:p>
    <w:p>
      <w:pPr>
        <w:pStyle w:val="40"/>
        <w:keepNext w:val="0"/>
        <w:keepLines w:val="0"/>
        <w:pageBreakBefore w:val="0"/>
        <w:kinsoku/>
        <w:wordWrap/>
        <w:overflowPunct/>
        <w:topLinePunct w:val="0"/>
        <w:autoSpaceDN/>
        <w:bidi w:val="0"/>
        <w:adjustRightInd/>
        <w:snapToGrid/>
        <w:spacing w:line="508" w:lineRule="exact"/>
        <w:jc w:val="left"/>
        <w:textAlignment w:val="auto"/>
        <w:rPr>
          <w:rFonts w:hint="eastAsia" w:ascii="仿宋" w:hAnsi="仿宋" w:eastAsia="仿宋" w:cs="Times New Roman"/>
          <w:color w:val="000000"/>
          <w:sz w:val="32"/>
          <w:szCs w:val="32"/>
          <w:u w:val="none"/>
          <w:lang w:val="en-US" w:eastAsia="zh-CN"/>
        </w:rPr>
      </w:pPr>
      <w:r>
        <w:rPr>
          <w:rFonts w:hint="eastAsia" w:ascii="仿宋" w:hAnsi="仿宋" w:eastAsia="仿宋" w:cs="Times New Roman"/>
          <w:color w:val="000000"/>
          <w:sz w:val="32"/>
          <w:szCs w:val="32"/>
          <w:u w:val="none"/>
          <w:lang w:val="en-US" w:eastAsia="zh-CN"/>
        </w:rPr>
        <w:t xml:space="preserve">  </w:t>
      </w:r>
      <w:r>
        <w:rPr>
          <w:rFonts w:hint="default" w:ascii="仿宋" w:hAnsi="仿宋" w:eastAsia="仿宋" w:cs="Times New Roman"/>
          <w:color w:val="000000"/>
          <w:sz w:val="32"/>
          <w:szCs w:val="32"/>
          <w:u w:val="none"/>
          <w:lang w:eastAsia="zh-CN"/>
        </w:rPr>
        <w:t xml:space="preserve">  </w:t>
      </w:r>
      <w:r>
        <w:rPr>
          <w:rFonts w:hint="eastAsia" w:ascii="仿宋" w:hAnsi="仿宋" w:eastAsia="仿宋" w:cs="Times New Roman"/>
          <w:color w:val="000000"/>
          <w:sz w:val="32"/>
          <w:szCs w:val="32"/>
          <w:u w:val="none"/>
          <w:lang w:val="en-US" w:eastAsia="zh-CN"/>
        </w:rPr>
        <w:t>一、岳阳兴长石化股份有限公司位</w:t>
      </w:r>
      <w:r>
        <w:rPr>
          <w:rFonts w:hint="eastAsia" w:ascii="仿宋" w:hAnsi="仿宋" w:eastAsia="仿宋" w:cs="仿宋"/>
          <w:color w:val="auto"/>
          <w:sz w:val="32"/>
          <w:szCs w:val="32"/>
          <w:highlight w:val="none"/>
        </w:rPr>
        <w:t>于湖南岳阳绿色化工产业园长岭片区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公司现有</w:t>
      </w:r>
      <w:r>
        <w:rPr>
          <w:rFonts w:hint="eastAsia" w:ascii="仿宋" w:hAnsi="仿宋" w:eastAsia="仿宋" w:cs="仿宋"/>
          <w:color w:val="auto"/>
          <w:sz w:val="32"/>
          <w:szCs w:val="32"/>
          <w:highlight w:val="none"/>
        </w:rPr>
        <w:t>20万吨/年烷基化装置及配套工</w:t>
      </w:r>
      <w:r>
        <w:rPr>
          <w:rFonts w:hint="eastAsia" w:ascii="仿宋" w:hAnsi="仿宋" w:eastAsia="仿宋" w:cs="仿宋"/>
          <w:color w:val="auto"/>
          <w:sz w:val="32"/>
          <w:szCs w:val="32"/>
          <w:highlight w:val="none"/>
          <w:u w:val="none"/>
        </w:rPr>
        <w:t>程</w:t>
      </w:r>
      <w:r>
        <w:rPr>
          <w:rFonts w:hint="eastAsia" w:ascii="仿宋" w:hAnsi="仿宋" w:eastAsia="仿宋" w:cs="仿宋"/>
          <w:color w:val="auto"/>
          <w:sz w:val="32"/>
          <w:szCs w:val="32"/>
          <w:highlight w:val="none"/>
          <w:u w:val="none"/>
          <w:lang w:val="en-US" w:eastAsia="zh-CN"/>
        </w:rPr>
        <w:t>于</w:t>
      </w:r>
      <w:r>
        <w:rPr>
          <w:rFonts w:hint="eastAsia" w:ascii="仿宋" w:hAnsi="仿宋" w:eastAsia="仿宋" w:cs="仿宋"/>
          <w:color w:val="auto"/>
          <w:sz w:val="32"/>
          <w:szCs w:val="32"/>
          <w:highlight w:val="none"/>
          <w:lang w:val="en-US" w:eastAsia="zh-CN"/>
        </w:rPr>
        <w:t>2022年8月完成自主验收。其中</w:t>
      </w:r>
      <w:r>
        <w:rPr>
          <w:rFonts w:hint="eastAsia" w:ascii="仿宋" w:hAnsi="仿宋" w:eastAsia="仿宋" w:cs="仿宋"/>
          <w:color w:val="auto"/>
          <w:sz w:val="32"/>
          <w:szCs w:val="32"/>
          <w:highlight w:val="none"/>
        </w:rPr>
        <w:t>烷基化装置配套硫酸回收单元</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lang w:eastAsia="zh-CN"/>
        </w:rPr>
        <w:t>焚烧裂解炉设计废酸处理能力</w:t>
      </w:r>
      <w:r>
        <w:rPr>
          <w:rFonts w:hint="eastAsia" w:ascii="仿宋" w:hAnsi="仿宋" w:eastAsia="仿宋" w:cs="仿宋"/>
          <w:color w:val="auto"/>
          <w:sz w:val="32"/>
          <w:szCs w:val="32"/>
          <w:highlight w:val="none"/>
        </w:rPr>
        <w:t>2万吨/年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根据企业实际运行情况，现</w:t>
      </w:r>
      <w:r>
        <w:rPr>
          <w:rFonts w:hint="eastAsia" w:ascii="仿宋" w:hAnsi="仿宋" w:eastAsia="仿宋" w:cs="仿宋"/>
          <w:color w:val="auto"/>
          <w:sz w:val="32"/>
          <w:szCs w:val="32"/>
          <w:highlight w:val="none"/>
        </w:rPr>
        <w:t>硫酸回收单元</w:t>
      </w:r>
      <w:r>
        <w:rPr>
          <w:rFonts w:hint="eastAsia" w:ascii="仿宋" w:hAnsi="仿宋" w:eastAsia="仿宋" w:cs="仿宋"/>
          <w:color w:val="auto"/>
          <w:sz w:val="32"/>
          <w:szCs w:val="32"/>
          <w:highlight w:val="none"/>
          <w:lang w:eastAsia="zh-CN"/>
        </w:rPr>
        <w:t>尚有废酸处理</w:t>
      </w:r>
      <w:r>
        <w:rPr>
          <w:rFonts w:hint="eastAsia" w:ascii="仿宋" w:hAnsi="仿宋" w:eastAsia="仿宋" w:cs="仿宋"/>
          <w:color w:val="auto"/>
          <w:sz w:val="32"/>
          <w:szCs w:val="32"/>
          <w:highlight w:val="none"/>
        </w:rPr>
        <w:t>能力0.5万吨/年剩余。</w:t>
      </w:r>
      <w:r>
        <w:rPr>
          <w:rFonts w:hint="eastAsia" w:ascii="仿宋" w:hAnsi="仿宋" w:eastAsia="仿宋" w:cs="仿宋"/>
          <w:color w:val="auto"/>
          <w:sz w:val="32"/>
          <w:szCs w:val="32"/>
          <w:highlight w:val="none"/>
          <w:lang w:val="en-US" w:eastAsia="zh-CN"/>
        </w:rPr>
        <w:t>为</w:t>
      </w:r>
      <w:r>
        <w:rPr>
          <w:rFonts w:hint="eastAsia" w:ascii="仿宋" w:hAnsi="仿宋" w:eastAsia="仿宋" w:cs="仿宋"/>
          <w:color w:val="auto"/>
          <w:spacing w:val="-6"/>
          <w:sz w:val="32"/>
          <w:szCs w:val="32"/>
          <w:highlight w:val="none"/>
          <w:lang w:eastAsia="zh-CN"/>
        </w:rPr>
        <w:t>利用闲置产能，</w:t>
      </w:r>
      <w:r>
        <w:rPr>
          <w:rFonts w:hint="eastAsia" w:ascii="仿宋" w:hAnsi="仿宋" w:eastAsia="仿宋" w:cs="仿宋"/>
          <w:color w:val="auto"/>
          <w:spacing w:val="-6"/>
          <w:sz w:val="32"/>
          <w:szCs w:val="32"/>
          <w:highlight w:val="none"/>
        </w:rPr>
        <w:t>实现资源的优化利用</w:t>
      </w:r>
      <w:r>
        <w:rPr>
          <w:rFonts w:hint="eastAsia" w:ascii="仿宋" w:hAnsi="仿宋" w:eastAsia="仿宋" w:cs="仿宋"/>
          <w:color w:val="auto"/>
          <w:spacing w:val="-6"/>
          <w:sz w:val="32"/>
          <w:szCs w:val="32"/>
          <w:highlight w:val="none"/>
          <w:lang w:eastAsia="zh-CN"/>
        </w:rPr>
        <w:t>，充分发挥硫酸回收单元的经济、环保效益</w:t>
      </w: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6"/>
          <w:sz w:val="32"/>
          <w:szCs w:val="32"/>
          <w:highlight w:val="none"/>
          <w:lang w:val="en-US" w:eastAsia="zh-CN"/>
        </w:rPr>
        <w:t>公司</w:t>
      </w:r>
      <w:r>
        <w:rPr>
          <w:rFonts w:hint="eastAsia" w:ascii="仿宋" w:hAnsi="仿宋" w:eastAsia="仿宋" w:cs="仿宋"/>
          <w:color w:val="auto"/>
          <w:spacing w:val="-6"/>
          <w:sz w:val="32"/>
          <w:szCs w:val="32"/>
          <w:highlight w:val="none"/>
        </w:rPr>
        <w:t>拟投资</w:t>
      </w:r>
      <w:r>
        <w:rPr>
          <w:rFonts w:hint="eastAsia" w:ascii="仿宋" w:hAnsi="仿宋" w:eastAsia="仿宋" w:cs="仿宋"/>
          <w:color w:val="auto"/>
          <w:spacing w:val="-6"/>
          <w:sz w:val="32"/>
          <w:szCs w:val="32"/>
          <w:highlight w:val="none"/>
          <w:lang w:val="en-US" w:eastAsia="zh-CN"/>
        </w:rPr>
        <w:t>28</w:t>
      </w:r>
      <w:r>
        <w:rPr>
          <w:rFonts w:hint="eastAsia" w:ascii="仿宋" w:hAnsi="仿宋" w:eastAsia="仿宋" w:cs="仿宋"/>
          <w:color w:val="auto"/>
          <w:spacing w:val="-6"/>
          <w:sz w:val="32"/>
          <w:szCs w:val="32"/>
          <w:highlight w:val="none"/>
        </w:rPr>
        <w:t>0万元</w:t>
      </w:r>
      <w:r>
        <w:rPr>
          <w:rFonts w:hint="eastAsia" w:ascii="仿宋" w:hAnsi="仿宋" w:eastAsia="仿宋" w:cs="仿宋"/>
          <w:color w:val="auto"/>
          <w:spacing w:val="-6"/>
          <w:sz w:val="32"/>
          <w:szCs w:val="32"/>
          <w:highlight w:val="none"/>
          <w:lang w:val="en-US" w:eastAsia="zh-CN"/>
        </w:rPr>
        <w:t>在现有厂区内</w:t>
      </w:r>
      <w:r>
        <w:rPr>
          <w:rFonts w:hint="eastAsia" w:ascii="仿宋" w:hAnsi="仿宋" w:eastAsia="仿宋" w:cs="仿宋"/>
          <w:color w:val="auto"/>
          <w:spacing w:val="-6"/>
          <w:sz w:val="32"/>
          <w:szCs w:val="32"/>
          <w:highlight w:val="none"/>
        </w:rPr>
        <w:t>实施废酸综合利用项目</w:t>
      </w:r>
      <w:r>
        <w:rPr>
          <w:rFonts w:hint="eastAsia" w:ascii="仿宋" w:hAnsi="仿宋" w:eastAsia="仿宋" w:cs="仿宋"/>
          <w:color w:val="auto"/>
          <w:spacing w:val="-6"/>
          <w:sz w:val="32"/>
          <w:szCs w:val="32"/>
          <w:highlight w:val="none"/>
          <w:u w:val="none"/>
          <w:lang w:eastAsia="zh-CN"/>
        </w:rPr>
        <w:t>，</w:t>
      </w:r>
      <w:r>
        <w:rPr>
          <w:rFonts w:hint="eastAsia" w:ascii="仿宋" w:hAnsi="仿宋" w:eastAsia="仿宋" w:cs="仿宋"/>
          <w:color w:val="auto"/>
          <w:spacing w:val="-6"/>
          <w:sz w:val="32"/>
          <w:szCs w:val="32"/>
          <w:highlight w:val="none"/>
          <w:u w:val="none"/>
          <w:lang w:val="en-US" w:eastAsia="zh-CN"/>
        </w:rPr>
        <w:t>回收利用</w:t>
      </w:r>
      <w:r>
        <w:rPr>
          <w:rFonts w:hint="eastAsia" w:ascii="仿宋" w:hAnsi="仿宋" w:eastAsia="仿宋" w:cs="仿宋"/>
          <w:color w:val="auto"/>
          <w:spacing w:val="-6"/>
          <w:sz w:val="32"/>
          <w:szCs w:val="32"/>
          <w:highlight w:val="none"/>
          <w:u w:val="none"/>
        </w:rPr>
        <w:t>附近相关企业</w:t>
      </w:r>
      <w:r>
        <w:rPr>
          <w:rFonts w:hint="eastAsia" w:ascii="仿宋" w:hAnsi="仿宋" w:eastAsia="仿宋" w:cs="仿宋"/>
          <w:color w:val="auto"/>
          <w:spacing w:val="-6"/>
          <w:sz w:val="32"/>
          <w:szCs w:val="32"/>
          <w:highlight w:val="none"/>
          <w:u w:val="none"/>
          <w:lang w:val="en-US" w:eastAsia="zh-CN"/>
        </w:rPr>
        <w:t>产生的</w:t>
      </w:r>
      <w:r>
        <w:rPr>
          <w:rFonts w:hint="eastAsia" w:ascii="仿宋" w:hAnsi="仿宋" w:eastAsia="仿宋" w:cs="仿宋"/>
          <w:color w:val="auto"/>
          <w:spacing w:val="-6"/>
          <w:sz w:val="32"/>
          <w:szCs w:val="32"/>
          <w:highlight w:val="none"/>
          <w:u w:val="none"/>
        </w:rPr>
        <w:t>废硫酸</w:t>
      </w:r>
      <w:r>
        <w:rPr>
          <w:rFonts w:hint="eastAsia" w:ascii="仿宋" w:hAnsi="仿宋" w:eastAsia="仿宋" w:cs="仿宋"/>
          <w:color w:val="auto"/>
          <w:spacing w:val="-6"/>
          <w:sz w:val="32"/>
          <w:szCs w:val="32"/>
          <w:highlight w:val="none"/>
          <w:u w:val="none"/>
          <w:lang w:eastAsia="zh-CN"/>
        </w:rPr>
        <w:t>，</w:t>
      </w:r>
      <w:r>
        <w:rPr>
          <w:rFonts w:hint="eastAsia" w:ascii="仿宋" w:hAnsi="仿宋" w:eastAsia="仿宋" w:cs="仿宋"/>
          <w:color w:val="auto"/>
          <w:spacing w:val="-6"/>
          <w:sz w:val="32"/>
          <w:szCs w:val="32"/>
          <w:highlight w:val="none"/>
          <w:u w:val="none"/>
          <w:lang w:val="en-US" w:eastAsia="zh-CN"/>
        </w:rPr>
        <w:t>生产符合国家相关质量标准的硫酸产品</w:t>
      </w:r>
      <w:r>
        <w:rPr>
          <w:rFonts w:hint="eastAsia" w:ascii="仿宋" w:hAnsi="仿宋" w:eastAsia="仿宋" w:cs="仿宋"/>
          <w:color w:val="auto"/>
          <w:spacing w:val="-6"/>
          <w:sz w:val="32"/>
          <w:szCs w:val="32"/>
          <w:highlight w:val="none"/>
          <w:u w:val="none"/>
          <w:lang w:eastAsia="zh-CN"/>
        </w:rPr>
        <w:t>。</w:t>
      </w:r>
      <w:r>
        <w:rPr>
          <w:rFonts w:hint="eastAsia" w:ascii="仿宋" w:hAnsi="仿宋" w:eastAsia="仿宋" w:cs="Times New Roman"/>
          <w:kern w:val="2"/>
          <w:sz w:val="32"/>
          <w:szCs w:val="32"/>
          <w:u w:val="none"/>
          <w:lang w:eastAsia="zh-CN"/>
        </w:rPr>
        <w:t>项目</w:t>
      </w:r>
      <w:r>
        <w:rPr>
          <w:rFonts w:hint="eastAsia" w:ascii="仿宋" w:hAnsi="仿宋" w:eastAsia="仿宋" w:cs="仿宋"/>
          <w:color w:val="auto"/>
          <w:sz w:val="32"/>
          <w:szCs w:val="32"/>
          <w:highlight w:val="none"/>
          <w:lang w:val="en-US" w:eastAsia="zh-CN"/>
        </w:rPr>
        <w:t>主要建设内容：新增两个100m</w:t>
      </w:r>
      <w:r>
        <w:rPr>
          <w:rFonts w:hint="eastAsia" w:ascii="仿宋" w:hAnsi="仿宋" w:eastAsia="仿宋" w:cs="仿宋"/>
          <w:color w:val="auto"/>
          <w:sz w:val="32"/>
          <w:szCs w:val="32"/>
          <w:highlight w:val="none"/>
          <w:vertAlign w:val="superscript"/>
          <w:lang w:val="en-US" w:eastAsia="zh-CN"/>
        </w:rPr>
        <w:t>3</w:t>
      </w:r>
      <w:r>
        <w:rPr>
          <w:rFonts w:hint="eastAsia" w:ascii="仿宋" w:hAnsi="仿宋" w:eastAsia="仿宋" w:cs="仿宋"/>
          <w:color w:val="auto"/>
          <w:sz w:val="32"/>
          <w:szCs w:val="32"/>
          <w:highlight w:val="none"/>
          <w:lang w:val="en-US" w:eastAsia="zh-CN"/>
        </w:rPr>
        <w:t>储罐。生产装置、其他仓储工程和给排水、供电等公用工程以及废气、废水处理、危险废物暂存、风险防范等环保工程均依托现有。</w:t>
      </w:r>
      <w:r>
        <w:rPr>
          <w:rFonts w:hint="eastAsia" w:ascii="仿宋" w:hAnsi="仿宋" w:eastAsia="仿宋" w:cs="Times New Roman"/>
          <w:kern w:val="2"/>
          <w:sz w:val="32"/>
          <w:szCs w:val="32"/>
          <w:u w:val="none"/>
          <w:lang w:val="en-US" w:eastAsia="zh-CN"/>
        </w:rPr>
        <w:t>项目已通过湖南省生态环境厅的危险废物利用建设项目环评审批受理认可和</w:t>
      </w:r>
      <w:r>
        <w:rPr>
          <w:rFonts w:ascii="仿宋" w:hAnsi="仿宋" w:eastAsia="仿宋"/>
          <w:color w:val="000000"/>
          <w:sz w:val="32"/>
          <w:szCs w:val="32"/>
          <w:u w:val="none"/>
        </w:rPr>
        <w:t>岳阳市发展和改革</w:t>
      </w:r>
      <w:r>
        <w:rPr>
          <w:rFonts w:hint="eastAsia" w:ascii="仿宋" w:hAnsi="仿宋" w:eastAsia="仿宋"/>
          <w:color w:val="000000"/>
          <w:sz w:val="32"/>
          <w:szCs w:val="32"/>
          <w:u w:val="none"/>
          <w:lang w:val="en-US" w:eastAsia="zh-CN"/>
        </w:rPr>
        <w:t>委员会</w:t>
      </w:r>
      <w:r>
        <w:rPr>
          <w:rFonts w:ascii="仿宋" w:hAnsi="仿宋" w:eastAsia="仿宋"/>
          <w:color w:val="000000"/>
          <w:sz w:val="32"/>
          <w:szCs w:val="32"/>
          <w:u w:val="none"/>
        </w:rPr>
        <w:t>的备案</w:t>
      </w:r>
      <w:r>
        <w:rPr>
          <w:rFonts w:hint="eastAsia" w:ascii="仿宋" w:hAnsi="仿宋" w:eastAsia="仿宋"/>
          <w:color w:val="000000"/>
          <w:sz w:val="32"/>
          <w:szCs w:val="32"/>
          <w:u w:val="none"/>
          <w:lang w:val="en-US" w:eastAsia="zh-CN"/>
        </w:rPr>
        <w:t>证明</w:t>
      </w:r>
      <w:r>
        <w:rPr>
          <w:rFonts w:ascii="仿宋" w:hAnsi="仿宋" w:eastAsia="仿宋"/>
          <w:color w:val="000000"/>
          <w:sz w:val="32"/>
          <w:szCs w:val="32"/>
          <w:u w:val="none"/>
        </w:rPr>
        <w:t>。</w:t>
      </w:r>
      <w:r>
        <w:rPr>
          <w:rFonts w:hint="eastAsia" w:ascii="仿宋" w:hAnsi="仿宋" w:eastAsia="仿宋" w:cs="Times New Roman"/>
          <w:color w:val="000000"/>
          <w:sz w:val="32"/>
          <w:szCs w:val="32"/>
          <w:u w:val="none"/>
          <w:lang w:val="en-US" w:eastAsia="zh-CN"/>
        </w:rPr>
        <w:t>根据湖南葆华环保科技有限公司编制的《岳阳兴长石化股份有限公司0.5万吨/年废酸综合利用项目环境影响报告书（报批稿）》基本内容、结论、专家评审意见和岳阳市生态环境事务中心《岳阳兴长石化股份有限公司0.5万吨/年废酸综合利用项目环境影响报告书技术评估报告》以及岳阳市生态环境局云溪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508" w:lineRule="exact"/>
        <w:ind w:firstLine="640" w:firstLineChars="200"/>
        <w:textAlignment w:val="auto"/>
        <w:rPr>
          <w:rFonts w:hint="eastAsia" w:ascii="仿宋" w:hAnsi="仿宋" w:eastAsia="仿宋" w:cs="Times New Roman"/>
          <w:kern w:val="2"/>
          <w:sz w:val="32"/>
          <w:szCs w:val="32"/>
          <w:u w:val="none"/>
          <w:lang w:eastAsia="zh-CN"/>
        </w:rPr>
      </w:pPr>
      <w:r>
        <w:rPr>
          <w:rFonts w:hint="eastAsia" w:ascii="仿宋" w:hAnsi="仿宋" w:eastAsia="仿宋" w:cs="Times New Roman"/>
          <w:kern w:val="2"/>
          <w:sz w:val="32"/>
          <w:szCs w:val="32"/>
          <w:u w:val="none"/>
          <w:lang w:eastAsia="zh-CN"/>
        </w:rPr>
        <w:t>二、项目建设和运营必须全面落实环境影响报告书提出的各项环保措施，并着重做好以下工作：</w:t>
      </w:r>
    </w:p>
    <w:p>
      <w:pPr>
        <w:pStyle w:val="45"/>
        <w:keepNext w:val="0"/>
        <w:keepLines w:val="0"/>
        <w:pageBreakBefore w:val="0"/>
        <w:kinsoku/>
        <w:wordWrap/>
        <w:overflowPunct/>
        <w:topLinePunct w:val="0"/>
        <w:autoSpaceDN/>
        <w:bidi w:val="0"/>
        <w:adjustRightInd/>
        <w:snapToGrid/>
        <w:spacing w:line="508" w:lineRule="exact"/>
        <w:ind w:firstLine="480"/>
        <w:textAlignment w:val="auto"/>
        <w:rPr>
          <w:rFonts w:hint="default" w:ascii="仿宋" w:hAnsi="仿宋" w:eastAsia="仿宋"/>
          <w:sz w:val="32"/>
          <w:szCs w:val="32"/>
          <w:u w:val="none"/>
          <w:lang w:val="en-US" w:eastAsia="zh-CN"/>
        </w:rPr>
      </w:pPr>
      <w:bookmarkStart w:id="0" w:name="OLE_LINK2"/>
      <w:bookmarkEnd w:id="0"/>
      <w:r>
        <w:rPr>
          <w:rFonts w:hint="eastAsia" w:ascii="仿宋" w:hAnsi="仿宋" w:eastAsia="仿宋"/>
          <w:sz w:val="32"/>
          <w:szCs w:val="32"/>
          <w:u w:val="none"/>
        </w:rPr>
        <w:t>（一）</w:t>
      </w:r>
      <w:r>
        <w:rPr>
          <w:rFonts w:hint="eastAsia" w:ascii="仿宋" w:hAnsi="仿宋" w:eastAsia="仿宋"/>
          <w:sz w:val="32"/>
          <w:szCs w:val="32"/>
          <w:u w:val="none"/>
          <w:lang w:val="en-US" w:eastAsia="zh-CN"/>
        </w:rPr>
        <w:t>按相关要求严格原料（废酸）的规模和品质成分的收集和控制工作，严禁使用含重金属、卤素等不符合要求的原料。原料的接收、暂存、处置全过程严格按相关要求落实到位，建立健全好相关管理台帐。</w:t>
      </w:r>
    </w:p>
    <w:p>
      <w:pPr>
        <w:pStyle w:val="45"/>
        <w:keepNext w:val="0"/>
        <w:keepLines w:val="0"/>
        <w:pageBreakBefore w:val="0"/>
        <w:kinsoku/>
        <w:wordWrap/>
        <w:overflowPunct/>
        <w:topLinePunct w:val="0"/>
        <w:autoSpaceDN/>
        <w:bidi w:val="0"/>
        <w:adjustRightInd/>
        <w:snapToGrid/>
        <w:spacing w:line="508" w:lineRule="exact"/>
        <w:ind w:firstLine="480"/>
        <w:textAlignment w:val="auto"/>
        <w:rPr>
          <w:rFonts w:hint="eastAsia" w:ascii="仿宋" w:hAnsi="仿宋" w:eastAsia="仿宋" w:cs="宋体"/>
          <w:sz w:val="32"/>
          <w:szCs w:val="32"/>
          <w:u w:val="none"/>
        </w:rPr>
      </w:pPr>
      <w:r>
        <w:rPr>
          <w:rFonts w:hint="eastAsia" w:ascii="仿宋" w:hAnsi="仿宋" w:eastAsia="仿宋" w:cs="宋体"/>
          <w:sz w:val="32"/>
          <w:szCs w:val="32"/>
          <w:u w:val="none"/>
          <w:lang w:val="en-US" w:eastAsia="zh-CN" w:bidi="ar-SA"/>
        </w:rPr>
        <w:t>（二）废气污染防治工作。严格控制项目废气污染，加强各废气集排气系统和处理设施的</w:t>
      </w:r>
      <w:r>
        <w:rPr>
          <w:rFonts w:hint="eastAsia" w:ascii="仿宋" w:hAnsi="仿宋" w:eastAsia="仿宋" w:cs="宋体"/>
          <w:sz w:val="32"/>
          <w:szCs w:val="32"/>
          <w:u w:val="none"/>
        </w:rPr>
        <w:t>日常监管，定期对设备、装置、阀门、法兰、管路管线、机泵等</w:t>
      </w:r>
      <w:r>
        <w:rPr>
          <w:rFonts w:hint="eastAsia" w:ascii="仿宋" w:hAnsi="仿宋" w:eastAsia="仿宋" w:cs="宋体"/>
          <w:sz w:val="32"/>
          <w:szCs w:val="32"/>
          <w:u w:val="none"/>
          <w:lang w:val="en-US" w:eastAsia="zh-CN"/>
        </w:rPr>
        <w:t>设施设备</w:t>
      </w:r>
      <w:r>
        <w:rPr>
          <w:rFonts w:hint="eastAsia" w:ascii="仿宋" w:hAnsi="仿宋" w:eastAsia="仿宋" w:cs="宋体"/>
          <w:sz w:val="32"/>
          <w:szCs w:val="32"/>
          <w:u w:val="none"/>
        </w:rPr>
        <w:t>进行维护和管理，最大限度减少生产过程中的废气无组织排放，确保厂界和厂区内大气污染物无组织废气</w:t>
      </w:r>
      <w:r>
        <w:rPr>
          <w:rFonts w:hint="eastAsia" w:ascii="仿宋" w:hAnsi="仿宋" w:eastAsia="仿宋" w:cs="宋体"/>
          <w:sz w:val="32"/>
          <w:szCs w:val="32"/>
          <w:u w:val="none"/>
          <w:lang w:val="en-US" w:eastAsia="zh-CN"/>
        </w:rPr>
        <w:t>排放从严</w:t>
      </w:r>
      <w:r>
        <w:rPr>
          <w:rFonts w:hint="eastAsia" w:ascii="仿宋" w:hAnsi="仿宋" w:eastAsia="仿宋" w:cs="宋体"/>
          <w:sz w:val="32"/>
          <w:szCs w:val="32"/>
          <w:u w:val="none"/>
        </w:rPr>
        <w:t>满足《硫酸工业污染物排放标准》（GB26132-2010）表8</w:t>
      </w:r>
      <w:r>
        <w:rPr>
          <w:rFonts w:hint="eastAsia" w:ascii="仿宋" w:hAnsi="仿宋" w:eastAsia="仿宋" w:cs="宋体"/>
          <w:sz w:val="32"/>
          <w:szCs w:val="32"/>
          <w:u w:val="none"/>
          <w:lang w:val="en-US" w:eastAsia="zh-CN"/>
        </w:rPr>
        <w:t>和</w:t>
      </w:r>
      <w:r>
        <w:rPr>
          <w:rFonts w:hint="eastAsia" w:ascii="仿宋" w:hAnsi="仿宋" w:eastAsia="仿宋" w:cs="宋体"/>
          <w:sz w:val="32"/>
          <w:szCs w:val="32"/>
          <w:u w:val="none"/>
        </w:rPr>
        <w:t>《石油炼制工业污染物排放标准》（GB31570-2015）</w:t>
      </w:r>
      <w:r>
        <w:rPr>
          <w:rFonts w:hint="eastAsia" w:ascii="仿宋" w:hAnsi="仿宋" w:eastAsia="仿宋" w:cs="宋体"/>
          <w:sz w:val="32"/>
          <w:szCs w:val="32"/>
          <w:u w:val="none"/>
          <w:lang w:val="en-US" w:eastAsia="zh-CN"/>
        </w:rPr>
        <w:t>表5中</w:t>
      </w:r>
      <w:r>
        <w:rPr>
          <w:rFonts w:hint="eastAsia" w:ascii="仿宋" w:hAnsi="仿宋" w:eastAsia="仿宋" w:cs="宋体"/>
          <w:sz w:val="32"/>
          <w:szCs w:val="32"/>
          <w:u w:val="none"/>
        </w:rPr>
        <w:t>相关限值要求</w:t>
      </w:r>
      <w:r>
        <w:rPr>
          <w:rFonts w:hint="eastAsia" w:ascii="仿宋" w:hAnsi="仿宋" w:eastAsia="仿宋" w:cs="宋体"/>
          <w:sz w:val="32"/>
          <w:szCs w:val="32"/>
          <w:u w:val="none"/>
          <w:lang w:eastAsia="zh-CN"/>
        </w:rPr>
        <w:t>。</w:t>
      </w:r>
      <w:r>
        <w:rPr>
          <w:rFonts w:hint="eastAsia" w:ascii="仿宋" w:hAnsi="仿宋" w:eastAsia="仿宋" w:cs="宋体"/>
          <w:sz w:val="32"/>
          <w:szCs w:val="32"/>
          <w:u w:val="none"/>
        </w:rPr>
        <w:t>硫酸回收单元</w:t>
      </w:r>
      <w:r>
        <w:rPr>
          <w:rFonts w:hint="eastAsia" w:ascii="仿宋" w:hAnsi="仿宋" w:eastAsia="仿宋" w:cs="宋体"/>
          <w:sz w:val="32"/>
          <w:szCs w:val="32"/>
          <w:u w:val="none"/>
          <w:lang w:val="en-US" w:eastAsia="zh-CN"/>
        </w:rPr>
        <w:t>的</w:t>
      </w:r>
      <w:r>
        <w:rPr>
          <w:rFonts w:hint="eastAsia" w:ascii="仿宋" w:hAnsi="仿宋" w:eastAsia="仿宋" w:cs="宋体"/>
          <w:sz w:val="32"/>
          <w:szCs w:val="32"/>
          <w:u w:val="none"/>
          <w:lang w:eastAsia="zh-CN"/>
        </w:rPr>
        <w:t>焚烧裂解炉</w:t>
      </w:r>
      <w:r>
        <w:rPr>
          <w:rFonts w:hint="eastAsia" w:ascii="仿宋" w:hAnsi="仿宋" w:eastAsia="仿宋" w:cs="宋体"/>
          <w:sz w:val="32"/>
          <w:szCs w:val="32"/>
          <w:u w:val="none"/>
          <w:lang w:val="en-US" w:eastAsia="zh-CN"/>
        </w:rPr>
        <w:t>尾气经“碱液吸收+电除雾”处理，</w:t>
      </w:r>
      <w:r>
        <w:rPr>
          <w:rFonts w:hint="eastAsia" w:ascii="仿宋" w:hAnsi="仿宋" w:eastAsia="仿宋" w:cs="宋体"/>
          <w:sz w:val="32"/>
          <w:szCs w:val="32"/>
          <w:u w:val="none"/>
          <w:lang w:eastAsia="zh-CN"/>
        </w:rPr>
        <w:t>从严</w:t>
      </w:r>
      <w:r>
        <w:rPr>
          <w:rFonts w:hint="eastAsia" w:ascii="仿宋" w:hAnsi="仿宋" w:eastAsia="仿宋" w:cs="宋体"/>
          <w:sz w:val="32"/>
          <w:szCs w:val="32"/>
          <w:u w:val="none"/>
          <w:lang w:val="en-US" w:eastAsia="zh-CN"/>
        </w:rPr>
        <w:t>满足</w:t>
      </w:r>
      <w:r>
        <w:rPr>
          <w:rFonts w:hint="eastAsia" w:ascii="仿宋" w:hAnsi="仿宋" w:eastAsia="仿宋" w:cs="宋体"/>
          <w:sz w:val="32"/>
          <w:szCs w:val="32"/>
          <w:u w:val="none"/>
        </w:rPr>
        <w:t>《石油炼制工业污染物排放标准》（GB31570-2015）</w:t>
      </w:r>
      <w:r>
        <w:rPr>
          <w:rFonts w:hint="eastAsia" w:ascii="仿宋" w:hAnsi="仿宋" w:eastAsia="仿宋" w:cs="宋体"/>
          <w:sz w:val="32"/>
          <w:szCs w:val="32"/>
          <w:u w:val="none"/>
          <w:lang w:eastAsia="zh-CN"/>
        </w:rPr>
        <w:t>、</w:t>
      </w:r>
      <w:r>
        <w:rPr>
          <w:rFonts w:hint="eastAsia" w:ascii="仿宋" w:hAnsi="仿宋" w:eastAsia="仿宋" w:cs="宋体"/>
          <w:sz w:val="32"/>
          <w:szCs w:val="32"/>
          <w:u w:val="none"/>
        </w:rPr>
        <w:t>《硫酸工业污染物排放标准》（GB26132-2010）</w:t>
      </w:r>
      <w:r>
        <w:rPr>
          <w:rFonts w:hint="eastAsia" w:ascii="仿宋" w:hAnsi="仿宋" w:eastAsia="仿宋" w:cs="宋体"/>
          <w:sz w:val="32"/>
          <w:szCs w:val="32"/>
          <w:u w:val="none"/>
          <w:lang w:eastAsia="zh-CN"/>
        </w:rPr>
        <w:t>和《危险废物焚烧污染控制标准》（</w:t>
      </w:r>
      <w:r>
        <w:rPr>
          <w:rFonts w:hint="eastAsia" w:ascii="仿宋" w:hAnsi="仿宋" w:eastAsia="仿宋" w:cs="宋体"/>
          <w:sz w:val="32"/>
          <w:szCs w:val="32"/>
          <w:u w:val="none"/>
          <w:lang w:val="en-US" w:eastAsia="zh-CN"/>
        </w:rPr>
        <w:t>GB18484-2020</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中相关标准后</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由4</w:t>
      </w:r>
      <w:r>
        <w:rPr>
          <w:rFonts w:hint="eastAsia" w:ascii="仿宋" w:hAnsi="仿宋" w:eastAsia="仿宋" w:cs="宋体"/>
          <w:sz w:val="32"/>
          <w:szCs w:val="32"/>
          <w:u w:val="none"/>
        </w:rPr>
        <w:t>5</w:t>
      </w:r>
      <w:r>
        <w:rPr>
          <w:rFonts w:hint="eastAsia" w:ascii="仿宋" w:hAnsi="仿宋" w:eastAsia="仿宋" w:cs="宋体"/>
          <w:sz w:val="32"/>
          <w:szCs w:val="32"/>
          <w:u w:val="none"/>
          <w:lang w:val="en-US" w:eastAsia="zh-CN"/>
        </w:rPr>
        <w:t>米</w:t>
      </w:r>
      <w:r>
        <w:rPr>
          <w:rFonts w:hint="eastAsia" w:ascii="仿宋" w:hAnsi="仿宋" w:eastAsia="仿宋" w:cs="宋体"/>
          <w:sz w:val="32"/>
          <w:szCs w:val="32"/>
          <w:u w:val="none"/>
        </w:rPr>
        <w:t>高排气筒</w:t>
      </w:r>
      <w:r>
        <w:rPr>
          <w:rFonts w:hint="eastAsia" w:ascii="仿宋" w:hAnsi="仿宋" w:eastAsia="仿宋" w:cs="宋体"/>
          <w:sz w:val="32"/>
          <w:szCs w:val="32"/>
          <w:u w:val="none"/>
          <w:lang w:val="en-US" w:eastAsia="zh-CN"/>
        </w:rPr>
        <w:t>外</w:t>
      </w:r>
      <w:r>
        <w:rPr>
          <w:rFonts w:hint="eastAsia" w:ascii="仿宋" w:hAnsi="仿宋" w:eastAsia="仿宋" w:cs="宋体"/>
          <w:sz w:val="32"/>
          <w:szCs w:val="32"/>
          <w:u w:val="none"/>
        </w:rPr>
        <w:t>排</w:t>
      </w:r>
      <w:r>
        <w:rPr>
          <w:rFonts w:hint="eastAsia" w:ascii="仿宋" w:hAnsi="仿宋" w:eastAsia="仿宋" w:cs="宋体"/>
          <w:sz w:val="32"/>
          <w:szCs w:val="32"/>
          <w:u w:val="none"/>
          <w:lang w:eastAsia="zh-CN"/>
        </w:rPr>
        <w:t>。</w:t>
      </w:r>
    </w:p>
    <w:p>
      <w:pPr>
        <w:pStyle w:val="27"/>
        <w:keepNext w:val="0"/>
        <w:keepLines w:val="0"/>
        <w:pageBreakBefore w:val="0"/>
        <w:widowControl w:val="0"/>
        <w:kinsoku/>
        <w:wordWrap/>
        <w:overflowPunct/>
        <w:topLinePunct w:val="0"/>
        <w:autoSpaceDE/>
        <w:autoSpaceDN/>
        <w:bidi w:val="0"/>
        <w:adjustRightInd/>
        <w:snapToGrid/>
        <w:spacing w:after="0" w:line="460" w:lineRule="exact"/>
        <w:ind w:firstLine="640" w:firstLineChars="200"/>
        <w:jc w:val="both"/>
        <w:textAlignment w:val="auto"/>
        <w:rPr>
          <w:rFonts w:hint="eastAsia" w:ascii="仿宋" w:hAnsi="仿宋" w:eastAsia="仿宋" w:cs="仿宋"/>
          <w:bCs/>
          <w:snapToGrid w:val="0"/>
          <w:color w:val="auto"/>
          <w:kern w:val="0"/>
          <w:sz w:val="32"/>
          <w:szCs w:val="32"/>
          <w:highlight w:val="none"/>
        </w:rPr>
      </w:pPr>
      <w:r>
        <w:rPr>
          <w:rFonts w:hint="eastAsia" w:ascii="仿宋" w:hAnsi="仿宋" w:eastAsia="仿宋" w:cs="宋体"/>
          <w:sz w:val="32"/>
          <w:szCs w:val="32"/>
          <w:u w:val="none"/>
          <w:lang w:val="en-US" w:eastAsia="zh-CN" w:bidi="ar-SA"/>
        </w:rPr>
        <w:t>（三）</w:t>
      </w:r>
      <w:r>
        <w:rPr>
          <w:rFonts w:hint="eastAsia" w:ascii="仿宋" w:hAnsi="仿宋" w:eastAsia="仿宋"/>
          <w:sz w:val="32"/>
          <w:szCs w:val="32"/>
          <w:u w:val="none"/>
        </w:rPr>
        <w:t>废水污染防治工作。</w:t>
      </w:r>
      <w:r>
        <w:rPr>
          <w:rFonts w:hint="eastAsia" w:ascii="仿宋" w:hAnsi="仿宋" w:eastAsia="仿宋" w:cs="仿宋"/>
          <w:bCs/>
          <w:snapToGrid w:val="0"/>
          <w:color w:val="auto"/>
          <w:kern w:val="0"/>
          <w:sz w:val="32"/>
          <w:szCs w:val="32"/>
          <w:highlight w:val="none"/>
          <w:lang w:eastAsia="zh-CN"/>
        </w:rPr>
        <w:t>项目不新增定员，不新增占地和生产装置，</w:t>
      </w:r>
      <w:r>
        <w:rPr>
          <w:rFonts w:hint="eastAsia" w:ascii="仿宋" w:hAnsi="仿宋" w:eastAsia="仿宋" w:cs="仿宋"/>
          <w:bCs/>
          <w:snapToGrid w:val="0"/>
          <w:color w:val="auto"/>
          <w:kern w:val="0"/>
          <w:sz w:val="32"/>
          <w:szCs w:val="32"/>
          <w:highlight w:val="none"/>
          <w:lang w:val="en-US" w:eastAsia="zh-CN"/>
        </w:rPr>
        <w:t>废水处理依托现有工程，本项目产生的</w:t>
      </w:r>
      <w:r>
        <w:rPr>
          <w:rFonts w:hint="eastAsia" w:ascii="仿宋" w:hAnsi="仿宋" w:eastAsia="仿宋" w:cs="仿宋"/>
          <w:bCs/>
          <w:snapToGrid w:val="0"/>
          <w:color w:val="auto"/>
          <w:kern w:val="0"/>
          <w:sz w:val="32"/>
          <w:szCs w:val="32"/>
          <w:highlight w:val="none"/>
          <w:lang w:eastAsia="zh-CN"/>
        </w:rPr>
        <w:t>工艺废水经预处理，</w:t>
      </w:r>
      <w:r>
        <w:rPr>
          <w:rFonts w:hint="eastAsia" w:ascii="仿宋" w:hAnsi="仿宋" w:eastAsia="仿宋"/>
          <w:sz w:val="32"/>
          <w:szCs w:val="32"/>
          <w:u w:val="none"/>
          <w:lang w:val="en-US" w:eastAsia="zh-CN"/>
        </w:rPr>
        <w:t>达到</w:t>
      </w:r>
      <w:r>
        <w:rPr>
          <w:rFonts w:hint="eastAsia" w:ascii="仿宋" w:hAnsi="仿宋" w:eastAsia="仿宋" w:cs="宋体"/>
          <w:sz w:val="32"/>
          <w:szCs w:val="32"/>
          <w:u w:val="none"/>
        </w:rPr>
        <w:t>《石油炼制工业污染物排放标准》（GB31570-2015）</w:t>
      </w:r>
      <w:r>
        <w:rPr>
          <w:rFonts w:hint="eastAsia" w:ascii="仿宋" w:hAnsi="仿宋" w:eastAsia="仿宋" w:cs="宋体"/>
          <w:sz w:val="32"/>
          <w:szCs w:val="32"/>
          <w:u w:val="none"/>
          <w:lang w:val="en-US" w:eastAsia="zh-CN"/>
        </w:rPr>
        <w:t>和</w:t>
      </w:r>
      <w:r>
        <w:rPr>
          <w:rFonts w:hint="eastAsia" w:ascii="仿宋" w:hAnsi="仿宋" w:eastAsia="仿宋"/>
          <w:sz w:val="32"/>
          <w:szCs w:val="32"/>
          <w:u w:val="none"/>
        </w:rPr>
        <w:t>《石油化学工业污染物排放标准》（GB31571-2015）中</w:t>
      </w:r>
      <w:r>
        <w:rPr>
          <w:rFonts w:hint="eastAsia" w:ascii="仿宋" w:hAnsi="仿宋" w:eastAsia="仿宋"/>
          <w:sz w:val="32"/>
          <w:szCs w:val="32"/>
          <w:u w:val="none"/>
          <w:lang w:val="en-US" w:eastAsia="zh-CN"/>
        </w:rPr>
        <w:t>间接排放标准，同时满足</w:t>
      </w:r>
      <w:r>
        <w:rPr>
          <w:rFonts w:hint="eastAsia" w:ascii="仿宋" w:hAnsi="仿宋" w:eastAsia="仿宋" w:cs="仿宋"/>
          <w:bCs/>
          <w:snapToGrid w:val="0"/>
          <w:color w:val="auto"/>
          <w:kern w:val="0"/>
          <w:sz w:val="32"/>
          <w:szCs w:val="32"/>
          <w:highlight w:val="none"/>
          <w:lang w:eastAsia="zh-CN"/>
        </w:rPr>
        <w:t>长云公司、长岭分公司</w:t>
      </w:r>
      <w:r>
        <w:rPr>
          <w:rFonts w:hint="eastAsia" w:ascii="仿宋" w:hAnsi="仿宋" w:eastAsia="仿宋"/>
          <w:sz w:val="32"/>
          <w:szCs w:val="32"/>
          <w:u w:val="none"/>
          <w:lang w:eastAsia="zh-CN"/>
        </w:rPr>
        <w:t>污水处理系统</w:t>
      </w:r>
      <w:r>
        <w:rPr>
          <w:rFonts w:hint="eastAsia" w:ascii="仿宋" w:hAnsi="仿宋" w:eastAsia="仿宋"/>
          <w:sz w:val="32"/>
          <w:szCs w:val="32"/>
          <w:u w:val="none"/>
          <w:lang w:val="en-US" w:eastAsia="zh-CN"/>
        </w:rPr>
        <w:t>的进水</w:t>
      </w:r>
      <w:r>
        <w:rPr>
          <w:rFonts w:hint="eastAsia" w:ascii="仿宋" w:hAnsi="仿宋" w:eastAsia="仿宋"/>
          <w:sz w:val="32"/>
          <w:szCs w:val="32"/>
          <w:u w:val="none"/>
          <w:lang w:eastAsia="zh-CN"/>
        </w:rPr>
        <w:t>水质</w:t>
      </w:r>
      <w:r>
        <w:rPr>
          <w:rFonts w:hint="eastAsia" w:ascii="仿宋" w:hAnsi="仿宋" w:eastAsia="仿宋"/>
          <w:sz w:val="32"/>
          <w:szCs w:val="32"/>
          <w:u w:val="none"/>
          <w:lang w:val="en-US" w:eastAsia="zh-CN"/>
        </w:rPr>
        <w:t>标准后，先</w:t>
      </w:r>
      <w:r>
        <w:rPr>
          <w:rFonts w:hint="eastAsia" w:ascii="仿宋" w:hAnsi="仿宋" w:eastAsia="仿宋" w:cs="仿宋"/>
          <w:bCs/>
          <w:snapToGrid w:val="0"/>
          <w:color w:val="auto"/>
          <w:kern w:val="0"/>
          <w:sz w:val="32"/>
          <w:szCs w:val="32"/>
          <w:highlight w:val="none"/>
          <w:lang w:eastAsia="zh-CN"/>
        </w:rPr>
        <w:t>经长云公司</w:t>
      </w:r>
      <w:r>
        <w:rPr>
          <w:rFonts w:hint="eastAsia" w:ascii="仿宋" w:hAnsi="仿宋" w:eastAsia="仿宋" w:cs="仿宋"/>
          <w:bCs/>
          <w:snapToGrid w:val="0"/>
          <w:color w:val="auto"/>
          <w:kern w:val="0"/>
          <w:sz w:val="32"/>
          <w:szCs w:val="32"/>
          <w:highlight w:val="none"/>
          <w:lang w:val="en-US" w:eastAsia="zh-CN"/>
        </w:rPr>
        <w:t>分质处理再排入</w:t>
      </w:r>
      <w:r>
        <w:rPr>
          <w:rFonts w:hint="eastAsia" w:ascii="仿宋" w:hAnsi="仿宋" w:eastAsia="仿宋" w:cs="仿宋"/>
          <w:bCs/>
          <w:snapToGrid w:val="0"/>
          <w:color w:val="auto"/>
          <w:kern w:val="0"/>
          <w:sz w:val="32"/>
          <w:szCs w:val="32"/>
          <w:highlight w:val="none"/>
          <w:lang w:eastAsia="zh-CN"/>
        </w:rPr>
        <w:t>长岭分公司污水处理厂</w:t>
      </w:r>
      <w:r>
        <w:rPr>
          <w:rFonts w:hint="eastAsia" w:ascii="仿宋" w:hAnsi="仿宋" w:eastAsia="仿宋"/>
          <w:sz w:val="32"/>
          <w:szCs w:val="32"/>
          <w:u w:val="none"/>
          <w:lang w:val="en-US" w:eastAsia="zh-CN"/>
        </w:rPr>
        <w:t>进一步</w:t>
      </w:r>
      <w:r>
        <w:rPr>
          <w:rFonts w:hint="eastAsia" w:ascii="仿宋" w:hAnsi="仿宋" w:eastAsia="仿宋"/>
          <w:sz w:val="32"/>
          <w:szCs w:val="32"/>
          <w:u w:val="none"/>
        </w:rPr>
        <w:t>达标处理</w:t>
      </w:r>
      <w:r>
        <w:rPr>
          <w:rFonts w:hint="eastAsia" w:ascii="仿宋" w:hAnsi="仿宋" w:eastAsia="仿宋"/>
          <w:sz w:val="32"/>
          <w:szCs w:val="32"/>
          <w:u w:val="none"/>
          <w:lang w:eastAsia="zh-CN"/>
        </w:rPr>
        <w:t>；</w:t>
      </w:r>
      <w:r>
        <w:rPr>
          <w:rFonts w:hint="eastAsia" w:ascii="仿宋" w:hAnsi="仿宋" w:eastAsia="仿宋" w:cs="仿宋"/>
          <w:bCs/>
          <w:snapToGrid w:val="0"/>
          <w:color w:val="auto"/>
          <w:kern w:val="0"/>
          <w:sz w:val="32"/>
          <w:szCs w:val="32"/>
          <w:highlight w:val="none"/>
          <w:u w:val="none"/>
          <w:lang w:eastAsia="zh-CN"/>
        </w:rPr>
        <w:t>废</w:t>
      </w:r>
      <w:r>
        <w:rPr>
          <w:rFonts w:hint="eastAsia" w:ascii="仿宋" w:hAnsi="仿宋" w:eastAsia="仿宋" w:cs="仿宋"/>
          <w:bCs/>
          <w:snapToGrid w:val="0"/>
          <w:color w:val="auto"/>
          <w:kern w:val="0"/>
          <w:sz w:val="32"/>
          <w:szCs w:val="32"/>
          <w:highlight w:val="none"/>
          <w:lang w:eastAsia="zh-CN"/>
        </w:rPr>
        <w:t>气处理废水</w:t>
      </w:r>
      <w:r>
        <w:rPr>
          <w:rFonts w:hint="eastAsia" w:ascii="仿宋" w:hAnsi="仿宋" w:eastAsia="仿宋" w:cs="仿宋"/>
          <w:bCs/>
          <w:snapToGrid w:val="0"/>
          <w:color w:val="auto"/>
          <w:kern w:val="0"/>
          <w:sz w:val="32"/>
          <w:szCs w:val="32"/>
          <w:highlight w:val="none"/>
          <w:lang w:val="en-US" w:eastAsia="zh-CN"/>
        </w:rPr>
        <w:t>经再生</w:t>
      </w:r>
      <w:r>
        <w:rPr>
          <w:rFonts w:hint="eastAsia" w:ascii="仿宋" w:hAnsi="仿宋" w:eastAsia="仿宋" w:cs="仿宋"/>
          <w:bCs/>
          <w:snapToGrid w:val="0"/>
          <w:color w:val="auto"/>
          <w:kern w:val="0"/>
          <w:sz w:val="32"/>
          <w:szCs w:val="32"/>
          <w:highlight w:val="none"/>
          <w:lang w:eastAsia="zh-CN"/>
        </w:rPr>
        <w:t>回用</w:t>
      </w:r>
      <w:r>
        <w:rPr>
          <w:rFonts w:hint="eastAsia" w:ascii="仿宋" w:hAnsi="仿宋" w:eastAsia="仿宋" w:cs="仿宋"/>
          <w:bCs/>
          <w:snapToGrid w:val="0"/>
          <w:color w:val="auto"/>
          <w:kern w:val="0"/>
          <w:sz w:val="32"/>
          <w:szCs w:val="32"/>
          <w:highlight w:val="none"/>
          <w:lang w:val="en-US" w:eastAsia="zh-CN"/>
        </w:rPr>
        <w:t>于</w:t>
      </w:r>
      <w:r>
        <w:rPr>
          <w:rFonts w:hint="eastAsia" w:ascii="仿宋" w:hAnsi="仿宋" w:eastAsia="仿宋" w:cs="仿宋"/>
          <w:bCs/>
          <w:snapToGrid w:val="0"/>
          <w:color w:val="auto"/>
          <w:kern w:val="0"/>
          <w:sz w:val="32"/>
          <w:szCs w:val="32"/>
          <w:highlight w:val="none"/>
          <w:lang w:eastAsia="zh-CN"/>
        </w:rPr>
        <w:t>废气处理装置，不外排</w:t>
      </w:r>
      <w:r>
        <w:rPr>
          <w:rFonts w:hint="eastAsia" w:ascii="仿宋" w:hAnsi="仿宋" w:eastAsia="仿宋" w:cs="仿宋"/>
          <w:bCs/>
          <w:snapToGrid w:val="0"/>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08" w:lineRule="exact"/>
        <w:ind w:firstLine="640" w:firstLineChars="20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（四）地下水污染防治工作。按照分区防控的原则落实报告书提出的地下水污染防治措施，做好</w:t>
      </w:r>
      <w:r>
        <w:rPr>
          <w:rFonts w:hint="eastAsia" w:ascii="仿宋" w:hAnsi="仿宋" w:eastAsia="仿宋" w:cs="_4eff_5b8b_GB2312"/>
          <w:bCs/>
          <w:color w:val="000000"/>
          <w:sz w:val="32"/>
          <w:szCs w:val="32"/>
          <w:u w:val="none"/>
          <w:lang w:val="en-US" w:eastAsia="zh-CN"/>
        </w:rPr>
        <w:t>项目罐区</w:t>
      </w:r>
      <w:r>
        <w:rPr>
          <w:rFonts w:hint="eastAsia" w:ascii="仿宋" w:hAnsi="仿宋" w:eastAsia="仿宋" w:cs="_4eff_5b8b_GB2312"/>
          <w:bCs/>
          <w:color w:val="000000"/>
          <w:sz w:val="32"/>
          <w:szCs w:val="32"/>
          <w:u w:val="none"/>
        </w:rPr>
        <w:t>等</w:t>
      </w:r>
      <w:r>
        <w:rPr>
          <w:rFonts w:hint="eastAsia" w:ascii="仿宋" w:hAnsi="仿宋" w:eastAsia="仿宋" w:cs="_4eff_5b8b_GB2312"/>
          <w:bCs/>
          <w:color w:val="000000"/>
          <w:sz w:val="32"/>
          <w:szCs w:val="32"/>
          <w:u w:val="none"/>
          <w:lang w:val="en-US" w:eastAsia="zh-CN"/>
        </w:rPr>
        <w:t>区域</w:t>
      </w:r>
      <w:r>
        <w:rPr>
          <w:rFonts w:hint="eastAsia" w:ascii="仿宋" w:hAnsi="仿宋" w:eastAsia="仿宋" w:cs="_4eff_5b8b_GB2312"/>
          <w:bCs/>
          <w:color w:val="000000"/>
          <w:sz w:val="32"/>
          <w:szCs w:val="32"/>
          <w:u w:val="none"/>
        </w:rPr>
        <w:t>的分区防腐、防渗工作，避免由于防渗层破损造成污染物下渗污染地下水；根据《环境影响评价技术导则地下水环境》(HJ610-2016)要求，做好跟踪监测工作，确保地下水环境安全。</w:t>
      </w:r>
    </w:p>
    <w:p>
      <w:pPr>
        <w:keepNext w:val="0"/>
        <w:keepLines w:val="0"/>
        <w:pageBreakBefore w:val="0"/>
        <w:widowControl w:val="0"/>
        <w:kinsoku/>
        <w:wordWrap/>
        <w:overflowPunct/>
        <w:topLinePunct w:val="0"/>
        <w:autoSpaceDE/>
        <w:autoSpaceDN/>
        <w:bidi w:val="0"/>
        <w:adjustRightInd/>
        <w:snapToGrid/>
        <w:spacing w:line="508" w:lineRule="exact"/>
        <w:ind w:firstLine="640" w:firstLineChars="200"/>
        <w:textAlignment w:val="auto"/>
        <w:rPr>
          <w:rFonts w:hint="eastAsia" w:ascii="仿宋" w:hAnsi="仿宋" w:eastAsia="仿宋" w:cs="_4eff_5b8b_GB2312"/>
          <w:bCs/>
          <w:color w:val="000000"/>
          <w:sz w:val="32"/>
          <w:szCs w:val="32"/>
          <w:u w:val="none"/>
          <w:lang w:val="en-US" w:eastAsia="zh-CN" w:bidi="ar-SA"/>
        </w:rPr>
      </w:pPr>
      <w:r>
        <w:rPr>
          <w:rFonts w:hint="eastAsia" w:ascii="仿宋" w:hAnsi="仿宋" w:eastAsia="仿宋"/>
          <w:sz w:val="32"/>
          <w:szCs w:val="32"/>
          <w:u w:val="none"/>
          <w:lang w:val="en-US" w:eastAsia="zh-CN"/>
        </w:rPr>
        <w:t>（五）</w:t>
      </w:r>
      <w:r>
        <w:rPr>
          <w:rFonts w:hint="eastAsia" w:ascii="仿宋" w:hAnsi="仿宋" w:eastAsia="仿宋" w:cs="_4eff_5b8b_GB2312"/>
          <w:bCs/>
          <w:color w:val="000000"/>
          <w:sz w:val="32"/>
          <w:szCs w:val="32"/>
          <w:u w:val="none"/>
          <w:lang w:val="en-US" w:eastAsia="zh-CN" w:bidi="ar-SA"/>
        </w:rPr>
        <w:t>噪声污染防治工作。合理布局，采用低噪声设备，加强生产设备的日常维护保养工作，对主要噪声源设备采取隔声、减振等措施，确保厂界噪声达到《工业企业厂界环境噪声排放标准》(GB12348-2008)中的3类标准要求。</w:t>
      </w:r>
    </w:p>
    <w:p>
      <w:pPr>
        <w:keepNext w:val="0"/>
        <w:keepLines w:val="0"/>
        <w:pageBreakBefore w:val="0"/>
        <w:widowControl w:val="0"/>
        <w:suppressLineNumbers w:val="0"/>
        <w:kinsoku/>
        <w:wordWrap/>
        <w:overflowPunct/>
        <w:topLinePunct w:val="0"/>
        <w:bidi w:val="0"/>
        <w:snapToGrid/>
        <w:spacing w:before="0" w:beforeAutospacing="0" w:after="0" w:afterAutospacing="0" w:line="470" w:lineRule="exact"/>
        <w:ind w:left="0" w:right="0" w:firstLine="640"/>
        <w:jc w:val="left"/>
        <w:textAlignment w:val="auto"/>
        <w:rPr>
          <w:rFonts w:hint="eastAsia" w:ascii="仿宋" w:hAnsi="仿宋" w:eastAsia="仿宋"/>
          <w:sz w:val="32"/>
          <w:szCs w:val="32"/>
          <w:u w:val="none"/>
        </w:rPr>
      </w:pPr>
      <w:r>
        <w:rPr>
          <w:rFonts w:hint="eastAsia" w:ascii="仿宋" w:hAnsi="仿宋" w:eastAsia="仿宋" w:cs="_4eff_5b8b_GB2312"/>
          <w:bCs/>
          <w:color w:val="000000"/>
          <w:sz w:val="32"/>
          <w:szCs w:val="32"/>
          <w:u w:val="none"/>
          <w:lang w:val="en-US" w:eastAsia="zh-CN" w:bidi="ar-SA"/>
        </w:rPr>
        <w:t>（六）</w:t>
      </w:r>
      <w:r>
        <w:rPr>
          <w:rFonts w:hint="eastAsia" w:ascii="仿宋" w:hAnsi="仿宋" w:eastAsia="仿宋"/>
          <w:sz w:val="32"/>
          <w:szCs w:val="32"/>
          <w:u w:val="none"/>
        </w:rPr>
        <w:t>固体废物管理工作。根据“无害化、减量化、资源化”原则，严格落实《危险废物贮存污染控制标准（GB18597-2001）》及其2013年修改单和《危险废物收集贮存运输技术规范》（HJ 2025-2012）以及《</w:t>
      </w:r>
      <w:r>
        <w:rPr>
          <w:rFonts w:hint="eastAsia" w:ascii="仿宋" w:hAnsi="仿宋" w:eastAsia="仿宋"/>
          <w:sz w:val="32"/>
          <w:szCs w:val="32"/>
          <w:u w:val="none"/>
        </w:rPr>
        <w:fldChar w:fldCharType="begin"/>
      </w:r>
      <w:r>
        <w:rPr>
          <w:rFonts w:hint="eastAsia" w:ascii="仿宋" w:hAnsi="仿宋" w:eastAsia="仿宋"/>
          <w:sz w:val="32"/>
          <w:szCs w:val="32"/>
          <w:u w:val="none"/>
        </w:rPr>
        <w:instrText xml:space="preserve"> HYPERLINK "http://www.mee.gov.cn/ywgz/fgbz/bz/bzwb/gthw/gtfwwrkzbz/202012/W020201218695845325455.pdf" </w:instrText>
      </w:r>
      <w:r>
        <w:rPr>
          <w:rFonts w:hint="eastAsia" w:ascii="仿宋" w:hAnsi="仿宋" w:eastAsia="仿宋"/>
          <w:sz w:val="32"/>
          <w:szCs w:val="32"/>
          <w:u w:val="none"/>
        </w:rPr>
        <w:fldChar w:fldCharType="separate"/>
      </w:r>
      <w:r>
        <w:rPr>
          <w:rFonts w:hint="eastAsia" w:ascii="仿宋" w:hAnsi="仿宋" w:eastAsia="仿宋"/>
          <w:sz w:val="32"/>
          <w:szCs w:val="32"/>
          <w:u w:val="none"/>
        </w:rPr>
        <w:t>一般工业固体废物贮存和填埋污染控制标准（GB18599-2020）</w:t>
      </w:r>
      <w:r>
        <w:rPr>
          <w:rFonts w:hint="eastAsia" w:ascii="仿宋" w:hAnsi="仿宋" w:eastAsia="仿宋"/>
          <w:sz w:val="32"/>
          <w:szCs w:val="32"/>
          <w:u w:val="none"/>
        </w:rPr>
        <w:fldChar w:fldCharType="end"/>
      </w:r>
      <w:r>
        <w:rPr>
          <w:rFonts w:hint="eastAsia" w:ascii="仿宋" w:hAnsi="仿宋" w:eastAsia="仿宋"/>
          <w:sz w:val="32"/>
          <w:szCs w:val="32"/>
          <w:u w:val="none"/>
        </w:rPr>
        <w:t>》相关标准和规定要求，做好各类固体废物分类收集、暂存工作，</w:t>
      </w:r>
      <w:r>
        <w:rPr>
          <w:rFonts w:hint="eastAsia" w:ascii="仿宋" w:hAnsi="仿宋" w:eastAsia="仿宋"/>
          <w:sz w:val="32"/>
          <w:szCs w:val="32"/>
          <w:u w:val="none"/>
          <w:lang w:val="en-US" w:eastAsia="zh-CN"/>
        </w:rPr>
        <w:t>建立健全</w:t>
      </w:r>
      <w:r>
        <w:rPr>
          <w:rFonts w:hint="eastAsia" w:ascii="仿宋" w:hAnsi="仿宋" w:eastAsia="仿宋"/>
          <w:sz w:val="32"/>
          <w:szCs w:val="32"/>
          <w:u w:val="none"/>
        </w:rPr>
        <w:t>固体废物产生、收集、储存、转运、处置等相关管理台帐。项目产生的</w:t>
      </w:r>
      <w:r>
        <w:rPr>
          <w:rFonts w:hint="eastAsia" w:ascii="仿宋" w:hAnsi="仿宋" w:eastAsia="仿宋"/>
          <w:color w:val="auto"/>
          <w:sz w:val="32"/>
          <w:szCs w:val="32"/>
          <w:highlight w:val="none"/>
        </w:rPr>
        <w:t>裂解焚烧炉炉渣</w:t>
      </w:r>
      <w:r>
        <w:rPr>
          <w:rFonts w:hint="eastAsia" w:ascii="仿宋" w:hAnsi="仿宋" w:eastAsia="仿宋"/>
          <w:sz w:val="32"/>
          <w:szCs w:val="32"/>
          <w:u w:val="none"/>
          <w:lang w:val="en-US" w:eastAsia="zh-CN"/>
        </w:rPr>
        <w:t>和</w:t>
      </w:r>
      <w:r>
        <w:rPr>
          <w:rFonts w:hint="eastAsia" w:ascii="仿宋" w:hAnsi="仿宋" w:eastAsia="仿宋"/>
          <w:color w:val="auto"/>
          <w:sz w:val="32"/>
          <w:szCs w:val="32"/>
          <w:highlight w:val="none"/>
        </w:rPr>
        <w:t>废钒催化</w:t>
      </w:r>
      <w:r>
        <w:rPr>
          <w:rFonts w:hint="eastAsia" w:ascii="仿宋" w:hAnsi="仿宋" w:eastAsia="仿宋"/>
          <w:color w:val="auto"/>
          <w:sz w:val="32"/>
          <w:szCs w:val="32"/>
          <w:highlight w:val="none"/>
          <w:u w:val="none"/>
        </w:rPr>
        <w:t>剂</w:t>
      </w:r>
      <w:r>
        <w:rPr>
          <w:rFonts w:hint="eastAsia" w:ascii="仿宋" w:hAnsi="仿宋" w:eastAsia="仿宋"/>
          <w:sz w:val="32"/>
          <w:szCs w:val="32"/>
          <w:u w:val="none"/>
        </w:rPr>
        <w:t>等危险废物经</w:t>
      </w:r>
      <w:r>
        <w:rPr>
          <w:rFonts w:hint="eastAsia" w:ascii="仿宋" w:hAnsi="仿宋" w:eastAsia="仿宋" w:cs="仿宋"/>
          <w:kern w:val="2"/>
          <w:sz w:val="32"/>
          <w:szCs w:val="32"/>
          <w:u w:val="none"/>
          <w:lang w:val="en-US" w:eastAsia="zh-CN" w:bidi="ar"/>
        </w:rPr>
        <w:t>收集后交有资质的单位安全处置并严格按照</w:t>
      </w:r>
      <w:r>
        <w:rPr>
          <w:rFonts w:hint="eastAsia" w:ascii="仿宋" w:hAnsi="仿宋" w:eastAsia="仿宋" w:cs="仿宋"/>
          <w:sz w:val="32"/>
          <w:szCs w:val="32"/>
          <w:u w:val="none"/>
        </w:rPr>
        <w:t>《</w:t>
      </w:r>
      <w:r>
        <w:rPr>
          <w:rFonts w:hint="eastAsia" w:ascii="仿宋" w:hAnsi="仿宋" w:eastAsia="仿宋" w:cs="仿宋"/>
          <w:kern w:val="2"/>
          <w:sz w:val="32"/>
          <w:szCs w:val="32"/>
          <w:u w:val="none"/>
          <w:lang w:val="en-US" w:eastAsia="zh-CN" w:bidi="ar"/>
        </w:rPr>
        <w:t>危险废物转移管理办法</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要求</w:t>
      </w:r>
      <w:r>
        <w:rPr>
          <w:rFonts w:hint="eastAsia" w:ascii="仿宋" w:hAnsi="仿宋" w:eastAsia="仿宋" w:cs="仿宋"/>
          <w:kern w:val="2"/>
          <w:sz w:val="32"/>
          <w:szCs w:val="32"/>
          <w:u w:val="none"/>
          <w:lang w:val="en-US" w:eastAsia="zh-CN" w:bidi="ar"/>
        </w:rPr>
        <w:t>落实相关转移工作；</w:t>
      </w:r>
      <w:r>
        <w:rPr>
          <w:rFonts w:hint="eastAsia" w:ascii="仿宋" w:hAnsi="仿宋" w:eastAsia="仿宋"/>
          <w:color w:val="auto"/>
          <w:sz w:val="32"/>
          <w:szCs w:val="32"/>
          <w:highlight w:val="none"/>
        </w:rPr>
        <w:t>钙盐沉淀</w:t>
      </w:r>
      <w:r>
        <w:rPr>
          <w:rFonts w:hint="eastAsia" w:ascii="仿宋" w:hAnsi="仿宋" w:eastAsia="仿宋"/>
          <w:sz w:val="32"/>
          <w:szCs w:val="32"/>
          <w:u w:val="none"/>
          <w:lang w:val="en-US" w:eastAsia="zh-CN"/>
        </w:rPr>
        <w:t>等一般固体废物经收集后按要求综合利用</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508" w:lineRule="exact"/>
        <w:ind w:firstLine="640" w:firstLineChars="200"/>
        <w:textAlignment w:val="auto"/>
        <w:rPr>
          <w:rFonts w:hint="eastAsia" w:ascii="仿宋" w:hAnsi="仿宋" w:eastAsia="仿宋" w:cs="仿宋"/>
          <w:sz w:val="28"/>
          <w:szCs w:val="28"/>
          <w:u w:val="single"/>
          <w:lang w:eastAsia="zh-CN"/>
        </w:rPr>
      </w:pPr>
      <w:r>
        <w:rPr>
          <w:rFonts w:hint="eastAsia" w:ascii="仿宋" w:hAnsi="仿宋" w:eastAsia="仿宋" w:cs="_4eff_5b8b_GB2312"/>
          <w:bCs/>
          <w:color w:val="000000"/>
          <w:sz w:val="32"/>
          <w:szCs w:val="32"/>
          <w:u w:val="none"/>
        </w:rPr>
        <w:t>（七）</w:t>
      </w:r>
      <w:r>
        <w:rPr>
          <w:rFonts w:hint="eastAsia" w:ascii="仿宋" w:hAnsi="仿宋" w:eastAsia="仿宋"/>
          <w:sz w:val="32"/>
          <w:szCs w:val="32"/>
          <w:u w:val="none"/>
        </w:rPr>
        <w:t>环境管理和风险防范工作。设置专门环保机构，配备专职环保管理人员，加强生产设备和污防设施的检修、保养及管理人员培训工作，建立健全污染防治设施运行管理台帐。加强日常监管，杜绝生产过程中的跑、冒、滴、漏，确保各污染防治设施的正常运行，各类污染物稳定达标排放。做好运营期环境监测工作，严格落实报告书提出的各项环境风险防范措施，按要求配齐各类泄漏检测报警仪器和</w:t>
      </w:r>
      <w:r>
        <w:rPr>
          <w:rFonts w:hint="eastAsia" w:ascii="仿宋" w:hAnsi="仿宋" w:eastAsia="仿宋"/>
          <w:sz w:val="32"/>
          <w:szCs w:val="32"/>
          <w:u w:val="none"/>
          <w:lang w:val="en-US" w:eastAsia="zh-CN"/>
        </w:rPr>
        <w:t>监控</w:t>
      </w:r>
      <w:r>
        <w:rPr>
          <w:rFonts w:hint="eastAsia" w:ascii="仿宋" w:hAnsi="仿宋" w:eastAsia="仿宋"/>
          <w:sz w:val="32"/>
          <w:szCs w:val="32"/>
          <w:u w:val="none"/>
          <w:lang w:eastAsia="zh-CN"/>
        </w:rPr>
        <w:t>、</w:t>
      </w:r>
      <w:r>
        <w:rPr>
          <w:rFonts w:hint="eastAsia" w:ascii="仿宋" w:hAnsi="仿宋" w:eastAsia="仿宋"/>
          <w:sz w:val="32"/>
          <w:szCs w:val="32"/>
          <w:u w:val="none"/>
        </w:rPr>
        <w:t>应急设施，</w:t>
      </w:r>
      <w:r>
        <w:rPr>
          <w:rFonts w:hint="eastAsia" w:ascii="仿宋" w:hAnsi="仿宋" w:eastAsia="仿宋"/>
          <w:sz w:val="32"/>
          <w:szCs w:val="32"/>
          <w:u w:val="none"/>
          <w:lang w:val="en-US" w:eastAsia="zh-CN"/>
        </w:rPr>
        <w:t>规范建设罐区配套设施等，</w:t>
      </w:r>
      <w:r>
        <w:rPr>
          <w:rFonts w:hint="eastAsia" w:ascii="仿宋" w:hAnsi="仿宋" w:eastAsia="仿宋"/>
          <w:sz w:val="32"/>
          <w:szCs w:val="32"/>
          <w:u w:val="none"/>
        </w:rPr>
        <w:t>按照《突发环境事件应急管理办法》</w:t>
      </w:r>
      <w:r>
        <w:rPr>
          <w:rFonts w:hint="eastAsia" w:ascii="仿宋" w:hAnsi="仿宋" w:eastAsia="仿宋"/>
          <w:sz w:val="32"/>
          <w:szCs w:val="32"/>
          <w:u w:val="none"/>
          <w:lang w:val="en-US" w:eastAsia="zh-CN"/>
        </w:rPr>
        <w:t>制订</w:t>
      </w:r>
      <w:r>
        <w:rPr>
          <w:rFonts w:hint="eastAsia" w:ascii="仿宋" w:hAnsi="仿宋" w:eastAsia="仿宋"/>
          <w:sz w:val="32"/>
          <w:szCs w:val="32"/>
          <w:u w:val="none"/>
        </w:rPr>
        <w:t>突发环境事件应急预案，储备风险救助物资并定期组织演练，杜绝环境风险事故发生，确保周边环境安全</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val="0"/>
        <w:autoSpaceDN/>
        <w:bidi w:val="0"/>
        <w:adjustRightInd/>
        <w:snapToGrid/>
        <w:spacing w:line="47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_4eff_5b8b_GB2312"/>
          <w:bCs/>
          <w:color w:val="000000"/>
          <w:sz w:val="32"/>
          <w:szCs w:val="32"/>
          <w:u w:val="none"/>
        </w:rPr>
        <w:t>（八）</w:t>
      </w:r>
      <w:r>
        <w:rPr>
          <w:rFonts w:hint="eastAsia" w:ascii="仿宋" w:hAnsi="仿宋" w:eastAsia="仿宋" w:cs="_4eff_5b8b_GB2312"/>
          <w:bCs/>
          <w:color w:val="000000"/>
          <w:sz w:val="32"/>
          <w:szCs w:val="32"/>
          <w:u w:val="none"/>
          <w:lang w:val="en-US" w:eastAsia="zh-CN"/>
        </w:rPr>
        <w:t>本</w:t>
      </w:r>
      <w:r>
        <w:rPr>
          <w:rFonts w:hint="eastAsia" w:ascii="仿宋" w:hAnsi="仿宋" w:eastAsia="仿宋" w:cs="_4eff_5b8b_GB2312"/>
          <w:bCs/>
          <w:color w:val="000000"/>
          <w:sz w:val="32"/>
          <w:szCs w:val="32"/>
          <w:u w:val="none"/>
        </w:rPr>
        <w:t>项目</w:t>
      </w:r>
      <w:r>
        <w:rPr>
          <w:rFonts w:hint="eastAsia" w:ascii="仿宋" w:hAnsi="仿宋" w:eastAsia="仿宋" w:cs="_4eff_5b8b_GB2312"/>
          <w:bCs/>
          <w:color w:val="000000"/>
          <w:sz w:val="32"/>
          <w:szCs w:val="32"/>
          <w:u w:val="none"/>
          <w:lang w:val="en-US" w:eastAsia="zh-CN"/>
        </w:rPr>
        <w:t>新增</w:t>
      </w:r>
      <w:r>
        <w:rPr>
          <w:rFonts w:hint="eastAsia" w:ascii="仿宋" w:hAnsi="仿宋" w:eastAsia="仿宋" w:cs="_4eff_5b8b_GB2312"/>
          <w:bCs/>
          <w:color w:val="000000"/>
          <w:sz w:val="32"/>
          <w:szCs w:val="32"/>
          <w:u w:val="none"/>
        </w:rPr>
        <w:t>主要污染物总量控制指标</w:t>
      </w:r>
      <w:r>
        <w:rPr>
          <w:rFonts w:hint="eastAsia" w:ascii="仿宋" w:hAnsi="仿宋" w:eastAsia="仿宋" w:cs="仿宋"/>
          <w:sz w:val="32"/>
          <w:szCs w:val="32"/>
          <w:u w:val="none"/>
          <w:lang w:val="en-US" w:eastAsia="zh-CN"/>
        </w:rPr>
        <w:t>为SO</w:t>
      </w:r>
      <w:r>
        <w:rPr>
          <w:rFonts w:hint="eastAsia" w:ascii="仿宋" w:hAnsi="仿宋" w:eastAsia="仿宋" w:cs="仿宋"/>
          <w:sz w:val="32"/>
          <w:szCs w:val="32"/>
          <w:u w:val="none"/>
          <w:vertAlign w:val="subscript"/>
          <w:lang w:val="en-US" w:eastAsia="zh-CN"/>
        </w:rPr>
        <w:t>2</w:t>
      </w:r>
      <w:r>
        <w:rPr>
          <w:rFonts w:hint="eastAsia" w:ascii="仿宋" w:hAnsi="仿宋" w:eastAsia="仿宋" w:cs="仿宋"/>
          <w:sz w:val="32"/>
          <w:szCs w:val="32"/>
          <w:u w:val="none"/>
          <w:lang w:val="en-US" w:eastAsia="zh-CN"/>
        </w:rPr>
        <w:t>≤0.54t/a、NO</w:t>
      </w:r>
      <w:r>
        <w:rPr>
          <w:rFonts w:hint="eastAsia" w:ascii="仿宋" w:hAnsi="仿宋" w:eastAsia="仿宋" w:cs="仿宋"/>
          <w:sz w:val="32"/>
          <w:szCs w:val="32"/>
          <w:u w:val="none"/>
          <w:vertAlign w:val="subscript"/>
          <w:lang w:val="en-US" w:eastAsia="zh-CN"/>
        </w:rPr>
        <w:t>X</w:t>
      </w:r>
      <w:r>
        <w:rPr>
          <w:rFonts w:hint="eastAsia" w:ascii="仿宋" w:hAnsi="仿宋" w:eastAsia="仿宋" w:cs="仿宋"/>
          <w:sz w:val="32"/>
          <w:szCs w:val="32"/>
          <w:u w:val="none"/>
          <w:lang w:val="en-US" w:eastAsia="zh-CN"/>
        </w:rPr>
        <w:t>≤0.27t/a、COD≤0.2t/a、氨氮≤0.02t/a。项目总量纳入公司现有总量控制指标内管理，公司现有总量在排污权证范围内。</w:t>
      </w:r>
    </w:p>
    <w:p>
      <w:pPr>
        <w:keepNext w:val="0"/>
        <w:keepLines w:val="0"/>
        <w:pageBreakBefore w:val="0"/>
        <w:widowControl w:val="0"/>
        <w:kinsoku/>
        <w:wordWrap/>
        <w:overflowPunct/>
        <w:topLinePunct w:val="0"/>
        <w:autoSpaceDE w:val="0"/>
        <w:autoSpaceDN/>
        <w:bidi w:val="0"/>
        <w:adjustRightInd/>
        <w:snapToGrid/>
        <w:spacing w:line="508"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三、你公司应收到本批复后15个工作日内，将批复及批准的环评报告文件送岳阳市生态环境局云溪分局、</w:t>
      </w:r>
      <w:r>
        <w:rPr>
          <w:rFonts w:hint="eastAsia" w:ascii="仿宋" w:hAnsi="仿宋" w:eastAsia="仿宋" w:cs="_4eff_5b8b_GB2312"/>
          <w:bCs/>
          <w:color w:val="000000"/>
          <w:sz w:val="32"/>
          <w:szCs w:val="32"/>
          <w:u w:val="none"/>
          <w:lang w:eastAsia="zh-CN"/>
        </w:rPr>
        <w:t>湖南葆华环保科技有限公司</w:t>
      </w:r>
      <w:r>
        <w:rPr>
          <w:rFonts w:hint="eastAsia" w:ascii="仿宋" w:hAnsi="仿宋" w:eastAsia="仿宋" w:cs="_4eff_5b8b_GB2312"/>
          <w:bCs/>
          <w:color w:val="000000"/>
          <w:sz w:val="32"/>
          <w:szCs w:val="32"/>
          <w:u w:val="none"/>
        </w:rPr>
        <w:t>。</w:t>
      </w:r>
    </w:p>
    <w:p>
      <w:pPr>
        <w:keepNext w:val="0"/>
        <w:keepLines w:val="0"/>
        <w:pageBreakBefore w:val="0"/>
        <w:widowControl w:val="0"/>
        <w:kinsoku/>
        <w:wordWrap/>
        <w:overflowPunct/>
        <w:topLinePunct w:val="0"/>
        <w:autoSpaceDE w:val="0"/>
        <w:autoSpaceDN/>
        <w:bidi w:val="0"/>
        <w:adjustRightInd/>
        <w:snapToGrid/>
        <w:spacing w:line="508"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四、请岳阳市生态环境局云溪分局负责项目建设和运营期的日常环境监管。</w:t>
      </w:r>
    </w:p>
    <w:p>
      <w:pPr>
        <w:spacing w:line="480" w:lineRule="exact"/>
        <w:rPr>
          <w:rFonts w:ascii="仿宋" w:hAnsi="仿宋" w:eastAsia="仿宋"/>
          <w:sz w:val="32"/>
          <w:szCs w:val="32"/>
          <w:u w:val="single"/>
        </w:rPr>
      </w:pP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bookmarkStart w:id="1" w:name="_GoBack"/>
      <w:bookmarkEnd w:id="1"/>
    </w:p>
    <w:p>
      <w:pPr>
        <w:spacing w:line="480" w:lineRule="exact"/>
        <w:rPr>
          <w:rFonts w:hint="eastAsia" w:ascii="仿宋" w:hAnsi="仿宋" w:eastAsia="仿宋"/>
          <w:sz w:val="32"/>
          <w:szCs w:val="32"/>
          <w:u w:val="none"/>
        </w:rPr>
      </w:pPr>
      <w:r>
        <w:rPr>
          <w:rFonts w:ascii="仿宋" w:hAnsi="仿宋" w:eastAsia="仿宋"/>
          <w:sz w:val="32"/>
          <w:szCs w:val="32"/>
          <w:u w:val="none"/>
        </w:rPr>
        <w:t xml:space="preserve">                        岳阳市生态环境局</w:t>
      </w:r>
    </w:p>
    <w:p>
      <w:pPr>
        <w:spacing w:line="480" w:lineRule="exact"/>
        <w:ind w:firstLine="64" w:firstLineChars="20"/>
        <w:rPr>
          <w:color w:val="000000"/>
          <w:szCs w:val="22"/>
          <w:u w:val="none"/>
        </w:rPr>
      </w:pPr>
      <w:r>
        <w:rPr>
          <w:rFonts w:ascii="仿宋" w:hAnsi="仿宋" w:eastAsia="仿宋"/>
          <w:sz w:val="32"/>
          <w:szCs w:val="32"/>
          <w:u w:val="none"/>
        </w:rPr>
        <w:t xml:space="preserve">                            </w:t>
      </w:r>
      <w:r>
        <w:rPr>
          <w:rFonts w:ascii="仿宋" w:hAnsi="仿宋" w:eastAsia="仿宋"/>
          <w:spacing w:val="-11"/>
          <w:sz w:val="32"/>
          <w:szCs w:val="32"/>
          <w:u w:val="none"/>
        </w:rPr>
        <w:t>2022年</w:t>
      </w:r>
      <w:r>
        <w:rPr>
          <w:rFonts w:hint="eastAsia" w:ascii="仿宋" w:hAnsi="仿宋" w:eastAsia="仿宋"/>
          <w:spacing w:val="-11"/>
          <w:sz w:val="32"/>
          <w:szCs w:val="32"/>
          <w:u w:val="none"/>
          <w:lang w:val="en-US" w:eastAsia="zh-CN"/>
        </w:rPr>
        <w:t>11</w:t>
      </w:r>
      <w:r>
        <w:rPr>
          <w:rFonts w:ascii="仿宋" w:hAnsi="仿宋" w:eastAsia="仿宋"/>
          <w:spacing w:val="-11"/>
          <w:sz w:val="32"/>
          <w:szCs w:val="32"/>
          <w:u w:val="none"/>
        </w:rPr>
        <w:t>月</w:t>
      </w:r>
      <w:r>
        <w:rPr>
          <w:rFonts w:hint="eastAsia" w:ascii="仿宋" w:hAnsi="仿宋" w:eastAsia="仿宋"/>
          <w:spacing w:val="-11"/>
          <w:sz w:val="32"/>
          <w:szCs w:val="32"/>
          <w:u w:val="none"/>
          <w:lang w:val="en-US" w:eastAsia="zh-CN"/>
        </w:rPr>
        <w:t>2</w:t>
      </w:r>
      <w:r>
        <w:rPr>
          <w:rFonts w:ascii="仿宋" w:hAnsi="仿宋" w:eastAsia="仿宋"/>
          <w:spacing w:val="-11"/>
          <w:sz w:val="32"/>
          <w:szCs w:val="32"/>
          <w:u w:val="none"/>
        </w:rPr>
        <w:t>日</w:t>
      </w:r>
    </w:p>
    <w:p>
      <w:pPr>
        <w:spacing w:line="480" w:lineRule="exact"/>
        <w:ind w:firstLine="40" w:firstLineChars="20"/>
        <w:jc w:val="both"/>
        <w:rPr>
          <w:u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689" w:bottom="1440" w:left="1689"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fldChar w:fldCharType="begin"/>
    </w:r>
    <w:r>
      <w:instrText xml:space="preserve">PAGE   \* MERGEFORMAT</w:instrText>
    </w:r>
    <w:r>
      <w:fldChar w:fldCharType="separate"/>
    </w:r>
    <w:r>
      <w:rPr>
        <w:lang w:val="zh-CN"/>
      </w:rPr>
      <w:t>2</w:t>
    </w:r>
    <w:r>
      <w:fldChar w:fldCharType="end"/>
    </w:r>
  </w:p>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9EDA9"/>
    <w:multiLevelType w:val="singleLevel"/>
    <w:tmpl w:val="9CA9EDA9"/>
    <w:lvl w:ilvl="0" w:tentative="0">
      <w:start w:val="1"/>
      <w:numFmt w:val="bullet"/>
      <w:pStyle w:val="13"/>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5079DF"/>
    <w:rsid w:val="005A7208"/>
    <w:rsid w:val="00925FA4"/>
    <w:rsid w:val="0093216E"/>
    <w:rsid w:val="00C76252"/>
    <w:rsid w:val="0172598F"/>
    <w:rsid w:val="017A36FD"/>
    <w:rsid w:val="01804167"/>
    <w:rsid w:val="02046418"/>
    <w:rsid w:val="024330B6"/>
    <w:rsid w:val="02B22AA9"/>
    <w:rsid w:val="02F75A2C"/>
    <w:rsid w:val="030126EB"/>
    <w:rsid w:val="039B5B6E"/>
    <w:rsid w:val="04B862AB"/>
    <w:rsid w:val="05085485"/>
    <w:rsid w:val="05C42D45"/>
    <w:rsid w:val="05D7488F"/>
    <w:rsid w:val="062A1B37"/>
    <w:rsid w:val="06D41775"/>
    <w:rsid w:val="08262763"/>
    <w:rsid w:val="086150D6"/>
    <w:rsid w:val="089D3FDB"/>
    <w:rsid w:val="08B438D9"/>
    <w:rsid w:val="08D31953"/>
    <w:rsid w:val="09480C43"/>
    <w:rsid w:val="09F50A27"/>
    <w:rsid w:val="0A7F7F97"/>
    <w:rsid w:val="0BA965B8"/>
    <w:rsid w:val="0BC07F69"/>
    <w:rsid w:val="0CBF4C23"/>
    <w:rsid w:val="0CF112EE"/>
    <w:rsid w:val="0D3B5CAB"/>
    <w:rsid w:val="0D5E5DB1"/>
    <w:rsid w:val="0D9C1255"/>
    <w:rsid w:val="0F1A64E0"/>
    <w:rsid w:val="0F256C33"/>
    <w:rsid w:val="0F2629D1"/>
    <w:rsid w:val="0F82454C"/>
    <w:rsid w:val="0FEA6BFB"/>
    <w:rsid w:val="116C667E"/>
    <w:rsid w:val="11EE5A02"/>
    <w:rsid w:val="122E5629"/>
    <w:rsid w:val="123322BF"/>
    <w:rsid w:val="12903870"/>
    <w:rsid w:val="12C42501"/>
    <w:rsid w:val="12F17558"/>
    <w:rsid w:val="134F6AB4"/>
    <w:rsid w:val="13EA06B5"/>
    <w:rsid w:val="145A0633"/>
    <w:rsid w:val="14A02886"/>
    <w:rsid w:val="14B5790D"/>
    <w:rsid w:val="14B76732"/>
    <w:rsid w:val="14C65740"/>
    <w:rsid w:val="161052CE"/>
    <w:rsid w:val="16855DC9"/>
    <w:rsid w:val="16D658D7"/>
    <w:rsid w:val="193D5DCA"/>
    <w:rsid w:val="1A187AC0"/>
    <w:rsid w:val="1B0B16D2"/>
    <w:rsid w:val="1C6B4928"/>
    <w:rsid w:val="1C765C6B"/>
    <w:rsid w:val="1D644DCB"/>
    <w:rsid w:val="1DC37D43"/>
    <w:rsid w:val="1DE74BBA"/>
    <w:rsid w:val="1E4977D9"/>
    <w:rsid w:val="1E930AF4"/>
    <w:rsid w:val="1EE12F78"/>
    <w:rsid w:val="1F4C3143"/>
    <w:rsid w:val="1F5E5F75"/>
    <w:rsid w:val="1F6E104C"/>
    <w:rsid w:val="1F6F01CA"/>
    <w:rsid w:val="1FB73367"/>
    <w:rsid w:val="1FB95DF2"/>
    <w:rsid w:val="1FED6F09"/>
    <w:rsid w:val="21617BDF"/>
    <w:rsid w:val="218569EA"/>
    <w:rsid w:val="219857D3"/>
    <w:rsid w:val="22D24584"/>
    <w:rsid w:val="23077A58"/>
    <w:rsid w:val="2366189C"/>
    <w:rsid w:val="23910F38"/>
    <w:rsid w:val="246E0528"/>
    <w:rsid w:val="249E4DEC"/>
    <w:rsid w:val="253972F4"/>
    <w:rsid w:val="25700B4B"/>
    <w:rsid w:val="257213F7"/>
    <w:rsid w:val="25767D3C"/>
    <w:rsid w:val="25AF4F91"/>
    <w:rsid w:val="2620416C"/>
    <w:rsid w:val="264D464E"/>
    <w:rsid w:val="265131EC"/>
    <w:rsid w:val="2675089C"/>
    <w:rsid w:val="26752657"/>
    <w:rsid w:val="269742E9"/>
    <w:rsid w:val="27A24E6D"/>
    <w:rsid w:val="27F01264"/>
    <w:rsid w:val="28082B5E"/>
    <w:rsid w:val="28141F89"/>
    <w:rsid w:val="28854EED"/>
    <w:rsid w:val="2901329B"/>
    <w:rsid w:val="29351896"/>
    <w:rsid w:val="293A7102"/>
    <w:rsid w:val="297B3EC5"/>
    <w:rsid w:val="29F43F54"/>
    <w:rsid w:val="2A354571"/>
    <w:rsid w:val="2DA500D2"/>
    <w:rsid w:val="2E03543C"/>
    <w:rsid w:val="2EC21951"/>
    <w:rsid w:val="2ED578D6"/>
    <w:rsid w:val="2F37233F"/>
    <w:rsid w:val="2F991498"/>
    <w:rsid w:val="2FBE4369"/>
    <w:rsid w:val="2FDE6F4A"/>
    <w:rsid w:val="30C85944"/>
    <w:rsid w:val="319947CD"/>
    <w:rsid w:val="31C50C5A"/>
    <w:rsid w:val="31D1627B"/>
    <w:rsid w:val="31D77B24"/>
    <w:rsid w:val="327562FB"/>
    <w:rsid w:val="338139A3"/>
    <w:rsid w:val="338238B2"/>
    <w:rsid w:val="34925A11"/>
    <w:rsid w:val="36A06A1C"/>
    <w:rsid w:val="36B9188B"/>
    <w:rsid w:val="36F1784F"/>
    <w:rsid w:val="371755C1"/>
    <w:rsid w:val="374B6685"/>
    <w:rsid w:val="374F4019"/>
    <w:rsid w:val="37580DE2"/>
    <w:rsid w:val="37C11A0D"/>
    <w:rsid w:val="37DB2961"/>
    <w:rsid w:val="37E401D0"/>
    <w:rsid w:val="390C2146"/>
    <w:rsid w:val="390E4C54"/>
    <w:rsid w:val="39387D98"/>
    <w:rsid w:val="393F4770"/>
    <w:rsid w:val="397A7369"/>
    <w:rsid w:val="39F51338"/>
    <w:rsid w:val="3A8310CB"/>
    <w:rsid w:val="3D45566E"/>
    <w:rsid w:val="3E78202C"/>
    <w:rsid w:val="3EFE2C6E"/>
    <w:rsid w:val="3F024441"/>
    <w:rsid w:val="3F1A655B"/>
    <w:rsid w:val="3F427EE2"/>
    <w:rsid w:val="3FB17DFB"/>
    <w:rsid w:val="40354106"/>
    <w:rsid w:val="40B124CA"/>
    <w:rsid w:val="40E619D0"/>
    <w:rsid w:val="417C1E33"/>
    <w:rsid w:val="425B3DD9"/>
    <w:rsid w:val="4291183E"/>
    <w:rsid w:val="42D57B3D"/>
    <w:rsid w:val="43646117"/>
    <w:rsid w:val="43A10C96"/>
    <w:rsid w:val="44637C14"/>
    <w:rsid w:val="447D1C81"/>
    <w:rsid w:val="44C25FDA"/>
    <w:rsid w:val="45111C43"/>
    <w:rsid w:val="45B27752"/>
    <w:rsid w:val="45F53868"/>
    <w:rsid w:val="461B020C"/>
    <w:rsid w:val="465E7BAC"/>
    <w:rsid w:val="46A338D2"/>
    <w:rsid w:val="47335C34"/>
    <w:rsid w:val="4830538A"/>
    <w:rsid w:val="48D60EF7"/>
    <w:rsid w:val="490966A2"/>
    <w:rsid w:val="498D0A16"/>
    <w:rsid w:val="4A392B8E"/>
    <w:rsid w:val="4AC62A9D"/>
    <w:rsid w:val="4BD60B78"/>
    <w:rsid w:val="4BF41811"/>
    <w:rsid w:val="4C64552E"/>
    <w:rsid w:val="4C720429"/>
    <w:rsid w:val="4EB50A05"/>
    <w:rsid w:val="4FFC0D0F"/>
    <w:rsid w:val="50B52913"/>
    <w:rsid w:val="51022EB8"/>
    <w:rsid w:val="51FA302C"/>
    <w:rsid w:val="52E15F9A"/>
    <w:rsid w:val="532D11DF"/>
    <w:rsid w:val="53B5186B"/>
    <w:rsid w:val="53C94D4E"/>
    <w:rsid w:val="53DD0E57"/>
    <w:rsid w:val="543134A5"/>
    <w:rsid w:val="545A11B5"/>
    <w:rsid w:val="55D8771A"/>
    <w:rsid w:val="561D1830"/>
    <w:rsid w:val="56FE7A11"/>
    <w:rsid w:val="578B02E3"/>
    <w:rsid w:val="57AB1477"/>
    <w:rsid w:val="57DB178D"/>
    <w:rsid w:val="57E82929"/>
    <w:rsid w:val="5811586C"/>
    <w:rsid w:val="585E2283"/>
    <w:rsid w:val="592B61ED"/>
    <w:rsid w:val="595F71C2"/>
    <w:rsid w:val="599134C3"/>
    <w:rsid w:val="59C416EA"/>
    <w:rsid w:val="5A3F0176"/>
    <w:rsid w:val="5A487F00"/>
    <w:rsid w:val="5ACB5F7E"/>
    <w:rsid w:val="5B687259"/>
    <w:rsid w:val="5B936B23"/>
    <w:rsid w:val="5BB1236D"/>
    <w:rsid w:val="5C593045"/>
    <w:rsid w:val="5C782274"/>
    <w:rsid w:val="5CB12C90"/>
    <w:rsid w:val="5CE6055C"/>
    <w:rsid w:val="5DF45D35"/>
    <w:rsid w:val="5E3B0524"/>
    <w:rsid w:val="5F597D26"/>
    <w:rsid w:val="5F8110FD"/>
    <w:rsid w:val="5F847057"/>
    <w:rsid w:val="61715875"/>
    <w:rsid w:val="61916E3E"/>
    <w:rsid w:val="61974B52"/>
    <w:rsid w:val="61D02FB3"/>
    <w:rsid w:val="625C31C0"/>
    <w:rsid w:val="62B90CF6"/>
    <w:rsid w:val="62C84D65"/>
    <w:rsid w:val="62E11424"/>
    <w:rsid w:val="63474FB3"/>
    <w:rsid w:val="63A34002"/>
    <w:rsid w:val="64393226"/>
    <w:rsid w:val="64402523"/>
    <w:rsid w:val="657C1287"/>
    <w:rsid w:val="65DB1626"/>
    <w:rsid w:val="65F30067"/>
    <w:rsid w:val="66DD0822"/>
    <w:rsid w:val="67675ABC"/>
    <w:rsid w:val="67FB3202"/>
    <w:rsid w:val="681100F9"/>
    <w:rsid w:val="68780870"/>
    <w:rsid w:val="69071A90"/>
    <w:rsid w:val="692D388F"/>
    <w:rsid w:val="694B3D6D"/>
    <w:rsid w:val="69B6668F"/>
    <w:rsid w:val="6A072CCD"/>
    <w:rsid w:val="6B0E6590"/>
    <w:rsid w:val="6B8C0D41"/>
    <w:rsid w:val="6C467142"/>
    <w:rsid w:val="6C5D15CE"/>
    <w:rsid w:val="6D7F639C"/>
    <w:rsid w:val="6D800432"/>
    <w:rsid w:val="6E3B1502"/>
    <w:rsid w:val="6E783365"/>
    <w:rsid w:val="6EC94357"/>
    <w:rsid w:val="6F203F78"/>
    <w:rsid w:val="6FAF51B1"/>
    <w:rsid w:val="6FB46AB9"/>
    <w:rsid w:val="6FF07C9F"/>
    <w:rsid w:val="705A0364"/>
    <w:rsid w:val="70E2609B"/>
    <w:rsid w:val="714061B8"/>
    <w:rsid w:val="721F3D0A"/>
    <w:rsid w:val="730065A6"/>
    <w:rsid w:val="73A12654"/>
    <w:rsid w:val="74463A57"/>
    <w:rsid w:val="74CC66DB"/>
    <w:rsid w:val="74D016B7"/>
    <w:rsid w:val="77121525"/>
    <w:rsid w:val="77627606"/>
    <w:rsid w:val="777B69C0"/>
    <w:rsid w:val="77CC5F6D"/>
    <w:rsid w:val="7808174F"/>
    <w:rsid w:val="788D05ED"/>
    <w:rsid w:val="78E71CAD"/>
    <w:rsid w:val="79201AFA"/>
    <w:rsid w:val="794E5888"/>
    <w:rsid w:val="79DD225C"/>
    <w:rsid w:val="7B1339EF"/>
    <w:rsid w:val="7B4031D2"/>
    <w:rsid w:val="7B6A2504"/>
    <w:rsid w:val="7B837B29"/>
    <w:rsid w:val="7B844F72"/>
    <w:rsid w:val="7BD6533A"/>
    <w:rsid w:val="7C094CF5"/>
    <w:rsid w:val="7C0A1AFB"/>
    <w:rsid w:val="7C5759AE"/>
    <w:rsid w:val="7CFF67CF"/>
    <w:rsid w:val="7DC21241"/>
    <w:rsid w:val="7DF252F0"/>
    <w:rsid w:val="7E6A3164"/>
    <w:rsid w:val="7F1C0812"/>
    <w:rsid w:val="7FDD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17">
    <w:name w:val="heading 1"/>
    <w:basedOn w:val="1"/>
    <w:next w:val="18"/>
    <w:qFormat/>
    <w:uiPriority w:val="0"/>
    <w:pPr>
      <w:keepNext/>
      <w:keepLines/>
      <w:spacing w:before="300" w:after="300" w:line="360" w:lineRule="auto"/>
      <w:jc w:val="center"/>
      <w:outlineLvl w:val="0"/>
    </w:pPr>
    <w:rPr>
      <w:b/>
      <w:kern w:val="44"/>
      <w:sz w:val="36"/>
    </w:rPr>
  </w:style>
  <w:style w:type="character" w:default="1" w:styleId="30">
    <w:name w:val="Default Paragraph Font"/>
    <w:semiHidden/>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next w:val="1"/>
    <w:qFormat/>
    <w:uiPriority w:val="0"/>
    <w:pPr>
      <w:widowControl/>
      <w:adjustRightInd w:val="0"/>
      <w:snapToGrid w:val="0"/>
      <w:spacing w:line="360" w:lineRule="auto"/>
      <w:ind w:firstLine="480" w:firstLineChars="200"/>
      <w:jc w:val="left"/>
    </w:pPr>
    <w:rPr>
      <w:rFonts w:ascii="宋体" w:hAnsi="Courier New" w:cs="宋体"/>
      <w:kern w:val="0"/>
      <w:sz w:val="24"/>
    </w:rPr>
  </w:style>
  <w:style w:type="paragraph" w:customStyle="1" w:styleId="4">
    <w:name w:val="样式35"/>
    <w:basedOn w:val="5"/>
    <w:next w:val="7"/>
    <w:qFormat/>
    <w:uiPriority w:val="0"/>
    <w:pPr>
      <w:tabs>
        <w:tab w:val="left" w:pos="180"/>
      </w:tabs>
      <w:spacing w:line="312" w:lineRule="auto"/>
      <w:ind w:firstLine="567"/>
    </w:pPr>
    <w:rPr>
      <w:rFonts w:ascii="宋体"/>
      <w:sz w:val="28"/>
    </w:rPr>
  </w:style>
  <w:style w:type="paragraph" w:customStyle="1" w:styleId="5">
    <w:name w:val="样式8"/>
    <w:basedOn w:val="6"/>
    <w:qFormat/>
    <w:uiPriority w:val="0"/>
    <w:pPr>
      <w:tabs>
        <w:tab w:val="left" w:pos="180"/>
      </w:tabs>
      <w:spacing w:line="600" w:lineRule="exact"/>
      <w:ind w:firstLine="0" w:firstLineChars="0"/>
      <w:jc w:val="center"/>
    </w:pPr>
    <w:rPr>
      <w:rFonts w:ascii="宋体" w:eastAsia="宋体"/>
      <w:b/>
      <w:color w:val="auto"/>
      <w:szCs w:val="20"/>
    </w:rPr>
  </w:style>
  <w:style w:type="paragraph" w:styleId="6">
    <w:name w:val="Body Text Indent 3"/>
    <w:basedOn w:val="1"/>
    <w:qFormat/>
    <w:uiPriority w:val="0"/>
    <w:pPr>
      <w:adjustRightInd/>
      <w:snapToGrid/>
      <w:spacing w:line="480" w:lineRule="auto"/>
      <w:ind w:firstLine="560"/>
    </w:pPr>
    <w:rPr>
      <w:rFonts w:ascii="仿宋_GB2312" w:hAnsi="宋体" w:eastAsia="仿宋_GB2312"/>
      <w:color w:val="000000"/>
      <w:sz w:val="28"/>
      <w:szCs w:val="24"/>
    </w:rPr>
  </w:style>
  <w:style w:type="paragraph" w:customStyle="1" w:styleId="7">
    <w:name w:val="font6"/>
    <w:basedOn w:val="1"/>
    <w:next w:val="8"/>
    <w:qFormat/>
    <w:uiPriority w:val="0"/>
    <w:pPr>
      <w:widowControl/>
      <w:adjustRightInd/>
      <w:snapToGrid/>
      <w:spacing w:before="100" w:beforeAutospacing="1" w:after="100" w:afterAutospacing="1" w:line="240" w:lineRule="auto"/>
      <w:ind w:firstLine="0" w:firstLineChars="0"/>
      <w:jc w:val="left"/>
    </w:pPr>
    <w:rPr>
      <w:rFonts w:hint="eastAsia" w:ascii="宋体" w:hAnsi="宋体"/>
      <w:kern w:val="0"/>
      <w:sz w:val="28"/>
      <w:szCs w:val="28"/>
    </w:rPr>
  </w:style>
  <w:style w:type="paragraph" w:styleId="8">
    <w:name w:val="toc 2"/>
    <w:basedOn w:val="1"/>
    <w:next w:val="9"/>
    <w:unhideWhenUsed/>
    <w:qFormat/>
    <w:uiPriority w:val="39"/>
    <w:pPr>
      <w:ind w:left="420" w:leftChars="200"/>
    </w:pPr>
  </w:style>
  <w:style w:type="paragraph" w:styleId="9">
    <w:name w:val="E-mail Signature"/>
    <w:basedOn w:val="1"/>
    <w:next w:val="10"/>
    <w:qFormat/>
    <w:uiPriority w:val="0"/>
    <w:pPr>
      <w:spacing w:line="460" w:lineRule="exact"/>
      <w:ind w:firstLine="200"/>
    </w:pPr>
  </w:style>
  <w:style w:type="paragraph" w:customStyle="1" w:styleId="10">
    <w:name w:val="文章"/>
    <w:basedOn w:val="11"/>
    <w:next w:val="12"/>
    <w:qFormat/>
    <w:uiPriority w:val="0"/>
    <w:pPr>
      <w:widowControl/>
      <w:spacing w:line="240" w:lineRule="auto"/>
      <w:ind w:firstLine="480"/>
      <w:jc w:val="center"/>
    </w:pPr>
    <w:rPr>
      <w:sz w:val="26"/>
    </w:rPr>
  </w:style>
  <w:style w:type="paragraph" w:styleId="11">
    <w:name w:val="Body Text Indent"/>
    <w:basedOn w:val="1"/>
    <w:next w:val="1"/>
    <w:link w:val="36"/>
    <w:qFormat/>
    <w:uiPriority w:val="0"/>
    <w:pPr>
      <w:spacing w:after="120"/>
      <w:ind w:left="283"/>
    </w:pPr>
    <w:rPr>
      <w:rFonts w:ascii="Times New Roman" w:hAnsi="Times New Roman" w:eastAsia="宋体" w:cs="Times New Roman"/>
    </w:rPr>
  </w:style>
  <w:style w:type="paragraph" w:styleId="12">
    <w:name w:val="List"/>
    <w:basedOn w:val="1"/>
    <w:next w:val="13"/>
    <w:qFormat/>
    <w:uiPriority w:val="0"/>
    <w:pPr>
      <w:ind w:left="200" w:hanging="200" w:hangingChars="200"/>
      <w:jc w:val="center"/>
    </w:pPr>
  </w:style>
  <w:style w:type="paragraph" w:styleId="13">
    <w:name w:val="List Bullet 2"/>
    <w:basedOn w:val="1"/>
    <w:next w:val="14"/>
    <w:qFormat/>
    <w:uiPriority w:val="0"/>
    <w:pPr>
      <w:numPr>
        <w:ilvl w:val="0"/>
        <w:numId w:val="1"/>
      </w:numPr>
    </w:pPr>
  </w:style>
  <w:style w:type="paragraph" w:customStyle="1" w:styleId="14">
    <w:name w:val="xl70"/>
    <w:basedOn w:val="1"/>
    <w:next w:val="15"/>
    <w:qFormat/>
    <w:uiPriority w:val="0"/>
    <w:pPr>
      <w:widowControl/>
      <w:spacing w:before="280" w:after="280" w:line="240" w:lineRule="auto"/>
    </w:pPr>
    <w:rPr>
      <w:rFonts w:ascii="宋体"/>
    </w:rPr>
  </w:style>
  <w:style w:type="paragraph" w:customStyle="1" w:styleId="15">
    <w:name w:val="正文缩进1"/>
    <w:basedOn w:val="1"/>
    <w:next w:val="16"/>
    <w:qFormat/>
    <w:uiPriority w:val="0"/>
    <w:pPr>
      <w:ind w:firstLine="420"/>
    </w:pPr>
    <w:rPr>
      <w:rFonts w:ascii="宋体"/>
      <w:sz w:val="28"/>
    </w:rPr>
  </w:style>
  <w:style w:type="paragraph" w:customStyle="1" w:styleId="16">
    <w:name w:val="td1"/>
    <w:basedOn w:val="1"/>
    <w:next w:val="1"/>
    <w:qFormat/>
    <w:uiPriority w:val="0"/>
    <w:pPr>
      <w:widowControl/>
      <w:spacing w:before="280" w:after="280" w:line="300" w:lineRule="atLeast"/>
      <w:ind w:firstLine="200"/>
    </w:pPr>
    <w:rPr>
      <w:color w:val="000000"/>
      <w:sz w:val="18"/>
    </w:rPr>
  </w:style>
  <w:style w:type="paragraph" w:customStyle="1" w:styleId="18">
    <w:name w:val="正文2"/>
    <w:qFormat/>
    <w:uiPriority w:val="99"/>
    <w:pPr>
      <w:jc w:val="both"/>
    </w:pPr>
    <w:rPr>
      <w:rFonts w:ascii="Times New Roman" w:hAnsi="Times New Roman" w:eastAsia="宋体" w:cs="Times New Roman"/>
      <w:kern w:val="2"/>
      <w:sz w:val="21"/>
      <w:szCs w:val="21"/>
      <w:lang w:val="en-US" w:eastAsia="zh-CN" w:bidi="ar-SA"/>
    </w:rPr>
  </w:style>
  <w:style w:type="paragraph" w:styleId="19">
    <w:name w:val="Normal Indent"/>
    <w:basedOn w:val="1"/>
    <w:next w:val="20"/>
    <w:qFormat/>
    <w:uiPriority w:val="0"/>
    <w:pPr>
      <w:ind w:firstLine="420" w:firstLineChars="200"/>
    </w:pPr>
  </w:style>
  <w:style w:type="paragraph" w:styleId="20">
    <w:name w:val="Body Text First Indent 2"/>
    <w:basedOn w:val="11"/>
    <w:next w:val="1"/>
    <w:link w:val="37"/>
    <w:qFormat/>
    <w:uiPriority w:val="0"/>
    <w:pPr>
      <w:spacing w:after="200"/>
      <w:ind w:left="360" w:firstLine="360"/>
    </w:pPr>
    <w:rPr>
      <w:rFonts w:ascii="Times New Roman" w:hAnsi="Times New Roman" w:eastAsia="宋体" w:cs="Times New Roman"/>
    </w:rPr>
  </w:style>
  <w:style w:type="paragraph" w:styleId="21">
    <w:name w:val="Body Text"/>
    <w:basedOn w:val="1"/>
    <w:next w:val="22"/>
    <w:qFormat/>
    <w:uiPriority w:val="0"/>
    <w:pPr>
      <w:spacing w:after="120"/>
    </w:pPr>
  </w:style>
  <w:style w:type="paragraph" w:customStyle="1" w:styleId="22">
    <w:name w:val="Date1"/>
    <w:basedOn w:val="1"/>
    <w:next w:val="1"/>
    <w:qFormat/>
    <w:uiPriority w:val="0"/>
    <w:pPr>
      <w:widowControl w:val="0"/>
      <w:adjustRightInd w:val="0"/>
      <w:jc w:val="both"/>
      <w:textAlignment w:val="baseline"/>
    </w:pPr>
    <w:rPr>
      <w:rFonts w:cs="Times New Roman"/>
      <w:kern w:val="2"/>
      <w:sz w:val="21"/>
      <w:u w:val="none" w:color="FFFFFF"/>
    </w:rPr>
  </w:style>
  <w:style w:type="paragraph" w:styleId="23">
    <w:name w:val="Body Text Indent 2"/>
    <w:basedOn w:val="1"/>
    <w:next w:val="1"/>
    <w:qFormat/>
    <w:uiPriority w:val="0"/>
    <w:pPr>
      <w:spacing w:after="120" w:line="480" w:lineRule="auto"/>
      <w:ind w:left="420" w:leftChars="200"/>
    </w:pPr>
    <w:rPr>
      <w:rFonts w:eastAsia="宋体"/>
      <w:szCs w:val="24"/>
    </w:rPr>
  </w:style>
  <w:style w:type="paragraph" w:styleId="24">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6">
    <w:name w:val="Body Text 2"/>
    <w:basedOn w:val="1"/>
    <w:next w:val="21"/>
    <w:qFormat/>
    <w:uiPriority w:val="0"/>
    <w:pPr>
      <w:spacing w:line="480" w:lineRule="auto"/>
    </w:pPr>
    <w:rPr>
      <w:rFonts w:ascii="New York" w:hAnsi="New York"/>
      <w:sz w:val="21"/>
    </w:rPr>
  </w:style>
  <w:style w:type="paragraph" w:styleId="27">
    <w:name w:val="Body Text First Indent"/>
    <w:basedOn w:val="21"/>
    <w:next w:val="1"/>
    <w:unhideWhenUsed/>
    <w:qFormat/>
    <w:uiPriority w:val="99"/>
    <w:pPr>
      <w:keepNext w:val="0"/>
      <w:keepLines w:val="0"/>
      <w:widowControl/>
      <w:suppressLineNumbers w:val="0"/>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unhideWhenUsed/>
    <w:qFormat/>
    <w:uiPriority w:val="99"/>
    <w:rPr>
      <w:color w:val="0000FF"/>
      <w:u w:val="single"/>
    </w:rPr>
  </w:style>
  <w:style w:type="paragraph" w:customStyle="1" w:styleId="32">
    <w:name w:val="xl27"/>
    <w:basedOn w:val="1"/>
    <w:next w:val="23"/>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3">
    <w:name w:val="WPS Plain"/>
    <w:qFormat/>
    <w:uiPriority w:val="0"/>
    <w:rPr>
      <w:rFonts w:ascii="Times New Roman" w:hAnsi="Times New Roman" w:eastAsia="宋体" w:cs="Times New Roman"/>
      <w:lang w:val="en-US" w:eastAsia="zh-CN" w:bidi="ar-SA"/>
    </w:rPr>
  </w:style>
  <w:style w:type="paragraph" w:customStyle="1" w:styleId="34">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35">
    <w:name w:val="标题二"/>
    <w:basedOn w:val="1"/>
    <w:qFormat/>
    <w:uiPriority w:val="99"/>
  </w:style>
  <w:style w:type="character" w:customStyle="1" w:styleId="36">
    <w:name w:val="正文文本缩进 Char"/>
    <w:basedOn w:val="30"/>
    <w:link w:val="11"/>
    <w:qFormat/>
    <w:uiPriority w:val="0"/>
    <w:rPr>
      <w:rFonts w:hint="default" w:ascii="Times New Roman" w:hAnsi="Times New Roman" w:cs="Times New Roman"/>
    </w:rPr>
  </w:style>
  <w:style w:type="character" w:customStyle="1" w:styleId="37">
    <w:name w:val="正文首行缩进 2 Char"/>
    <w:basedOn w:val="36"/>
    <w:link w:val="20"/>
    <w:qFormat/>
    <w:uiPriority w:val="0"/>
    <w:rPr>
      <w:rFonts w:hint="default" w:ascii="Times New Roman" w:hAnsi="Times New Roman" w:cs="Times New Roman"/>
    </w:rPr>
  </w:style>
  <w:style w:type="character" w:customStyle="1" w:styleId="38">
    <w:name w:val="表格文字 Char"/>
    <w:basedOn w:val="30"/>
    <w:qFormat/>
    <w:uiPriority w:val="0"/>
    <w:rPr>
      <w:kern w:val="2"/>
      <w:sz w:val="21"/>
    </w:rPr>
  </w:style>
  <w:style w:type="character" w:customStyle="1" w:styleId="39">
    <w:name w:val="fontstyle01"/>
    <w:qFormat/>
    <w:uiPriority w:val="0"/>
    <w:rPr>
      <w:rFonts w:ascii="宋体" w:hAnsi="宋体" w:eastAsia="宋体" w:cs="宋体"/>
      <w:color w:val="000000"/>
      <w:sz w:val="24"/>
      <w:szCs w:val="24"/>
    </w:rPr>
  </w:style>
  <w:style w:type="paragraph" w:customStyle="1" w:styleId="40">
    <w:name w:val="表格内容"/>
    <w:basedOn w:val="41"/>
    <w:qFormat/>
    <w:uiPriority w:val="0"/>
    <w:pPr>
      <w:outlineLvl w:val="9"/>
    </w:pPr>
    <w:rPr>
      <w:rFonts w:cs="宋体"/>
      <w:b w:val="0"/>
      <w:szCs w:val="21"/>
    </w:rPr>
  </w:style>
  <w:style w:type="paragraph" w:customStyle="1" w:styleId="41">
    <w:name w:val="表格标题"/>
    <w:next w:val="42"/>
    <w:qFormat/>
    <w:uiPriority w:val="0"/>
    <w:pPr>
      <w:jc w:val="center"/>
      <w:outlineLvl w:val="5"/>
    </w:pPr>
    <w:rPr>
      <w:rFonts w:ascii="Times New Roman" w:hAnsi="Times New Roman" w:eastAsia="宋体" w:cs="Times New Roman"/>
      <w:b/>
      <w:sz w:val="21"/>
      <w:szCs w:val="20"/>
    </w:rPr>
  </w:style>
  <w:style w:type="paragraph" w:customStyle="1" w:styleId="42">
    <w:name w:val="表格报告书"/>
    <w:basedOn w:val="43"/>
    <w:next w:val="43"/>
    <w:qFormat/>
    <w:uiPriority w:val="0"/>
    <w:pPr>
      <w:spacing w:line="240" w:lineRule="auto"/>
      <w:ind w:firstLine="0" w:firstLineChars="0"/>
      <w:jc w:val="center"/>
    </w:pPr>
    <w:rPr>
      <w:rFonts w:ascii="Times New Roman" w:hAnsi="Times New Roman" w:eastAsia="宋体"/>
      <w:sz w:val="21"/>
    </w:rPr>
  </w:style>
  <w:style w:type="paragraph" w:customStyle="1" w:styleId="43">
    <w:name w:val="正文报告书"/>
    <w:basedOn w:val="44"/>
    <w:next w:val="1"/>
    <w:qFormat/>
    <w:uiPriority w:val="0"/>
    <w:pPr>
      <w:spacing w:before="20" w:line="360" w:lineRule="auto"/>
      <w:ind w:firstLine="643" w:firstLineChars="200"/>
    </w:pPr>
    <w:rPr>
      <w:rFonts w:ascii="Times New Roman" w:hAnsi="Times New Roman"/>
      <w:sz w:val="24"/>
    </w:rPr>
  </w:style>
  <w:style w:type="paragraph" w:customStyle="1" w:styleId="44">
    <w:name w:val="正文1"/>
    <w:next w:val="1"/>
    <w:qFormat/>
    <w:uiPriority w:val="0"/>
    <w:pPr>
      <w:widowControl w:val="0"/>
      <w:adjustRightInd w:val="0"/>
      <w:spacing w:line="315" w:lineRule="atLeast"/>
      <w:jc w:val="both"/>
      <w:textAlignment w:val="baseline"/>
    </w:pPr>
    <w:rPr>
      <w:rFonts w:ascii="宋体" w:hAnsi="Times New Roman" w:eastAsia="宋体" w:cs="Times New Roman"/>
      <w:sz w:val="24"/>
      <w:lang w:bidi="ar-SA"/>
    </w:rPr>
  </w:style>
  <w:style w:type="paragraph" w:customStyle="1" w:styleId="45">
    <w:name w:val="环评正文"/>
    <w:basedOn w:val="1"/>
    <w:qFormat/>
    <w:uiPriority w:val="0"/>
    <w:pPr>
      <w:spacing w:line="360" w:lineRule="auto"/>
      <w:ind w:firstLine="72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2244</Words>
  <Characters>2443</Characters>
  <Lines>0</Lines>
  <Paragraphs>0</Paragraphs>
  <TotalTime>6</TotalTime>
  <ScaleCrop>false</ScaleCrop>
  <LinksUpToDate>false</LinksUpToDate>
  <CharactersWithSpaces>2555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2021-07-21T01:25:00Z</dcterms:created>
  <dc:creator>hegx</dc:creator>
  <cp:lastModifiedBy>Administrator</cp:lastModifiedBy>
  <cp:lastPrinted>2022-06-06T09:20:00Z</cp:lastPrinted>
  <dcterms:modified xsi:type="dcterms:W3CDTF">2022-11-07T02:40:32Z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8D0BC2D3F9A94379A2FE4E7EED66F181</vt:lpwstr>
  </property>
  <property fmtid="{D5CDD505-2E9C-101B-9397-08002B2CF9AE}" pid="4" name="commondata">
    <vt:lpwstr>eyJoZGlkIjoiNGZlNGZjYWYyNTBkYjc4NTc5ZmFjMmFiYzM0YzgyZjIifQ==</vt:lpwstr>
  </property>
</Properties>
</file>