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hint="eastAsia"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hint="eastAsia" w:eastAsia="方正小标宋简体"/>
          <w:bCs/>
          <w:sz w:val="42"/>
          <w:szCs w:val="42"/>
        </w:rPr>
      </w:pPr>
    </w:p>
    <w:p>
      <w:pPr>
        <w:spacing w:line="800" w:lineRule="exact"/>
        <w:jc w:val="center"/>
        <w:rPr>
          <w:rFonts w:hint="eastAsia" w:eastAsia="方正小标宋简体"/>
          <w:bCs/>
          <w:sz w:val="46"/>
          <w:szCs w:val="46"/>
        </w:rPr>
      </w:pPr>
      <w:r>
        <w:rPr>
          <w:rFonts w:hint="eastAsia" w:eastAsia="方正小标宋简体"/>
          <w:bCs/>
          <w:sz w:val="46"/>
          <w:szCs w:val="46"/>
        </w:rPr>
        <w:t>岳阳市20</w:t>
      </w:r>
      <w:r>
        <w:rPr>
          <w:rFonts w:hint="eastAsia" w:eastAsia="方正小标宋简体"/>
          <w:bCs/>
          <w:sz w:val="46"/>
          <w:szCs w:val="46"/>
          <w:u w:val="single"/>
          <w:lang w:val="en-US" w:eastAsia="zh-CN"/>
        </w:rPr>
        <w:t>20</w:t>
      </w:r>
      <w:r>
        <w:rPr>
          <w:rFonts w:hint="eastAsia" w:eastAsia="方正小标宋简体"/>
          <w:bCs/>
          <w:sz w:val="46"/>
          <w:szCs w:val="46"/>
        </w:rPr>
        <w:t>年度部门整体支出</w:t>
      </w:r>
    </w:p>
    <w:p>
      <w:pPr>
        <w:spacing w:line="800" w:lineRule="exact"/>
        <w:jc w:val="center"/>
        <w:rPr>
          <w:rFonts w:hint="eastAsia" w:eastAsia="方正小标宋简体"/>
          <w:bCs/>
          <w:sz w:val="46"/>
          <w:szCs w:val="46"/>
        </w:rPr>
      </w:pPr>
      <w:r>
        <w:rPr>
          <w:rFonts w:hint="eastAsia" w:eastAsia="方正小标宋简体"/>
          <w:bCs/>
          <w:sz w:val="46"/>
          <w:szCs w:val="46"/>
        </w:rPr>
        <w:t>绩效评价自评报告</w:t>
      </w:r>
    </w:p>
    <w:p>
      <w:pPr>
        <w:rPr>
          <w:rFonts w:hint="eastAsia" w:eastAsia="仿宋_GB2312"/>
          <w:b/>
          <w:sz w:val="32"/>
        </w:rPr>
      </w:pPr>
    </w:p>
    <w:p>
      <w:pPr>
        <w:rPr>
          <w:rFonts w:hint="eastAsia" w:eastAsia="仿宋_GB2312"/>
          <w:b/>
          <w:sz w:val="32"/>
        </w:rPr>
      </w:pPr>
    </w:p>
    <w:p>
      <w:pPr>
        <w:rPr>
          <w:rFonts w:hint="eastAsia" w:eastAsia="仿宋_GB2312"/>
          <w:b/>
          <w:sz w:val="32"/>
        </w:rPr>
      </w:pPr>
    </w:p>
    <w:p>
      <w:pPr>
        <w:spacing w:before="301" w:beforeLines="50" w:line="348" w:lineRule="auto"/>
        <w:ind w:firstLine="476" w:firstLineChars="150"/>
        <w:rPr>
          <w:rFonts w:hint="eastAsia"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val="en-US" w:eastAsia="zh-CN"/>
        </w:rPr>
        <w:t>岳阳市生态环境局华容分局</w:t>
      </w:r>
      <w:r>
        <w:rPr>
          <w:rFonts w:hint="eastAsia" w:eastAsia="仿宋_GB2312"/>
          <w:sz w:val="32"/>
          <w:szCs w:val="32"/>
          <w:u w:val="single"/>
        </w:rPr>
        <w:t xml:space="preserve">                    </w:t>
      </w:r>
    </w:p>
    <w:p>
      <w:pPr>
        <w:spacing w:before="301" w:beforeLines="50" w:line="348" w:lineRule="auto"/>
        <w:ind w:firstLine="476" w:firstLineChars="150"/>
        <w:rPr>
          <w:rFonts w:hint="eastAsia"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9031201</w:t>
      </w:r>
      <w:r>
        <w:rPr>
          <w:rFonts w:hint="eastAsia" w:eastAsia="仿宋_GB2312"/>
          <w:spacing w:val="20"/>
          <w:sz w:val="32"/>
          <w:szCs w:val="32"/>
          <w:u w:val="single"/>
        </w:rPr>
        <w:t xml:space="preserve">                   </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评价方式：部门（单位）绩效自评</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348" w:lineRule="auto"/>
        <w:jc w:val="center"/>
        <w:rPr>
          <w:rFonts w:hint="eastAsia" w:eastAsia="仿宋_GB2312"/>
          <w:sz w:val="32"/>
        </w:rPr>
      </w:pPr>
      <w:r>
        <w:rPr>
          <w:rFonts w:hint="eastAsia" w:eastAsia="仿宋_GB2312"/>
          <w:sz w:val="32"/>
        </w:rPr>
        <w:t>报告日期：</w:t>
      </w:r>
      <w:r>
        <w:rPr>
          <w:rFonts w:hint="eastAsia" w:eastAsia="仿宋_GB2312"/>
          <w:sz w:val="32"/>
          <w:lang w:val="en-US" w:eastAsia="zh-CN"/>
        </w:rPr>
        <w:t>2021</w:t>
      </w:r>
      <w:r>
        <w:rPr>
          <w:rFonts w:hint="eastAsia" w:eastAsia="仿宋_GB2312"/>
          <w:sz w:val="32"/>
        </w:rPr>
        <w:t xml:space="preserve">年 </w:t>
      </w:r>
      <w:r>
        <w:rPr>
          <w:rFonts w:hint="eastAsia" w:eastAsia="仿宋_GB2312"/>
          <w:sz w:val="32"/>
          <w:lang w:val="en-US" w:eastAsia="zh-CN"/>
        </w:rPr>
        <w:t>6</w:t>
      </w:r>
      <w:r>
        <w:rPr>
          <w:rFonts w:hint="eastAsia" w:eastAsia="仿宋_GB2312"/>
          <w:sz w:val="32"/>
        </w:rPr>
        <w:t xml:space="preserve"> 月 </w:t>
      </w:r>
      <w:r>
        <w:rPr>
          <w:rFonts w:hint="eastAsia" w:eastAsia="仿宋_GB2312"/>
          <w:sz w:val="32"/>
          <w:lang w:val="en-US" w:eastAsia="zh-CN"/>
        </w:rPr>
        <w:t>7</w:t>
      </w:r>
      <w:r>
        <w:rPr>
          <w:rFonts w:hint="eastAsia" w:eastAsia="仿宋_GB2312"/>
          <w:sz w:val="32"/>
        </w:rPr>
        <w:t xml:space="preserve"> 日</w:t>
      </w:r>
    </w:p>
    <w:p>
      <w:pPr>
        <w:autoSpaceDN w:val="0"/>
        <w:jc w:val="center"/>
        <w:textAlignment w:val="center"/>
        <w:rPr>
          <w:rFonts w:hint="eastAsia" w:eastAsia="仿宋_GB2312"/>
          <w:sz w:val="32"/>
          <w:szCs w:val="32"/>
        </w:rPr>
        <w:sectPr>
          <w:footerReference r:id="rId3" w:type="default"/>
          <w:footerReference r:id="rId4" w:type="even"/>
          <w:pgSz w:w="11906" w:h="16838"/>
          <w:pgMar w:top="1588" w:right="1588" w:bottom="1588"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6"/>
        <w:tblW w:w="98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338"/>
        <w:gridCol w:w="141"/>
        <w:gridCol w:w="422"/>
        <w:gridCol w:w="1057"/>
        <w:gridCol w:w="547"/>
        <w:gridCol w:w="139"/>
        <w:gridCol w:w="316"/>
        <w:gridCol w:w="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85" w:type="dxa"/>
            <w:gridSpan w:val="1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周娟</w:t>
            </w:r>
          </w:p>
        </w:tc>
        <w:tc>
          <w:tcPr>
            <w:tcW w:w="1479"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91" w:type="dxa"/>
            <w:gridSpan w:val="6"/>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13974084999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62</w:t>
            </w:r>
          </w:p>
        </w:tc>
        <w:tc>
          <w:tcPr>
            <w:tcW w:w="1479"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91" w:type="dxa"/>
            <w:gridSpan w:val="6"/>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923"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231" w:type="dxa"/>
            <w:gridSpan w:val="14"/>
            <w:noWrap w:val="0"/>
            <w:vAlign w:val="center"/>
          </w:tcPr>
          <w:p>
            <w:pPr>
              <w:widowControl/>
              <w:jc w:val="both"/>
              <w:rPr>
                <w:rFonts w:hint="eastAsia" w:ascii="Times New Roman" w:hAnsi="Times New Roman" w:eastAsia="仿宋_GB2312" w:cs="Times New Roman"/>
                <w:kern w:val="0"/>
                <w:sz w:val="24"/>
                <w:lang w:eastAsia="zh-CN"/>
              </w:rPr>
            </w:pPr>
            <w:r>
              <w:rPr>
                <w:rFonts w:hint="eastAsia" w:ascii="Times New Roman" w:hAnsi="Times New Roman" w:eastAsia="仿宋_GB2312" w:cs="Times New Roman"/>
                <w:kern w:val="0"/>
                <w:sz w:val="24"/>
              </w:rPr>
              <w:t>贯彻执行国家、省和市有关生态环境的法律法规和政策，根据职责和授权拟订生态环境保护规范性文件并监督实施。负责生态环境保护方面的制度建设</w:t>
            </w:r>
            <w:r>
              <w:rPr>
                <w:rFonts w:hint="eastAsia" w:ascii="Times New Roman" w:hAnsi="Times New Roman" w:eastAsia="仿宋_GB2312" w:cs="Times New Roman"/>
                <w:kern w:val="0"/>
                <w:sz w:val="24"/>
                <w:lang w:eastAsia="zh-CN"/>
              </w:rPr>
              <w:t>；</w:t>
            </w:r>
            <w:r>
              <w:rPr>
                <w:rFonts w:hint="eastAsia" w:ascii="Times New Roman" w:hAnsi="Times New Roman" w:eastAsia="仿宋_GB2312" w:cs="Times New Roman"/>
                <w:kern w:val="0"/>
                <w:sz w:val="24"/>
              </w:rPr>
              <w:t>协调和监督管理辖区内生态环境保护工作</w:t>
            </w:r>
            <w:r>
              <w:rPr>
                <w:rFonts w:hint="eastAsia" w:ascii="Times New Roman" w:hAnsi="Times New Roman" w:eastAsia="仿宋_GB2312" w:cs="Times New Roman"/>
                <w:kern w:val="0"/>
                <w:sz w:val="24"/>
                <w:lang w:eastAsia="zh-CN"/>
              </w:rPr>
              <w:t>；</w:t>
            </w:r>
            <w:r>
              <w:rPr>
                <w:rFonts w:hint="eastAsia" w:ascii="Times New Roman" w:hAnsi="Times New Roman" w:eastAsia="仿宋_GB2312" w:cs="Times New Roman"/>
                <w:kern w:val="0"/>
                <w:sz w:val="24"/>
              </w:rPr>
              <w:t>监督管理减排目标的落实</w:t>
            </w:r>
            <w:r>
              <w:rPr>
                <w:rFonts w:hint="eastAsia" w:ascii="Times New Roman" w:hAnsi="Times New Roman" w:eastAsia="仿宋_GB2312" w:cs="Times New Roman"/>
                <w:kern w:val="0"/>
                <w:sz w:val="24"/>
                <w:lang w:eastAsia="zh-CN"/>
              </w:rPr>
              <w:t>；</w:t>
            </w:r>
            <w:r>
              <w:rPr>
                <w:rFonts w:hint="eastAsia" w:ascii="Times New Roman" w:hAnsi="Times New Roman" w:eastAsia="仿宋_GB2312" w:cs="Times New Roman"/>
                <w:kern w:val="0"/>
                <w:sz w:val="24"/>
              </w:rPr>
              <w:t>环境污染防治的监督管理</w:t>
            </w:r>
            <w:r>
              <w:rPr>
                <w:rFonts w:hint="eastAsia" w:ascii="Times New Roman" w:hAnsi="Times New Roman" w:eastAsia="仿宋_GB2312" w:cs="Times New Roman"/>
                <w:kern w:val="0"/>
                <w:sz w:val="24"/>
                <w:lang w:eastAsia="zh-CN"/>
              </w:rPr>
              <w:t>；</w:t>
            </w:r>
            <w:r>
              <w:rPr>
                <w:rFonts w:hint="eastAsia" w:ascii="Times New Roman" w:hAnsi="Times New Roman" w:eastAsia="仿宋_GB2312" w:cs="Times New Roman"/>
                <w:kern w:val="0"/>
                <w:sz w:val="24"/>
              </w:rPr>
              <w:t>指导协调和监督生态保护修复工作</w:t>
            </w:r>
            <w:r>
              <w:rPr>
                <w:rFonts w:hint="eastAsia" w:ascii="Times New Roman" w:hAnsi="Times New Roman" w:eastAsia="仿宋_GB2312" w:cs="Times New Roman"/>
                <w:kern w:val="0"/>
                <w:sz w:val="24"/>
                <w:lang w:eastAsia="zh-CN"/>
              </w:rPr>
              <w:t>；</w:t>
            </w:r>
            <w:r>
              <w:rPr>
                <w:rFonts w:hint="eastAsia" w:ascii="Times New Roman" w:hAnsi="Times New Roman" w:eastAsia="仿宋_GB2312" w:cs="Times New Roman"/>
                <w:kern w:val="0"/>
                <w:sz w:val="24"/>
              </w:rPr>
              <w:t>辐射环境安全的监督管理</w:t>
            </w:r>
            <w:r>
              <w:rPr>
                <w:rFonts w:hint="eastAsia" w:ascii="Times New Roman" w:hAnsi="Times New Roman" w:eastAsia="仿宋_GB2312" w:cs="Times New Roman"/>
                <w:kern w:val="0"/>
                <w:sz w:val="24"/>
                <w:lang w:eastAsia="zh-CN"/>
              </w:rPr>
              <w:t>；</w:t>
            </w:r>
            <w:r>
              <w:rPr>
                <w:rFonts w:hint="eastAsia" w:ascii="Times New Roman" w:hAnsi="Times New Roman" w:eastAsia="仿宋_GB2312" w:cs="Times New Roman"/>
                <w:kern w:val="0"/>
                <w:sz w:val="24"/>
              </w:rPr>
              <w:t>生态环境准入的监督管理</w:t>
            </w:r>
            <w:r>
              <w:rPr>
                <w:rFonts w:hint="eastAsia" w:ascii="Times New Roman" w:hAnsi="Times New Roman" w:eastAsia="仿宋_GB2312" w:cs="Times New Roman"/>
                <w:kern w:val="0"/>
                <w:sz w:val="24"/>
                <w:lang w:eastAsia="zh-CN"/>
              </w:rPr>
              <w:t>；</w:t>
            </w:r>
            <w:r>
              <w:rPr>
                <w:rFonts w:hint="eastAsia" w:ascii="Times New Roman" w:hAnsi="Times New Roman" w:eastAsia="仿宋_GB2312" w:cs="Times New Roman"/>
                <w:kern w:val="0"/>
                <w:sz w:val="24"/>
              </w:rPr>
              <w:t>生态环境监测工作</w:t>
            </w:r>
            <w:r>
              <w:rPr>
                <w:rFonts w:hint="eastAsia" w:ascii="Times New Roman" w:hAnsi="Times New Roman" w:eastAsia="仿宋_GB2312" w:cs="Times New Roman"/>
                <w:kern w:val="0"/>
                <w:sz w:val="24"/>
                <w:lang w:eastAsia="zh-CN"/>
              </w:rPr>
              <w:t>；</w:t>
            </w:r>
            <w:r>
              <w:rPr>
                <w:rFonts w:hint="eastAsia" w:ascii="Times New Roman" w:hAnsi="Times New Roman" w:eastAsia="仿宋_GB2312" w:cs="Times New Roman"/>
                <w:kern w:val="0"/>
                <w:sz w:val="24"/>
              </w:rPr>
              <w:t>承担生态环境保护综合执法工作</w:t>
            </w:r>
            <w:r>
              <w:rPr>
                <w:rFonts w:hint="eastAsia" w:ascii="Times New Roman" w:hAnsi="Times New Roman" w:eastAsia="仿宋_GB2312" w:cs="Times New Roman"/>
                <w:kern w:val="0"/>
                <w:sz w:val="24"/>
                <w:lang w:eastAsia="zh-CN"/>
              </w:rPr>
              <w:t>；</w:t>
            </w:r>
            <w:r>
              <w:rPr>
                <w:rFonts w:hint="eastAsia" w:ascii="Times New Roman" w:hAnsi="Times New Roman" w:eastAsia="仿宋_GB2312" w:cs="Times New Roman"/>
                <w:kern w:val="0"/>
                <w:sz w:val="24"/>
              </w:rPr>
              <w:t>组织开展生态环境科技工作</w:t>
            </w:r>
            <w:r>
              <w:rPr>
                <w:rFonts w:hint="eastAsia" w:ascii="Times New Roman" w:hAnsi="Times New Roman" w:eastAsia="仿宋_GB2312" w:cs="Times New Roman"/>
                <w:kern w:val="0"/>
                <w:sz w:val="24"/>
                <w:lang w:eastAsia="zh-CN"/>
              </w:rPr>
              <w:t>；</w:t>
            </w:r>
            <w:r>
              <w:rPr>
                <w:rFonts w:hint="eastAsia" w:ascii="Times New Roman" w:hAnsi="Times New Roman" w:eastAsia="仿宋_GB2312" w:cs="Times New Roman"/>
                <w:kern w:val="0"/>
                <w:sz w:val="24"/>
              </w:rPr>
              <w:t>会同有关部门管理生态环境保护有关资金项目</w:t>
            </w:r>
            <w:r>
              <w:rPr>
                <w:rFonts w:hint="eastAsia" w:ascii="Times New Roman" w:hAnsi="Times New Roman" w:eastAsia="仿宋_GB2312" w:cs="Times New Roman"/>
                <w:kern w:val="0"/>
                <w:sz w:val="24"/>
                <w:lang w:eastAsia="zh-CN"/>
              </w:rPr>
              <w:t>；</w:t>
            </w:r>
            <w:r>
              <w:rPr>
                <w:rFonts w:hint="eastAsia" w:ascii="Times New Roman" w:hAnsi="Times New Roman" w:eastAsia="仿宋_GB2312" w:cs="Times New Roman"/>
                <w:kern w:val="0"/>
                <w:sz w:val="24"/>
              </w:rPr>
              <w:t>组织开展和指导生态环境宣传教育工作</w:t>
            </w:r>
            <w:r>
              <w:rPr>
                <w:rFonts w:hint="eastAsia" w:ascii="Times New Roman" w:hAnsi="Times New Roman" w:eastAsia="仿宋_GB2312" w:cs="Times New Roman"/>
                <w:kern w:val="0"/>
                <w:sz w:val="24"/>
                <w:lang w:eastAsia="zh-CN"/>
              </w:rPr>
              <w:t>；</w:t>
            </w:r>
            <w:r>
              <w:rPr>
                <w:rFonts w:hint="eastAsia" w:ascii="Times New Roman" w:hAnsi="Times New Roman" w:eastAsia="仿宋_GB2312" w:cs="Times New Roman"/>
                <w:kern w:val="0"/>
                <w:sz w:val="24"/>
              </w:rPr>
              <w:t>完成市生态环境局交办的其他任务，协助华容县委、县政府开展生态环境保护工作，指导辖区内乡镇（街道）的生态环境保护工作。</w:t>
            </w:r>
          </w:p>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464"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231" w:type="dxa"/>
            <w:gridSpan w:val="14"/>
            <w:noWrap w:val="0"/>
            <w:vAlign w:val="center"/>
          </w:tcPr>
          <w:p>
            <w:pPr>
              <w:widowControl/>
              <w:jc w:val="both"/>
              <w:rPr>
                <w:rFonts w:hint="eastAsia" w:ascii="Times New Roman" w:hAnsi="Times New Roman" w:eastAsia="仿宋_GB2312" w:cs="Times New Roman"/>
                <w:kern w:val="0"/>
                <w:sz w:val="24"/>
              </w:rPr>
            </w:pPr>
            <w:r>
              <w:rPr>
                <w:rFonts w:hint="eastAsia"/>
              </w:rPr>
              <w:t>1</w:t>
            </w:r>
            <w:r>
              <w:rPr>
                <w:rFonts w:hint="eastAsia" w:ascii="Times New Roman" w:hAnsi="Times New Roman" w:eastAsia="仿宋_GB2312" w:cs="Times New Roman"/>
                <w:kern w:val="0"/>
                <w:sz w:val="24"/>
                <w:lang w:val="en-US" w:eastAsia="zh-CN"/>
              </w:rPr>
              <w:t>、</w:t>
            </w:r>
            <w:r>
              <w:rPr>
                <w:rFonts w:hint="eastAsia" w:ascii="Times New Roman" w:hAnsi="Times New Roman" w:eastAsia="仿宋_GB2312" w:cs="Times New Roman"/>
                <w:kern w:val="0"/>
                <w:sz w:val="24"/>
              </w:rPr>
              <w:t>抓好突出生态环境问题整改</w:t>
            </w:r>
            <w:r>
              <w:rPr>
                <w:rFonts w:hint="eastAsia" w:ascii="Times New Roman" w:hAnsi="Times New Roman" w:eastAsia="仿宋_GB2312" w:cs="Times New Roman"/>
                <w:kern w:val="0"/>
                <w:sz w:val="24"/>
              </w:rPr>
              <w:br w:type="textWrapping"/>
            </w:r>
            <w:r>
              <w:rPr>
                <w:rFonts w:hint="eastAsia" w:ascii="Times New Roman" w:hAnsi="Times New Roman" w:eastAsia="仿宋_GB2312" w:cs="Times New Roman"/>
                <w:kern w:val="0"/>
                <w:sz w:val="24"/>
              </w:rPr>
              <w:t>2</w:t>
            </w:r>
            <w:r>
              <w:rPr>
                <w:rFonts w:hint="eastAsia" w:ascii="Times New Roman" w:hAnsi="Times New Roman" w:eastAsia="仿宋_GB2312" w:cs="Times New Roman"/>
                <w:kern w:val="0"/>
                <w:sz w:val="24"/>
                <w:lang w:eastAsia="zh-CN"/>
              </w:rPr>
              <w:t>、</w:t>
            </w:r>
            <w:r>
              <w:rPr>
                <w:rFonts w:hint="eastAsia" w:ascii="Times New Roman" w:hAnsi="Times New Roman" w:eastAsia="仿宋_GB2312" w:cs="Times New Roman"/>
                <w:kern w:val="0"/>
                <w:sz w:val="24"/>
              </w:rPr>
              <w:t>打好蓝天碧水净土保卫战</w:t>
            </w:r>
            <w:r>
              <w:rPr>
                <w:rFonts w:hint="eastAsia" w:ascii="Times New Roman" w:hAnsi="Times New Roman" w:eastAsia="仿宋_GB2312" w:cs="Times New Roman"/>
                <w:kern w:val="0"/>
                <w:sz w:val="24"/>
              </w:rPr>
              <w:br w:type="textWrapping"/>
            </w:r>
            <w:r>
              <w:rPr>
                <w:rFonts w:hint="eastAsia" w:ascii="Times New Roman" w:hAnsi="Times New Roman" w:eastAsia="仿宋_GB2312" w:cs="Times New Roman"/>
                <w:kern w:val="0"/>
                <w:sz w:val="24"/>
              </w:rPr>
              <w:t>3</w:t>
            </w:r>
            <w:r>
              <w:rPr>
                <w:rFonts w:hint="eastAsia" w:ascii="Times New Roman" w:hAnsi="Times New Roman" w:eastAsia="仿宋_GB2312" w:cs="Times New Roman"/>
                <w:kern w:val="0"/>
                <w:sz w:val="24"/>
                <w:lang w:eastAsia="zh-CN"/>
              </w:rPr>
              <w:t>、</w:t>
            </w:r>
            <w:r>
              <w:rPr>
                <w:rFonts w:hint="eastAsia" w:ascii="Times New Roman" w:hAnsi="Times New Roman" w:eastAsia="仿宋_GB2312" w:cs="Times New Roman"/>
                <w:kern w:val="0"/>
                <w:sz w:val="24"/>
              </w:rPr>
              <w:t>深化农村人居环境整治</w:t>
            </w:r>
          </w:p>
          <w:p>
            <w:pPr>
              <w:widowControl/>
              <w:jc w:val="both"/>
              <w:rPr>
                <w:rFonts w:hint="eastAsia"/>
              </w:rPr>
            </w:pPr>
            <w:r>
              <w:rPr>
                <w:rFonts w:hint="eastAsia" w:ascii="Times New Roman" w:hAnsi="Times New Roman" w:eastAsia="仿宋_GB2312" w:cs="Times New Roman"/>
                <w:kern w:val="0"/>
                <w:sz w:val="24"/>
              </w:rPr>
              <w:t>4、提升生态环境治理效能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231"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2020年农村生活污水处理率目标值是60%，完成率是74%；优良以上空气质量达标率目标值为85%，实际达标率是 95.9%</w:t>
            </w:r>
            <w:r>
              <w:rPr>
                <w:rFonts w:hint="eastAsia" w:ascii="仿宋_GB2312" w:hAnsi="仿宋_GB2312" w:eastAsia="仿宋_GB2312" w:cs="仿宋_GB2312"/>
                <w:color w:val="000000"/>
                <w:sz w:val="24"/>
              </w:rPr>
              <w:t>；Ⅲ类或优于Ⅲ类水质达标率目标值</w:t>
            </w:r>
            <w:r>
              <w:rPr>
                <w:rFonts w:hint="eastAsia" w:ascii="仿宋_GB2312" w:hAnsi="仿宋_GB2312" w:eastAsia="仿宋_GB2312" w:cs="仿宋_GB2312"/>
                <w:color w:val="000000"/>
                <w:sz w:val="24"/>
                <w:lang w:val="en-US" w:eastAsia="zh-CN"/>
              </w:rPr>
              <w:t>为95%，实际达标率为91%，实现程度为95.8%</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全县</w:t>
            </w:r>
            <w:r>
              <w:rPr>
                <w:rFonts w:hint="eastAsia" w:ascii="仿宋_GB2312" w:hAnsi="仿宋_GB2312" w:eastAsia="仿宋_GB2312" w:cs="仿宋_GB2312"/>
                <w:color w:val="000000"/>
                <w:sz w:val="24"/>
                <w:lang w:val="en-US" w:eastAsia="zh-CN"/>
              </w:rPr>
              <w:t>森林覆盖率达到22.15%，农村卫生厕所普及率达到95%，生活垃圾分类减量覆盖率达到90%，无害化处理率达到100%。</w:t>
            </w:r>
            <w:r>
              <w:rPr>
                <w:rFonts w:hint="eastAsia" w:ascii="仿宋_GB2312" w:hAnsi="仿宋_GB2312" w:eastAsia="仿宋_GB2312" w:cs="仿宋_GB2312"/>
                <w:color w:val="000000"/>
                <w:sz w:val="24"/>
              </w:rPr>
              <w:t>全县各乡镇和相关部门按照省、市、县的统一部署和要求，对表对标，共同发力，</w:t>
            </w:r>
            <w:r>
              <w:rPr>
                <w:rFonts w:hint="eastAsia" w:ascii="仿宋_GB2312" w:hAnsi="仿宋_GB2312" w:eastAsia="仿宋_GB2312" w:cs="仿宋_GB2312"/>
                <w:color w:val="000000"/>
                <w:sz w:val="24"/>
                <w:lang w:eastAsia="zh-CN"/>
              </w:rPr>
              <w:t>保持定力，</w:t>
            </w:r>
            <w:r>
              <w:rPr>
                <w:rFonts w:hint="eastAsia" w:ascii="仿宋_GB2312" w:hAnsi="仿宋_GB2312" w:eastAsia="仿宋_GB2312" w:cs="仿宋_GB2312"/>
                <w:color w:val="000000"/>
                <w:sz w:val="24"/>
              </w:rPr>
              <w:t>压茬推进突出环境问题整治</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73项污染防治攻坚</w:t>
            </w:r>
            <w:r>
              <w:rPr>
                <w:rFonts w:hint="eastAsia" w:ascii="仿宋_GB2312" w:hAnsi="仿宋_GB2312" w:eastAsia="仿宋_GB2312" w:cs="仿宋_GB2312"/>
                <w:color w:val="000000"/>
                <w:sz w:val="24"/>
              </w:rPr>
              <w:t>“夏季攻势”</w:t>
            </w:r>
            <w:r>
              <w:rPr>
                <w:rFonts w:hint="eastAsia" w:ascii="仿宋_GB2312" w:hAnsi="仿宋_GB2312" w:eastAsia="仿宋_GB2312" w:cs="仿宋_GB2312"/>
                <w:color w:val="000000"/>
                <w:sz w:val="24"/>
                <w:lang w:eastAsia="zh-CN"/>
              </w:rPr>
              <w:t>问题全部完成了销号，</w:t>
            </w:r>
            <w:r>
              <w:rPr>
                <w:rFonts w:hint="eastAsia" w:ascii="仿宋_GB2312" w:hAnsi="仿宋_GB2312" w:eastAsia="仿宋_GB2312" w:cs="仿宋_GB2312"/>
                <w:color w:val="000000"/>
                <w:sz w:val="24"/>
                <w:lang w:val="en-US" w:eastAsia="zh-CN"/>
              </w:rPr>
              <w:t>47个</w:t>
            </w:r>
            <w:r>
              <w:rPr>
                <w:rFonts w:hint="eastAsia" w:ascii="仿宋_GB2312" w:hAnsi="仿宋_GB2312" w:eastAsia="仿宋_GB2312" w:cs="仿宋_GB2312"/>
                <w:color w:val="000000"/>
                <w:sz w:val="24"/>
              </w:rPr>
              <w:t>“洞庭清波”</w:t>
            </w:r>
            <w:r>
              <w:rPr>
                <w:rFonts w:hint="eastAsia" w:ascii="仿宋_GB2312" w:hAnsi="仿宋_GB2312" w:eastAsia="仿宋_GB2312" w:cs="仿宋_GB2312"/>
                <w:color w:val="000000"/>
                <w:sz w:val="24"/>
                <w:lang w:eastAsia="zh-CN"/>
              </w:rPr>
              <w:t>问题整治基本完成。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85" w:type="dxa"/>
            <w:gridSpan w:val="1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85" w:type="dxa"/>
            <w:gridSpan w:val="1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auto"/>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105" w:type="dxa"/>
            <w:gridSpan w:val="1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338"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2167"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165"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6811.24</w:t>
            </w:r>
          </w:p>
        </w:tc>
        <w:tc>
          <w:tcPr>
            <w:tcW w:w="1355" w:type="dxa"/>
            <w:gridSpan w:val="2"/>
            <w:tcBorders>
              <w:lef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2257.84</w:t>
            </w:r>
          </w:p>
        </w:tc>
        <w:tc>
          <w:tcPr>
            <w:tcW w:w="1080" w:type="dxa"/>
            <w:gridSpan w:val="2"/>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1546.8</w:t>
            </w:r>
          </w:p>
        </w:tc>
        <w:tc>
          <w:tcPr>
            <w:tcW w:w="1338" w:type="dxa"/>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2167"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165" w:type="dxa"/>
            <w:gridSpan w:val="3"/>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3006.6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6811.24</w:t>
            </w: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2257.84</w:t>
            </w:r>
          </w:p>
        </w:tc>
        <w:tc>
          <w:tcPr>
            <w:tcW w:w="1080"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1546.8</w:t>
            </w:r>
          </w:p>
        </w:tc>
        <w:tc>
          <w:tcPr>
            <w:tcW w:w="1338" w:type="dxa"/>
            <w:noWrap w:val="0"/>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p>
        </w:tc>
        <w:tc>
          <w:tcPr>
            <w:tcW w:w="2167"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p>
        </w:tc>
        <w:tc>
          <w:tcPr>
            <w:tcW w:w="1165"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3006.6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338" w:type="dxa"/>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2167"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165"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338" w:type="dxa"/>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2167"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165"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85" w:type="dxa"/>
            <w:gridSpan w:val="1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auto"/>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napToGrid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393" w:type="dxa"/>
            <w:gridSpan w:val="8"/>
            <w:tcBorders>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712" w:type="dxa"/>
            <w:gridSpan w:val="4"/>
            <w:tcBorders>
              <w:left w:val="single" w:color="auto" w:sz="4" w:space="0"/>
              <w:bottom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2418" w:type="dxa"/>
            <w:gridSpan w:val="3"/>
            <w:tcBorders>
              <w:top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620" w:type="dxa"/>
            <w:gridSpan w:val="3"/>
            <w:vMerge w:val="restart"/>
            <w:tcBorders>
              <w:top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1002" w:type="dxa"/>
            <w:gridSpan w:val="3"/>
            <w:vMerge w:val="restart"/>
            <w:tcBorders>
              <w:top w:val="single" w:color="auto" w:sz="4" w:space="0"/>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710" w:type="dxa"/>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338"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620" w:type="dxa"/>
            <w:gridSpan w:val="3"/>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02" w:type="dxa"/>
            <w:gridSpan w:val="3"/>
            <w:vMerge w:val="continue"/>
            <w:tcBorders>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10" w:type="dxa"/>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6761.83</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1071.1</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671.1</w:t>
            </w:r>
          </w:p>
        </w:tc>
        <w:tc>
          <w:tcPr>
            <w:tcW w:w="1338" w:type="dxa"/>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400</w:t>
            </w:r>
          </w:p>
        </w:tc>
        <w:tc>
          <w:tcPr>
            <w:tcW w:w="1620" w:type="dxa"/>
            <w:gridSpan w:val="3"/>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5690.73</w:t>
            </w:r>
          </w:p>
        </w:tc>
        <w:tc>
          <w:tcPr>
            <w:tcW w:w="1002"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-2208.43</w:t>
            </w:r>
          </w:p>
        </w:tc>
        <w:tc>
          <w:tcPr>
            <w:tcW w:w="710"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49.41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6761.83</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1071.1</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671.1</w:t>
            </w:r>
          </w:p>
        </w:tc>
        <w:tc>
          <w:tcPr>
            <w:tcW w:w="1338" w:type="dxa"/>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400</w:t>
            </w:r>
          </w:p>
        </w:tc>
        <w:tc>
          <w:tcPr>
            <w:tcW w:w="1620" w:type="dxa"/>
            <w:gridSpan w:val="3"/>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5690.73</w:t>
            </w:r>
          </w:p>
        </w:tc>
        <w:tc>
          <w:tcPr>
            <w:tcW w:w="1002" w:type="dxa"/>
            <w:gridSpan w:val="3"/>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-2208.43</w:t>
            </w:r>
          </w:p>
        </w:tc>
        <w:tc>
          <w:tcPr>
            <w:tcW w:w="710" w:type="dxa"/>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49.41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38"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62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02"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10"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38"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62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02"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10"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105" w:type="dxa"/>
            <w:gridSpan w:val="1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338"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3332"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11.76</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9.02</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2.74</w:t>
            </w:r>
          </w:p>
        </w:tc>
        <w:tc>
          <w:tcPr>
            <w:tcW w:w="1338"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3332"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11.76</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9.02</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2.74</w:t>
            </w:r>
          </w:p>
        </w:tc>
        <w:tc>
          <w:tcPr>
            <w:tcW w:w="1338" w:type="dxa"/>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3332"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38"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332"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38"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332"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0"/>
            <w:tcBorders>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26" w:type="dxa"/>
            <w:gridSpan w:val="2"/>
            <w:vMerge w:val="restart"/>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6"/>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1026" w:type="dxa"/>
            <w:gridSpan w:val="2"/>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1229.07</w:t>
            </w:r>
          </w:p>
        </w:tc>
        <w:tc>
          <w:tcPr>
            <w:tcW w:w="2435" w:type="dxa"/>
            <w:gridSpan w:val="4"/>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1229.07</w:t>
            </w:r>
          </w:p>
        </w:tc>
        <w:tc>
          <w:tcPr>
            <w:tcW w:w="3644"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26"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1229.07</w:t>
            </w: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1229.07</w:t>
            </w:r>
          </w:p>
        </w:tc>
        <w:tc>
          <w:tcPr>
            <w:tcW w:w="3644"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26"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644"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26"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644"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26"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85" w:type="dxa"/>
            <w:gridSpan w:val="1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670"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3774" w:type="dxa"/>
            <w:gridSpan w:val="7"/>
            <w:noWrap w:val="0"/>
            <w:vAlign w:val="center"/>
          </w:tcPr>
          <w:p>
            <w:pPr>
              <w:widowControl/>
              <w:jc w:val="both"/>
              <w:rPr>
                <w:rFonts w:hint="eastAsia" w:ascii="Times New Roman" w:hAnsi="Times New Roman" w:eastAsia="仿宋_GB2312" w:cs="Times New Roman"/>
                <w:kern w:val="0"/>
                <w:sz w:val="24"/>
              </w:rPr>
            </w:pPr>
            <w:r>
              <w:rPr>
                <w:rFonts w:hint="eastAsia" w:ascii="Times New Roman" w:hAnsi="Times New Roman" w:eastAsia="仿宋_GB2312" w:cs="Times New Roman"/>
                <w:kern w:val="0"/>
                <w:sz w:val="24"/>
                <w:lang w:val="en-US" w:eastAsia="zh-CN"/>
              </w:rPr>
              <w:t>1、</w:t>
            </w:r>
            <w:r>
              <w:rPr>
                <w:rFonts w:hint="eastAsia" w:ascii="Times New Roman" w:hAnsi="Times New Roman" w:eastAsia="仿宋_GB2312" w:cs="Times New Roman"/>
                <w:kern w:val="0"/>
                <w:sz w:val="24"/>
              </w:rPr>
              <w:t>抓好突出生态环境问题整改</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w:t>
            </w:r>
            <w:r>
              <w:rPr>
                <w:rFonts w:hint="eastAsia" w:ascii="Times New Roman" w:hAnsi="Times New Roman" w:eastAsia="仿宋_GB2312" w:cs="Times New Roman"/>
                <w:kern w:val="0"/>
                <w:sz w:val="24"/>
                <w:lang w:eastAsia="zh-CN"/>
              </w:rPr>
              <w:t>、</w:t>
            </w:r>
            <w:r>
              <w:rPr>
                <w:rFonts w:hint="eastAsia" w:ascii="Times New Roman" w:hAnsi="Times New Roman" w:eastAsia="仿宋_GB2312" w:cs="Times New Roman"/>
                <w:kern w:val="0"/>
                <w:sz w:val="24"/>
              </w:rPr>
              <w:t>打好蓝天碧水净土保卫战</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w:t>
            </w:r>
            <w:r>
              <w:rPr>
                <w:rFonts w:hint="eastAsia" w:ascii="Times New Roman" w:hAnsi="Times New Roman" w:eastAsia="仿宋_GB2312" w:cs="Times New Roman"/>
                <w:kern w:val="0"/>
                <w:sz w:val="24"/>
                <w:lang w:eastAsia="zh-CN"/>
              </w:rPr>
              <w:t>、</w:t>
            </w:r>
            <w:r>
              <w:rPr>
                <w:rFonts w:hint="eastAsia" w:ascii="Times New Roman" w:hAnsi="Times New Roman" w:eastAsia="仿宋_GB2312" w:cs="Times New Roman"/>
                <w:kern w:val="0"/>
                <w:sz w:val="24"/>
              </w:rPr>
              <w:t>深化农村人居环境整治</w:t>
            </w:r>
          </w:p>
          <w:p>
            <w:pPr>
              <w:widowControl/>
              <w:jc w:val="both"/>
              <w:rPr>
                <w:rFonts w:hint="eastAsia" w:ascii="Times New Roman" w:hAnsi="Times New Roman" w:eastAsia="仿宋_GB2312"/>
                <w:kern w:val="0"/>
                <w:sz w:val="24"/>
                <w:szCs w:val="24"/>
                <w:lang w:val="en-US" w:eastAsia="zh-CN" w:bidi="ar-SA"/>
              </w:rPr>
            </w:pPr>
            <w:r>
              <w:rPr>
                <w:rFonts w:hint="eastAsia" w:ascii="Times New Roman" w:hAnsi="Times New Roman" w:eastAsia="仿宋_GB2312" w:cs="Times New Roman"/>
                <w:kern w:val="0"/>
                <w:sz w:val="24"/>
              </w:rPr>
              <w:t>4、提升生态环境治理效能</w:t>
            </w:r>
          </w:p>
        </w:tc>
        <w:tc>
          <w:tcPr>
            <w:tcW w:w="4670" w:type="dxa"/>
            <w:gridSpan w:val="8"/>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农村生活污水处理率目标值是60%，完成率是74%；优良以上空气质量达标率目标值为85%，实际达标率是 95.9%</w:t>
            </w:r>
            <w:r>
              <w:rPr>
                <w:rFonts w:hint="eastAsia" w:ascii="仿宋_GB2312" w:hAnsi="仿宋_GB2312" w:eastAsia="仿宋_GB2312" w:cs="仿宋_GB2312"/>
                <w:color w:val="000000"/>
                <w:sz w:val="24"/>
              </w:rPr>
              <w:t>；Ⅲ类或优于Ⅲ类水质达标率目标值</w:t>
            </w:r>
            <w:r>
              <w:rPr>
                <w:rFonts w:hint="eastAsia" w:ascii="仿宋_GB2312" w:hAnsi="仿宋_GB2312" w:eastAsia="仿宋_GB2312" w:cs="仿宋_GB2312"/>
                <w:color w:val="000000"/>
                <w:sz w:val="24"/>
                <w:lang w:val="en-US" w:eastAsia="zh-CN"/>
              </w:rPr>
              <w:t>为95%，实际达标率为91%，实现程度为95.8%</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全县</w:t>
            </w:r>
            <w:r>
              <w:rPr>
                <w:rFonts w:hint="eastAsia" w:ascii="仿宋_GB2312" w:hAnsi="仿宋_GB2312" w:eastAsia="仿宋_GB2312" w:cs="仿宋_GB2312"/>
                <w:color w:val="000000"/>
                <w:sz w:val="24"/>
                <w:lang w:val="en-US" w:eastAsia="zh-CN"/>
              </w:rPr>
              <w:t>森林覆盖率达到22.15%，农村卫生厕所普及率达到95%，生活垃圾分类减量覆盖率达到90%，无害化处理率达到100%。</w:t>
            </w:r>
            <w:r>
              <w:rPr>
                <w:rFonts w:hint="eastAsia" w:ascii="仿宋_GB2312" w:hAnsi="仿宋_GB2312" w:eastAsia="仿宋_GB2312" w:cs="仿宋_GB2312"/>
                <w:color w:val="000000"/>
                <w:sz w:val="24"/>
              </w:rPr>
              <w:t>全县各乡镇和相关部门按照省、市、县的统一部署和要求，对表对标，共同发力，</w:t>
            </w:r>
            <w:r>
              <w:rPr>
                <w:rFonts w:hint="eastAsia" w:ascii="仿宋_GB2312" w:hAnsi="仿宋_GB2312" w:eastAsia="仿宋_GB2312" w:cs="仿宋_GB2312"/>
                <w:color w:val="000000"/>
                <w:sz w:val="24"/>
                <w:lang w:eastAsia="zh-CN"/>
              </w:rPr>
              <w:t>保持定力，</w:t>
            </w:r>
            <w:r>
              <w:rPr>
                <w:rFonts w:hint="eastAsia" w:ascii="仿宋_GB2312" w:hAnsi="仿宋_GB2312" w:eastAsia="仿宋_GB2312" w:cs="仿宋_GB2312"/>
                <w:color w:val="000000"/>
                <w:sz w:val="24"/>
              </w:rPr>
              <w:t>压茬推进突出环境问题整治</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73项污染防治攻坚</w:t>
            </w:r>
            <w:r>
              <w:rPr>
                <w:rFonts w:hint="eastAsia" w:ascii="仿宋_GB2312" w:hAnsi="仿宋_GB2312" w:eastAsia="仿宋_GB2312" w:cs="仿宋_GB2312"/>
                <w:color w:val="000000"/>
                <w:sz w:val="24"/>
              </w:rPr>
              <w:t>“夏季攻势”</w:t>
            </w:r>
            <w:r>
              <w:rPr>
                <w:rFonts w:hint="eastAsia" w:ascii="仿宋_GB2312" w:hAnsi="仿宋_GB2312" w:eastAsia="仿宋_GB2312" w:cs="仿宋_GB2312"/>
                <w:color w:val="000000"/>
                <w:sz w:val="24"/>
                <w:lang w:eastAsia="zh-CN"/>
              </w:rPr>
              <w:t>问题全部完成了销号，</w:t>
            </w:r>
            <w:r>
              <w:rPr>
                <w:rFonts w:hint="eastAsia" w:ascii="仿宋_GB2312" w:hAnsi="仿宋_GB2312" w:eastAsia="仿宋_GB2312" w:cs="仿宋_GB2312"/>
                <w:color w:val="000000"/>
                <w:sz w:val="24"/>
                <w:lang w:val="en-US" w:eastAsia="zh-CN"/>
              </w:rPr>
              <w:t>47个</w:t>
            </w:r>
            <w:r>
              <w:rPr>
                <w:rFonts w:hint="eastAsia" w:ascii="仿宋_GB2312" w:hAnsi="仿宋_GB2312" w:eastAsia="仿宋_GB2312" w:cs="仿宋_GB2312"/>
                <w:color w:val="000000"/>
                <w:sz w:val="24"/>
              </w:rPr>
              <w:t>“洞庭清波”</w:t>
            </w:r>
            <w:r>
              <w:rPr>
                <w:rFonts w:hint="eastAsia" w:ascii="仿宋_GB2312" w:hAnsi="仿宋_GB2312" w:eastAsia="仿宋_GB2312" w:cs="仿宋_GB2312"/>
                <w:color w:val="000000"/>
                <w:sz w:val="24"/>
                <w:lang w:eastAsia="zh-CN"/>
              </w:rPr>
              <w:t>问题整治基本完成。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769"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kern w:val="0"/>
                <w:sz w:val="24"/>
              </w:rPr>
              <w:t>质量控制</w:t>
            </w:r>
          </w:p>
        </w:tc>
        <w:tc>
          <w:tcPr>
            <w:tcW w:w="2769" w:type="dxa"/>
            <w:gridSpan w:val="5"/>
            <w:noWrap w:val="0"/>
            <w:vAlign w:val="center"/>
          </w:tcPr>
          <w:p>
            <w:pPr>
              <w:autoSpaceDN w:val="0"/>
              <w:spacing w:line="320" w:lineRule="exact"/>
              <w:jc w:val="left"/>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农村生活污水处理率目标值是60%，优良以上空气质量达标率目标值为85%，</w:t>
            </w:r>
            <w:r>
              <w:rPr>
                <w:rFonts w:hint="eastAsia" w:ascii="仿宋_GB2312" w:hAnsi="仿宋_GB2312" w:eastAsia="仿宋_GB2312" w:cs="仿宋_GB2312"/>
                <w:color w:val="000000"/>
                <w:sz w:val="24"/>
              </w:rPr>
              <w:t>Ⅲ类或优于Ⅲ类水质达标率目标值</w:t>
            </w:r>
            <w:r>
              <w:rPr>
                <w:rFonts w:hint="eastAsia" w:ascii="仿宋_GB2312" w:hAnsi="仿宋_GB2312" w:eastAsia="仿宋_GB2312" w:cs="仿宋_GB2312"/>
                <w:color w:val="000000"/>
                <w:sz w:val="24"/>
                <w:lang w:val="en-US" w:eastAsia="zh-CN"/>
              </w:rPr>
              <w:t>为95%，</w:t>
            </w:r>
            <w:r>
              <w:rPr>
                <w:rFonts w:hint="eastAsia" w:ascii="仿宋_GB2312" w:hAnsi="仿宋_GB2312" w:eastAsia="仿宋_GB2312" w:cs="仿宋_GB2312"/>
                <w:color w:val="000000"/>
                <w:sz w:val="24"/>
                <w:lang w:eastAsia="zh-CN"/>
              </w:rPr>
              <w:t>全县</w:t>
            </w:r>
            <w:r>
              <w:rPr>
                <w:rFonts w:hint="eastAsia" w:ascii="仿宋_GB2312" w:hAnsi="仿宋_GB2312" w:eastAsia="仿宋_GB2312" w:cs="仿宋_GB2312"/>
                <w:color w:val="000000"/>
                <w:sz w:val="24"/>
                <w:lang w:val="en-US" w:eastAsia="zh-CN"/>
              </w:rPr>
              <w:t>森林覆盖率达到22.15%，农村卫生厕所普及率达到95%，生活垃圾分类减量覆盖率达到90%，无害化处理率达到100%。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19"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noWrap w:val="0"/>
            <w:vAlign w:val="center"/>
          </w:tcPr>
          <w:p>
            <w:pPr>
              <w:widowControl/>
              <w:jc w:val="left"/>
              <w:rPr>
                <w:rFonts w:hint="eastAsia" w:ascii="Times New Roman" w:hAnsi="Times New Roman" w:eastAsia="仿宋_GB2312"/>
                <w:kern w:val="0"/>
                <w:sz w:val="24"/>
                <w:szCs w:val="24"/>
                <w:lang w:val="en-US" w:eastAsia="zh-CN" w:bidi="ar-SA"/>
              </w:rPr>
            </w:pPr>
            <w:r>
              <w:rPr>
                <w:rFonts w:hint="eastAsia" w:eastAsia="仿宋_GB2312"/>
                <w:kern w:val="0"/>
                <w:sz w:val="24"/>
              </w:rPr>
              <w:t>稳步推进环境监测业务</w:t>
            </w:r>
            <w:r>
              <w:rPr>
                <w:rFonts w:hint="eastAsia" w:eastAsia="仿宋_GB2312"/>
                <w:kern w:val="0"/>
                <w:sz w:val="24"/>
                <w:lang w:eastAsia="zh-CN"/>
              </w:rPr>
              <w:t>，</w:t>
            </w:r>
            <w:r>
              <w:rPr>
                <w:rFonts w:hint="eastAsia" w:eastAsia="仿宋_GB2312"/>
                <w:kern w:val="0"/>
                <w:sz w:val="24"/>
              </w:rPr>
              <w:t>强力开展“各项专项行动</w:t>
            </w:r>
            <w:r>
              <w:rPr>
                <w:rFonts w:hint="eastAsia" w:eastAsia="仿宋_GB2312"/>
                <w:kern w:val="0"/>
                <w:sz w:val="24"/>
                <w:lang w:eastAsia="zh-CN"/>
              </w:rPr>
              <w:t>”，</w:t>
            </w:r>
            <w:r>
              <w:rPr>
                <w:rFonts w:hint="eastAsia" w:eastAsia="仿宋_GB2312"/>
                <w:kern w:val="0"/>
                <w:sz w:val="24"/>
              </w:rPr>
              <w:t xml:space="preserve">积极回应群众关切      </w:t>
            </w:r>
          </w:p>
        </w:tc>
        <w:tc>
          <w:tcPr>
            <w:tcW w:w="2769" w:type="dxa"/>
            <w:gridSpan w:val="5"/>
            <w:noWrap w:val="0"/>
            <w:vAlign w:val="center"/>
          </w:tcPr>
          <w:p>
            <w:pPr>
              <w:autoSpaceDN w:val="0"/>
              <w:spacing w:line="320" w:lineRule="exact"/>
              <w:jc w:val="left"/>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农村生活污水处理率完成率是74%；优良以上空气质量达标率是 95.9%</w:t>
            </w:r>
            <w:r>
              <w:rPr>
                <w:rFonts w:hint="eastAsia" w:ascii="仿宋_GB2312" w:hAnsi="仿宋_GB2312" w:eastAsia="仿宋_GB2312" w:cs="仿宋_GB2312"/>
                <w:color w:val="000000"/>
                <w:sz w:val="24"/>
              </w:rPr>
              <w:t>；Ⅲ类或优于Ⅲ类水质</w:t>
            </w:r>
            <w:r>
              <w:rPr>
                <w:rFonts w:hint="eastAsia" w:ascii="仿宋_GB2312" w:hAnsi="仿宋_GB2312" w:eastAsia="仿宋_GB2312" w:cs="仿宋_GB2312"/>
                <w:color w:val="000000"/>
                <w:sz w:val="24"/>
                <w:lang w:val="en-US" w:eastAsia="zh-CN"/>
              </w:rPr>
              <w:t>达标率为91%，实现程度为95.8%</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全县</w:t>
            </w:r>
            <w:r>
              <w:rPr>
                <w:rFonts w:hint="eastAsia" w:ascii="仿宋_GB2312" w:hAnsi="仿宋_GB2312" w:eastAsia="仿宋_GB2312" w:cs="仿宋_GB2312"/>
                <w:color w:val="000000"/>
                <w:sz w:val="24"/>
                <w:lang w:val="en-US" w:eastAsia="zh-CN"/>
              </w:rPr>
              <w:t>森林覆盖率达到22.15%，农村卫生厕所普及率达到95%，生活垃圾分类减量覆盖率达到90%，无害化处理率达到100%。73项污染防治攻坚</w:t>
            </w:r>
            <w:r>
              <w:rPr>
                <w:rFonts w:hint="eastAsia" w:ascii="仿宋_GB2312" w:hAnsi="仿宋_GB2312" w:eastAsia="仿宋_GB2312" w:cs="仿宋_GB2312"/>
                <w:color w:val="000000"/>
                <w:sz w:val="24"/>
              </w:rPr>
              <w:t>“夏季攻势”</w:t>
            </w:r>
            <w:r>
              <w:rPr>
                <w:rFonts w:hint="eastAsia" w:ascii="仿宋_GB2312" w:hAnsi="仿宋_GB2312" w:eastAsia="仿宋_GB2312" w:cs="仿宋_GB2312"/>
                <w:color w:val="000000"/>
                <w:sz w:val="24"/>
                <w:lang w:eastAsia="zh-CN"/>
              </w:rPr>
              <w:t>问题全部完成了销号，</w:t>
            </w:r>
            <w:r>
              <w:rPr>
                <w:rFonts w:hint="eastAsia" w:ascii="仿宋_GB2312" w:hAnsi="仿宋_GB2312" w:eastAsia="仿宋_GB2312" w:cs="仿宋_GB2312"/>
                <w:color w:val="000000"/>
                <w:sz w:val="24"/>
                <w:lang w:val="en-US" w:eastAsia="zh-CN"/>
              </w:rPr>
              <w:t>47个</w:t>
            </w:r>
            <w:r>
              <w:rPr>
                <w:rFonts w:hint="eastAsia" w:ascii="仿宋_GB2312" w:hAnsi="仿宋_GB2312" w:eastAsia="仿宋_GB2312" w:cs="仿宋_GB2312"/>
                <w:color w:val="000000"/>
                <w:sz w:val="24"/>
              </w:rPr>
              <w:t>“洞庭清波”</w:t>
            </w:r>
            <w:r>
              <w:rPr>
                <w:rFonts w:hint="eastAsia" w:ascii="仿宋_GB2312" w:hAnsi="仿宋_GB2312" w:eastAsia="仿宋_GB2312" w:cs="仿宋_GB2312"/>
                <w:color w:val="000000"/>
                <w:sz w:val="24"/>
                <w:lang w:eastAsia="zh-CN"/>
              </w:rPr>
              <w:t>问题整治基本完成。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kern w:val="0"/>
                <w:sz w:val="24"/>
              </w:rPr>
              <w:t>水、大气、土壤污染防治目标任务</w:t>
            </w:r>
          </w:p>
        </w:tc>
        <w:tc>
          <w:tcPr>
            <w:tcW w:w="2769" w:type="dxa"/>
            <w:gridSpan w:val="5"/>
            <w:noWrap w:val="0"/>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val="0"/>
                <w:bCs/>
                <w:color w:val="000000"/>
                <w:sz w:val="24"/>
                <w:lang w:val="en-US" w:eastAsia="zh-CN"/>
              </w:rPr>
              <w:t>2020年底完成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kern w:val="0"/>
                <w:sz w:val="24"/>
              </w:rPr>
              <w:t>支出控制在预算内</w:t>
            </w:r>
          </w:p>
        </w:tc>
        <w:tc>
          <w:tcPr>
            <w:tcW w:w="2769" w:type="dxa"/>
            <w:gridSpan w:val="5"/>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Times New Roman" w:hAnsi="Times New Roman" w:eastAsia="仿宋_GB2312" w:cs="Times New Roman"/>
                <w:kern w:val="0"/>
                <w:sz w:val="24"/>
                <w:lang w:eastAsia="zh-CN"/>
              </w:rPr>
              <w:t>工作经费和专项治理经费按要求控制在预算内</w:t>
            </w:r>
            <w:r>
              <w:rPr>
                <w:rFonts w:hint="eastAsia" w:eastAsia="仿宋_GB2312" w:cs="Times New Roman"/>
                <w:kern w:val="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kern w:val="0"/>
                <w:sz w:val="24"/>
              </w:rPr>
              <w:t>服务经济发展</w:t>
            </w:r>
          </w:p>
        </w:tc>
        <w:tc>
          <w:tcPr>
            <w:tcW w:w="2769" w:type="dxa"/>
            <w:gridSpan w:val="5"/>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eastAsia="仿宋_GB2312"/>
                <w:kern w:val="0"/>
                <w:sz w:val="24"/>
              </w:rPr>
              <w:t>改善居民生产、生活环境，提升幸福生活指数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Times New Roman" w:hAnsi="Times New Roman" w:eastAsia="仿宋_GB2312" w:cs="Times New Roman"/>
                <w:kern w:val="0"/>
                <w:sz w:val="24"/>
              </w:rPr>
            </w:pPr>
            <w:r>
              <w:rPr>
                <w:rFonts w:hint="eastAsia" w:ascii="Times New Roman" w:hAnsi="Times New Roman" w:eastAsia="仿宋_GB2312" w:cs="Times New Roman"/>
                <w:kern w:val="0"/>
                <w:sz w:val="24"/>
              </w:rPr>
              <w:t>经济效益</w:t>
            </w:r>
          </w:p>
        </w:tc>
        <w:tc>
          <w:tcPr>
            <w:tcW w:w="2709" w:type="dxa"/>
            <w:gridSpan w:val="4"/>
            <w:noWrap w:val="0"/>
            <w:vAlign w:val="center"/>
          </w:tcPr>
          <w:p>
            <w:pPr>
              <w:autoSpaceDN w:val="0"/>
              <w:spacing w:line="320" w:lineRule="exact"/>
              <w:jc w:val="left"/>
              <w:textAlignment w:val="center"/>
              <w:rPr>
                <w:rFonts w:hint="eastAsia" w:ascii="Times New Roman" w:hAnsi="Times New Roman" w:eastAsia="仿宋_GB2312" w:cs="Times New Roman"/>
                <w:kern w:val="0"/>
                <w:sz w:val="24"/>
              </w:rPr>
            </w:pPr>
            <w:r>
              <w:rPr>
                <w:rFonts w:hint="eastAsia" w:ascii="Times New Roman" w:hAnsi="Times New Roman" w:eastAsia="仿宋_GB2312" w:cs="Times New Roman"/>
                <w:kern w:val="0"/>
                <w:sz w:val="24"/>
              </w:rPr>
              <w:t>实现节能减排</w:t>
            </w:r>
          </w:p>
        </w:tc>
        <w:tc>
          <w:tcPr>
            <w:tcW w:w="2769" w:type="dxa"/>
            <w:gridSpan w:val="5"/>
            <w:noWrap w:val="0"/>
            <w:vAlign w:val="center"/>
          </w:tcPr>
          <w:p>
            <w:pPr>
              <w:widowControl/>
              <w:jc w:val="left"/>
              <w:rPr>
                <w:rFonts w:hint="eastAsia" w:ascii="Times New Roman" w:hAnsi="Times New Roman" w:eastAsia="仿宋_GB2312"/>
                <w:kern w:val="0"/>
                <w:sz w:val="24"/>
                <w:szCs w:val="24"/>
                <w:lang w:val="en-US" w:eastAsia="zh-CN" w:bidi="ar-SA"/>
              </w:rPr>
            </w:pPr>
            <w:r>
              <w:rPr>
                <w:rFonts w:hint="eastAsia" w:ascii="Times New Roman" w:hAnsi="Times New Roman" w:eastAsia="仿宋_GB2312" w:cs="Times New Roman"/>
                <w:kern w:val="0"/>
                <w:sz w:val="24"/>
                <w:lang w:eastAsia="zh-CN"/>
              </w:rPr>
              <w:t>大气主要污染物二氧化硫、氮氧化物排放总量</w:t>
            </w:r>
            <w:r>
              <w:rPr>
                <w:rFonts w:hint="eastAsia" w:eastAsia="仿宋_GB2312" w:cs="Times New Roman"/>
                <w:kern w:val="0"/>
                <w:sz w:val="24"/>
                <w:lang w:val="en-US" w:eastAsia="zh-CN"/>
              </w:rPr>
              <w:t>减排</w:t>
            </w:r>
            <w:r>
              <w:rPr>
                <w:rFonts w:hint="eastAsia" w:ascii="Times New Roman" w:hAnsi="Times New Roman" w:eastAsia="仿宋_GB2312" w:cs="Times New Roman"/>
                <w:kern w:val="0"/>
                <w:sz w:val="24"/>
                <w:lang w:eastAsia="zh-CN"/>
              </w:rPr>
              <w:t>2</w:t>
            </w:r>
            <w:r>
              <w:rPr>
                <w:rFonts w:hint="eastAsia" w:ascii="Times New Roman" w:hAnsi="Times New Roman" w:eastAsia="仿宋_GB2312" w:cs="Times New Roman"/>
                <w:kern w:val="0"/>
                <w:sz w:val="24"/>
                <w:lang w:val="en-US" w:eastAsia="zh-CN"/>
              </w:rPr>
              <w:t>%</w:t>
            </w:r>
            <w:r>
              <w:rPr>
                <w:rFonts w:hint="eastAsia" w:ascii="Times New Roman" w:hAnsi="Times New Roman" w:eastAsia="仿宋_GB2312" w:cs="Times New Roman"/>
                <w:kern w:val="0"/>
                <w:sz w:val="24"/>
                <w:lang w:eastAsia="zh-CN"/>
              </w:rPr>
              <w:t>以</w:t>
            </w:r>
            <w:r>
              <w:rPr>
                <w:rFonts w:hint="eastAsia" w:ascii="Times New Roman" w:hAnsi="Times New Roman" w:eastAsia="仿宋_GB2312" w:cs="Times New Roman"/>
                <w:kern w:val="0"/>
                <w:sz w:val="24"/>
              </w:rPr>
              <w:t>上</w:t>
            </w:r>
            <w:r>
              <w:rPr>
                <w:rFonts w:hint="eastAsia" w:ascii="Times New Roman" w:hAnsi="Times New Roman" w:eastAsia="仿宋_GB2312" w:cs="Times New Roman"/>
                <w:kern w:val="0"/>
                <w:sz w:val="24"/>
                <w:lang w:eastAsia="zh-CN"/>
              </w:rPr>
              <w:t>，水指标减排3%</w:t>
            </w:r>
            <w:r>
              <w:rPr>
                <w:rFonts w:hint="eastAsia" w:eastAsia="仿宋_GB2312" w:cs="Times New Roman"/>
                <w:kern w:val="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kern w:val="0"/>
                <w:sz w:val="24"/>
              </w:rPr>
              <w:t>为全县环境污染提供准确的数据和依据，有效地预防和控制了环境污染</w:t>
            </w:r>
          </w:p>
        </w:tc>
        <w:tc>
          <w:tcPr>
            <w:tcW w:w="2769" w:type="dxa"/>
            <w:gridSpan w:val="5"/>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lang w:eastAsia="zh-CN"/>
              </w:rPr>
            </w:pPr>
            <w:r>
              <w:rPr>
                <w:rFonts w:hint="eastAsia" w:eastAsia="仿宋_GB2312"/>
                <w:kern w:val="0"/>
                <w:sz w:val="24"/>
              </w:rPr>
              <w:t>改善我县水环境质量，推进华容河综合整治和东湖治理，加强农村环境质量整治，改善大气环境质量</w:t>
            </w:r>
            <w:r>
              <w:rPr>
                <w:rFonts w:hint="eastAsia" w:eastAsia="仿宋_GB2312"/>
                <w:kern w:val="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kern w:val="0"/>
                <w:sz w:val="24"/>
              </w:rPr>
              <w:t>服务对象满意</w:t>
            </w:r>
          </w:p>
        </w:tc>
        <w:tc>
          <w:tcPr>
            <w:tcW w:w="2769" w:type="dxa"/>
            <w:gridSpan w:val="5"/>
            <w:noWrap w:val="0"/>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eastAsia="仿宋_GB2312"/>
                <w:kern w:val="0"/>
                <w:sz w:val="24"/>
                <w:lang w:val="en-US" w:eastAsia="zh-CN"/>
              </w:rPr>
              <w:t>满意度95%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95" w:type="dxa"/>
            <w:gridSpan w:val="11"/>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95" w:type="dxa"/>
            <w:gridSpan w:val="11"/>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85" w:type="dxa"/>
            <w:gridSpan w:val="1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9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胡奇</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副局长</w:t>
            </w:r>
          </w:p>
        </w:tc>
        <w:tc>
          <w:tcPr>
            <w:tcW w:w="1479"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岳阳市生态环境局华容分局</w:t>
            </w:r>
          </w:p>
        </w:tc>
        <w:tc>
          <w:tcPr>
            <w:tcW w:w="319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白海波</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副局长</w:t>
            </w:r>
          </w:p>
        </w:tc>
        <w:tc>
          <w:tcPr>
            <w:tcW w:w="1479"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岳阳市生态环境局华容分局</w:t>
            </w:r>
          </w:p>
        </w:tc>
        <w:tc>
          <w:tcPr>
            <w:tcW w:w="319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周娟</w:t>
            </w:r>
          </w:p>
        </w:tc>
        <w:tc>
          <w:tcPr>
            <w:tcW w:w="3561" w:type="dxa"/>
            <w:gridSpan w:val="6"/>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规划财务股长</w:t>
            </w:r>
          </w:p>
        </w:tc>
        <w:tc>
          <w:tcPr>
            <w:tcW w:w="1479"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岳阳市生态环境局华容分局</w:t>
            </w:r>
          </w:p>
        </w:tc>
        <w:tc>
          <w:tcPr>
            <w:tcW w:w="319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479"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19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85" w:type="dxa"/>
            <w:gridSpan w:val="16"/>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spacing w:line="440" w:lineRule="exact"/>
              <w:rPr>
                <w:rFonts w:hint="eastAsia" w:eastAsia="仿宋_GB2312"/>
                <w:sz w:val="24"/>
              </w:rPr>
            </w:pPr>
            <w:r>
              <w:rPr>
                <w:rFonts w:hint="eastAsia" w:ascii="仿宋_GB2312" w:hAnsi="仿宋_GB2312" w:eastAsia="仿宋_GB2312" w:cs="仿宋_GB2312"/>
                <w:color w:val="000000"/>
                <w:sz w:val="32"/>
                <w:szCs w:val="32"/>
              </w:rPr>
              <w:t>按年初目标，如期超质量完成任务。</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lang w:val="en-US" w:eastAsia="zh-CN"/>
              </w:rPr>
              <w:t>2021</w:t>
            </w:r>
            <w:r>
              <w:rPr>
                <w:rFonts w:hint="eastAsia" w:ascii="仿宋_GB2312" w:hAnsi="仿宋_GB2312" w:eastAsia="仿宋_GB2312" w:cs="仿宋_GB2312"/>
                <w:color w:val="000000"/>
                <w:sz w:val="24"/>
              </w:rPr>
              <w:t>年</w:t>
            </w: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月</w:t>
            </w:r>
            <w:r>
              <w:rPr>
                <w:rFonts w:hint="eastAsia" w:ascii="仿宋_GB2312" w:hAnsi="仿宋_GB2312" w:eastAsia="仿宋_GB2312" w:cs="仿宋_GB2312"/>
                <w:color w:val="000000"/>
                <w:sz w:val="24"/>
                <w:lang w:val="en-US" w:eastAsia="zh-CN"/>
              </w:rPr>
              <w:t>7</w:t>
            </w:r>
            <w:r>
              <w:rPr>
                <w:rFonts w:hint="eastAsia" w:ascii="仿宋_GB2312" w:hAnsi="仿宋_GB2312" w:eastAsia="仿宋_GB2312" w:cs="仿宋_GB2312"/>
                <w:color w:val="00000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85" w:type="dxa"/>
            <w:gridSpan w:val="16"/>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spacing w:line="440" w:lineRule="exact"/>
              <w:rPr>
                <w:rFonts w:hint="eastAsia" w:eastAsia="仿宋_GB2312"/>
                <w:sz w:val="24"/>
              </w:rPr>
            </w:pPr>
            <w:r>
              <w:rPr>
                <w:rFonts w:hint="eastAsia" w:ascii="仿宋_GB2312" w:hAnsi="仿宋_GB2312" w:eastAsia="仿宋_GB2312" w:cs="仿宋_GB2312"/>
                <w:color w:val="000000"/>
                <w:sz w:val="32"/>
                <w:szCs w:val="32"/>
              </w:rPr>
              <w:t>如期超质量完成任务</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lang w:val="en-US" w:eastAsia="zh-CN"/>
              </w:rPr>
              <w:t>2021</w:t>
            </w:r>
            <w:r>
              <w:rPr>
                <w:rFonts w:hint="eastAsia" w:ascii="仿宋_GB2312" w:hAnsi="仿宋_GB2312" w:eastAsia="仿宋_GB2312" w:cs="仿宋_GB2312"/>
                <w:color w:val="000000"/>
                <w:sz w:val="24"/>
              </w:rPr>
              <w:t>年</w:t>
            </w: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 xml:space="preserve">月 </w:t>
            </w:r>
            <w:r>
              <w:rPr>
                <w:rFonts w:hint="eastAsia" w:ascii="仿宋_GB2312" w:hAnsi="仿宋_GB2312" w:eastAsia="仿宋_GB2312" w:cs="仿宋_GB2312"/>
                <w:color w:val="000000"/>
                <w:sz w:val="24"/>
                <w:lang w:val="en-US" w:eastAsia="zh-CN"/>
              </w:rPr>
              <w:t>7</w:t>
            </w:r>
            <w:r>
              <w:rPr>
                <w:rFonts w:hint="eastAsia" w:ascii="仿宋_GB2312" w:hAnsi="仿宋_GB2312" w:eastAsia="仿宋_GB2312" w:cs="仿宋_GB2312"/>
                <w:color w:val="000000"/>
                <w:sz w:val="24"/>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85" w:type="dxa"/>
            <w:gridSpan w:val="16"/>
            <w:noWrap w:val="0"/>
            <w:vAlign w:val="center"/>
          </w:tcPr>
          <w:p>
            <w:pPr>
              <w:spacing w:line="320" w:lineRule="exact"/>
              <w:rPr>
                <w:rFonts w:hint="eastAsia" w:eastAsia="仿宋_GB2312"/>
                <w:sz w:val="24"/>
              </w:rPr>
            </w:pPr>
            <w:r>
              <w:rPr>
                <w:rFonts w:hint="eastAsia" w:eastAsia="仿宋_GB2312"/>
                <w:sz w:val="24"/>
              </w:rPr>
              <w:t>财政部门归口业务科室意见：</w:t>
            </w: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w:t>
      </w:r>
      <w:r>
        <w:rPr>
          <w:rFonts w:hint="eastAsia" w:eastAsia="仿宋_GB2312" w:cs="仿宋_GB2312"/>
          <w:bCs/>
          <w:sz w:val="28"/>
          <w:szCs w:val="28"/>
          <w:lang w:val="en-US" w:eastAsia="zh-CN"/>
        </w:rPr>
        <w:t>周娟</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13974084999</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noWrap w:val="0"/>
            <w:vAlign w:val="center"/>
          </w:tcPr>
          <w:p>
            <w:pPr>
              <w:jc w:val="both"/>
              <w:rPr>
                <w:rFonts w:hint="eastAsia"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jc w:val="both"/>
              <w:rPr>
                <w:rFonts w:hint="eastAsia" w:eastAsia="仿宋_GB2312"/>
                <w:sz w:val="32"/>
                <w:szCs w:val="32"/>
              </w:rPr>
            </w:pPr>
          </w:p>
          <w:p>
            <w:pPr>
              <w:spacing w:line="560" w:lineRule="exact"/>
              <w:ind w:firstLine="560" w:firstLineChars="200"/>
              <w:jc w:val="both"/>
              <w:rPr>
                <w:rFonts w:hint="eastAsia"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机构设置：</w:t>
            </w:r>
            <w:r>
              <w:rPr>
                <w:rFonts w:hint="eastAsia" w:ascii="仿宋" w:hAnsi="仿宋" w:eastAsia="仿宋" w:cs="仿宋"/>
                <w:sz w:val="30"/>
                <w:szCs w:val="30"/>
              </w:rPr>
              <w:t>我局属于参照公务员管理的事业单位，</w:t>
            </w:r>
            <w:r>
              <w:rPr>
                <w:rFonts w:hint="eastAsia" w:ascii="仿宋" w:hAnsi="仿宋" w:eastAsia="仿宋" w:cs="仿宋"/>
                <w:sz w:val="30"/>
                <w:szCs w:val="30"/>
                <w:lang w:eastAsia="zh-CN"/>
              </w:rPr>
              <w:t>现有编制数</w:t>
            </w:r>
            <w:r>
              <w:rPr>
                <w:rFonts w:hint="eastAsia" w:ascii="仿宋" w:hAnsi="仿宋" w:eastAsia="仿宋" w:cs="仿宋"/>
                <w:sz w:val="30"/>
                <w:szCs w:val="30"/>
                <w:lang w:val="en-US" w:eastAsia="zh-CN"/>
              </w:rPr>
              <w:t>62人，其中行政编制13人，参公编制36人，事业编制13人。现有在职在编人员62人，退休人员22人。</w:t>
            </w:r>
            <w:r>
              <w:rPr>
                <w:rFonts w:hint="eastAsia" w:ascii="仿宋" w:hAnsi="仿宋" w:eastAsia="仿宋" w:cs="仿宋"/>
                <w:sz w:val="30"/>
                <w:szCs w:val="30"/>
              </w:rPr>
              <w:t>内设办公室</w:t>
            </w:r>
            <w:r>
              <w:rPr>
                <w:rFonts w:hint="eastAsia" w:ascii="仿宋" w:hAnsi="仿宋" w:eastAsia="仿宋" w:cs="仿宋"/>
                <w:sz w:val="30"/>
                <w:szCs w:val="30"/>
                <w:lang w:eastAsia="zh-CN"/>
              </w:rPr>
              <w:t>、</w:t>
            </w:r>
            <w:r>
              <w:rPr>
                <w:rFonts w:hint="eastAsia" w:ascii="仿宋" w:hAnsi="仿宋" w:eastAsia="仿宋" w:cs="仿宋"/>
                <w:sz w:val="30"/>
                <w:szCs w:val="30"/>
              </w:rPr>
              <w:t>生态环境监督股</w:t>
            </w:r>
            <w:r>
              <w:rPr>
                <w:rFonts w:hint="eastAsia" w:ascii="仿宋" w:hAnsi="仿宋" w:eastAsia="仿宋" w:cs="仿宋"/>
                <w:sz w:val="30"/>
                <w:szCs w:val="30"/>
                <w:lang w:eastAsia="zh-CN"/>
              </w:rPr>
              <w:t>、</w:t>
            </w:r>
            <w:r>
              <w:rPr>
                <w:rFonts w:hint="eastAsia" w:ascii="仿宋" w:hAnsi="仿宋" w:eastAsia="仿宋" w:cs="仿宋"/>
                <w:sz w:val="30"/>
                <w:szCs w:val="30"/>
              </w:rPr>
              <w:t>法制宣教股</w:t>
            </w:r>
            <w:r>
              <w:rPr>
                <w:rFonts w:hint="eastAsia" w:ascii="仿宋" w:hAnsi="仿宋" w:eastAsia="仿宋" w:cs="仿宋"/>
                <w:sz w:val="30"/>
                <w:szCs w:val="30"/>
                <w:lang w:eastAsia="zh-CN"/>
              </w:rPr>
              <w:t>、</w:t>
            </w:r>
            <w:r>
              <w:rPr>
                <w:rFonts w:hint="eastAsia" w:ascii="仿宋" w:hAnsi="仿宋" w:eastAsia="仿宋" w:cs="仿宋"/>
                <w:sz w:val="30"/>
                <w:szCs w:val="30"/>
              </w:rPr>
              <w:t>土壤生态股</w:t>
            </w:r>
            <w:r>
              <w:rPr>
                <w:rFonts w:hint="eastAsia" w:ascii="仿宋" w:hAnsi="仿宋" w:eastAsia="仿宋" w:cs="仿宋"/>
                <w:sz w:val="30"/>
                <w:szCs w:val="30"/>
                <w:lang w:eastAsia="zh-CN"/>
              </w:rPr>
              <w:t>、</w:t>
            </w:r>
            <w:r>
              <w:rPr>
                <w:rFonts w:hint="eastAsia" w:ascii="仿宋" w:hAnsi="仿宋" w:eastAsia="仿宋" w:cs="仿宋"/>
                <w:sz w:val="30"/>
                <w:szCs w:val="30"/>
              </w:rPr>
              <w:t>水生态环境股</w:t>
            </w:r>
            <w:r>
              <w:rPr>
                <w:rFonts w:hint="eastAsia" w:ascii="仿宋" w:hAnsi="仿宋" w:eastAsia="仿宋" w:cs="仿宋"/>
                <w:sz w:val="30"/>
                <w:szCs w:val="30"/>
                <w:lang w:eastAsia="zh-CN"/>
              </w:rPr>
              <w:t>、</w:t>
            </w:r>
            <w:r>
              <w:rPr>
                <w:rFonts w:hint="eastAsia" w:ascii="仿宋" w:hAnsi="仿宋" w:eastAsia="仿宋" w:cs="仿宋"/>
                <w:sz w:val="30"/>
                <w:szCs w:val="30"/>
              </w:rPr>
              <w:t>大气环境与应对气候变化股</w:t>
            </w:r>
            <w:r>
              <w:rPr>
                <w:rFonts w:hint="eastAsia" w:ascii="仿宋" w:hAnsi="仿宋" w:eastAsia="仿宋" w:cs="仿宋"/>
                <w:sz w:val="30"/>
                <w:szCs w:val="30"/>
                <w:lang w:eastAsia="zh-CN"/>
              </w:rPr>
              <w:t>、</w:t>
            </w:r>
            <w:r>
              <w:rPr>
                <w:rFonts w:hint="eastAsia" w:ascii="仿宋" w:hAnsi="仿宋" w:eastAsia="仿宋" w:cs="仿宋"/>
                <w:sz w:val="30"/>
                <w:szCs w:val="30"/>
              </w:rPr>
              <w:t>固体废物股</w:t>
            </w:r>
            <w:r>
              <w:rPr>
                <w:rFonts w:hint="eastAsia" w:ascii="仿宋" w:hAnsi="仿宋" w:eastAsia="仿宋" w:cs="仿宋"/>
                <w:sz w:val="30"/>
                <w:szCs w:val="30"/>
                <w:lang w:eastAsia="zh-CN"/>
              </w:rPr>
              <w:t>、</w:t>
            </w:r>
            <w:r>
              <w:rPr>
                <w:rFonts w:hint="eastAsia" w:ascii="仿宋" w:hAnsi="仿宋" w:eastAsia="仿宋" w:cs="仿宋"/>
                <w:sz w:val="30"/>
                <w:szCs w:val="30"/>
              </w:rPr>
              <w:t>行政审批股</w:t>
            </w:r>
            <w:r>
              <w:rPr>
                <w:rFonts w:hint="eastAsia" w:ascii="仿宋" w:hAnsi="仿宋" w:eastAsia="仿宋" w:cs="仿宋"/>
                <w:sz w:val="30"/>
                <w:szCs w:val="30"/>
                <w:lang w:eastAsia="zh-CN"/>
              </w:rPr>
              <w:t>、</w:t>
            </w:r>
            <w:r>
              <w:rPr>
                <w:rFonts w:hint="eastAsia" w:ascii="仿宋" w:hAnsi="仿宋" w:eastAsia="仿宋" w:cs="仿宋"/>
                <w:sz w:val="30"/>
                <w:szCs w:val="30"/>
              </w:rPr>
              <w:t>规划与财务股</w:t>
            </w:r>
            <w:r>
              <w:rPr>
                <w:rFonts w:hint="eastAsia" w:ascii="仿宋" w:hAnsi="仿宋" w:eastAsia="仿宋" w:cs="仿宋"/>
                <w:sz w:val="30"/>
                <w:szCs w:val="30"/>
                <w:lang w:eastAsia="zh-CN"/>
              </w:rPr>
              <w:t>、</w:t>
            </w:r>
            <w:r>
              <w:rPr>
                <w:rFonts w:hint="eastAsia" w:ascii="仿宋" w:hAnsi="仿宋" w:eastAsia="仿宋" w:cs="仿宋"/>
                <w:sz w:val="30"/>
                <w:szCs w:val="30"/>
              </w:rPr>
              <w:t>人事股。</w:t>
            </w:r>
            <w:r>
              <w:rPr>
                <w:rFonts w:hint="eastAsia" w:ascii="仿宋" w:hAnsi="仿宋" w:eastAsia="仿宋" w:cs="仿宋"/>
                <w:sz w:val="32"/>
                <w:szCs w:val="32"/>
              </w:rPr>
              <w:t>下设县生态环境保护综合行政执法大队</w:t>
            </w:r>
            <w:r>
              <w:rPr>
                <w:rFonts w:hint="eastAsia" w:ascii="仿宋" w:hAnsi="仿宋" w:eastAsia="仿宋" w:cs="仿宋"/>
                <w:sz w:val="32"/>
                <w:szCs w:val="32"/>
                <w:lang w:eastAsia="zh-CN"/>
              </w:rPr>
              <w:t>、</w:t>
            </w:r>
            <w:r>
              <w:rPr>
                <w:rFonts w:hint="eastAsia" w:ascii="仿宋" w:hAnsi="仿宋" w:eastAsia="仿宋" w:cs="仿宋"/>
                <w:sz w:val="32"/>
                <w:szCs w:val="32"/>
              </w:rPr>
              <w:t>岳阳市华容生态环境监测站</w:t>
            </w:r>
            <w:r>
              <w:rPr>
                <w:rFonts w:hint="eastAsia" w:ascii="仿宋" w:hAnsi="仿宋" w:eastAsia="仿宋" w:cs="仿宋"/>
                <w:sz w:val="30"/>
                <w:szCs w:val="30"/>
              </w:rPr>
              <w:t>两个二级机构（二级机构财务上未独立核算）。</w:t>
            </w:r>
          </w:p>
          <w:p>
            <w:pPr>
              <w:ind w:firstLine="640" w:firstLineChars="200"/>
              <w:rPr>
                <w:rFonts w:hint="eastAsia" w:ascii="仿宋" w:hAnsi="仿宋" w:eastAsia="仿宋" w:cs="仿宋"/>
                <w:sz w:val="30"/>
                <w:szCs w:val="30"/>
                <w:lang w:eastAsia="zh-CN"/>
              </w:rPr>
            </w:pPr>
            <w:r>
              <w:rPr>
                <w:rFonts w:hint="eastAsia" w:ascii="仿宋" w:hAnsi="仿宋" w:eastAsia="仿宋" w:cs="仿宋"/>
                <w:kern w:val="2"/>
                <w:sz w:val="32"/>
                <w:szCs w:val="32"/>
                <w:lang w:val="en-US" w:eastAsia="zh-CN" w:bidi="ar-SA"/>
              </w:rPr>
              <w:t>职能职责：</w:t>
            </w:r>
            <w:r>
              <w:rPr>
                <w:rFonts w:hint="eastAsia" w:ascii="仿宋" w:hAnsi="仿宋" w:eastAsia="仿宋" w:cs="仿宋"/>
                <w:sz w:val="30"/>
                <w:szCs w:val="30"/>
              </w:rPr>
              <w:t>贯彻执行国家、省和市有关生态环境的法律法规和政策，根据职责和授权拟订生态环境保护规范性文件并监督实施。负责生态环境保护方面的制度建设</w:t>
            </w:r>
            <w:r>
              <w:rPr>
                <w:rFonts w:hint="eastAsia" w:ascii="仿宋" w:hAnsi="仿宋" w:eastAsia="仿宋" w:cs="仿宋"/>
                <w:sz w:val="30"/>
                <w:szCs w:val="30"/>
                <w:lang w:eastAsia="zh-CN"/>
              </w:rPr>
              <w:t>；</w:t>
            </w:r>
            <w:r>
              <w:rPr>
                <w:rFonts w:hint="eastAsia" w:ascii="仿宋" w:hAnsi="仿宋" w:eastAsia="仿宋" w:cs="仿宋"/>
                <w:sz w:val="30"/>
                <w:szCs w:val="30"/>
              </w:rPr>
              <w:t>协调和监督管理辖区内生态环境保护工作</w:t>
            </w:r>
            <w:r>
              <w:rPr>
                <w:rFonts w:hint="eastAsia" w:ascii="仿宋" w:hAnsi="仿宋" w:eastAsia="仿宋" w:cs="仿宋"/>
                <w:sz w:val="30"/>
                <w:szCs w:val="30"/>
                <w:lang w:eastAsia="zh-CN"/>
              </w:rPr>
              <w:t>；</w:t>
            </w:r>
            <w:r>
              <w:rPr>
                <w:rFonts w:hint="eastAsia" w:ascii="仿宋" w:hAnsi="仿宋" w:eastAsia="仿宋" w:cs="仿宋"/>
                <w:sz w:val="30"/>
                <w:szCs w:val="30"/>
              </w:rPr>
              <w:t>监督管理减排目标的落实</w:t>
            </w:r>
            <w:r>
              <w:rPr>
                <w:rFonts w:hint="eastAsia" w:ascii="仿宋" w:hAnsi="仿宋" w:eastAsia="仿宋" w:cs="仿宋"/>
                <w:sz w:val="30"/>
                <w:szCs w:val="30"/>
                <w:lang w:eastAsia="zh-CN"/>
              </w:rPr>
              <w:t>；</w:t>
            </w:r>
            <w:r>
              <w:rPr>
                <w:rFonts w:hint="eastAsia" w:ascii="仿宋" w:hAnsi="仿宋" w:eastAsia="仿宋" w:cs="仿宋"/>
                <w:sz w:val="30"/>
                <w:szCs w:val="30"/>
              </w:rPr>
              <w:t>环境污染防治的监督管理</w:t>
            </w:r>
            <w:r>
              <w:rPr>
                <w:rFonts w:hint="eastAsia" w:ascii="仿宋" w:hAnsi="仿宋" w:eastAsia="仿宋" w:cs="仿宋"/>
                <w:sz w:val="30"/>
                <w:szCs w:val="30"/>
                <w:lang w:eastAsia="zh-CN"/>
              </w:rPr>
              <w:t>；</w:t>
            </w:r>
            <w:r>
              <w:rPr>
                <w:rFonts w:hint="eastAsia" w:ascii="仿宋" w:hAnsi="仿宋" w:eastAsia="仿宋" w:cs="仿宋"/>
                <w:sz w:val="30"/>
                <w:szCs w:val="30"/>
              </w:rPr>
              <w:t>指导协调和监督生态保护修复工作</w:t>
            </w:r>
            <w:r>
              <w:rPr>
                <w:rFonts w:hint="eastAsia" w:ascii="仿宋" w:hAnsi="仿宋" w:eastAsia="仿宋" w:cs="仿宋"/>
                <w:sz w:val="30"/>
                <w:szCs w:val="30"/>
                <w:lang w:eastAsia="zh-CN"/>
              </w:rPr>
              <w:t>；</w:t>
            </w:r>
            <w:r>
              <w:rPr>
                <w:rFonts w:hint="eastAsia" w:ascii="仿宋" w:hAnsi="仿宋" w:eastAsia="仿宋" w:cs="仿宋"/>
                <w:sz w:val="30"/>
                <w:szCs w:val="30"/>
              </w:rPr>
              <w:t>辐射环境安全的监督管理</w:t>
            </w:r>
            <w:r>
              <w:rPr>
                <w:rFonts w:hint="eastAsia" w:ascii="仿宋" w:hAnsi="仿宋" w:eastAsia="仿宋" w:cs="仿宋"/>
                <w:sz w:val="30"/>
                <w:szCs w:val="30"/>
                <w:lang w:eastAsia="zh-CN"/>
              </w:rPr>
              <w:t>；</w:t>
            </w:r>
            <w:r>
              <w:rPr>
                <w:rFonts w:hint="eastAsia" w:ascii="仿宋" w:hAnsi="仿宋" w:eastAsia="仿宋" w:cs="仿宋"/>
                <w:sz w:val="30"/>
                <w:szCs w:val="30"/>
              </w:rPr>
              <w:t>生态环境准入的监督管理</w:t>
            </w:r>
            <w:r>
              <w:rPr>
                <w:rFonts w:hint="eastAsia" w:ascii="仿宋" w:hAnsi="仿宋" w:eastAsia="仿宋" w:cs="仿宋"/>
                <w:sz w:val="30"/>
                <w:szCs w:val="30"/>
                <w:lang w:eastAsia="zh-CN"/>
              </w:rPr>
              <w:t>；</w:t>
            </w:r>
            <w:r>
              <w:rPr>
                <w:rFonts w:hint="eastAsia" w:ascii="仿宋" w:hAnsi="仿宋" w:eastAsia="仿宋" w:cs="仿宋"/>
                <w:sz w:val="30"/>
                <w:szCs w:val="30"/>
              </w:rPr>
              <w:t>生态环境监测工作</w:t>
            </w:r>
            <w:r>
              <w:rPr>
                <w:rFonts w:hint="eastAsia" w:ascii="仿宋" w:hAnsi="仿宋" w:eastAsia="仿宋" w:cs="仿宋"/>
                <w:sz w:val="30"/>
                <w:szCs w:val="30"/>
                <w:lang w:eastAsia="zh-CN"/>
              </w:rPr>
              <w:t>；</w:t>
            </w:r>
            <w:r>
              <w:rPr>
                <w:rFonts w:hint="eastAsia" w:ascii="仿宋" w:hAnsi="仿宋" w:eastAsia="仿宋" w:cs="仿宋"/>
                <w:sz w:val="30"/>
                <w:szCs w:val="30"/>
              </w:rPr>
              <w:t>承担生态环境保护综合执法工作</w:t>
            </w:r>
            <w:r>
              <w:rPr>
                <w:rFonts w:hint="eastAsia" w:ascii="仿宋" w:hAnsi="仿宋" w:eastAsia="仿宋" w:cs="仿宋"/>
                <w:sz w:val="30"/>
                <w:szCs w:val="30"/>
                <w:lang w:eastAsia="zh-CN"/>
              </w:rPr>
              <w:t>；</w:t>
            </w:r>
            <w:r>
              <w:rPr>
                <w:rFonts w:hint="eastAsia" w:ascii="仿宋" w:hAnsi="仿宋" w:eastAsia="仿宋" w:cs="仿宋"/>
                <w:sz w:val="30"/>
                <w:szCs w:val="30"/>
              </w:rPr>
              <w:t>组织开展生态环境科技工作</w:t>
            </w:r>
            <w:r>
              <w:rPr>
                <w:rFonts w:hint="eastAsia" w:ascii="仿宋" w:hAnsi="仿宋" w:eastAsia="仿宋" w:cs="仿宋"/>
                <w:sz w:val="30"/>
                <w:szCs w:val="30"/>
                <w:lang w:eastAsia="zh-CN"/>
              </w:rPr>
              <w:t>；</w:t>
            </w:r>
            <w:r>
              <w:rPr>
                <w:rFonts w:hint="eastAsia" w:ascii="仿宋" w:hAnsi="仿宋" w:eastAsia="仿宋" w:cs="仿宋"/>
                <w:sz w:val="30"/>
                <w:szCs w:val="30"/>
              </w:rPr>
              <w:t>会同有关部门管理生态环境保护有关资金项目</w:t>
            </w:r>
            <w:r>
              <w:rPr>
                <w:rFonts w:hint="eastAsia" w:ascii="仿宋" w:hAnsi="仿宋" w:eastAsia="仿宋" w:cs="仿宋"/>
                <w:sz w:val="30"/>
                <w:szCs w:val="30"/>
                <w:lang w:eastAsia="zh-CN"/>
              </w:rPr>
              <w:t>；</w:t>
            </w:r>
            <w:r>
              <w:rPr>
                <w:rFonts w:hint="eastAsia" w:ascii="仿宋" w:hAnsi="仿宋" w:eastAsia="仿宋" w:cs="仿宋"/>
                <w:sz w:val="30"/>
                <w:szCs w:val="30"/>
              </w:rPr>
              <w:t>组织开展和指导生态环境宣传教育工作</w:t>
            </w:r>
            <w:r>
              <w:rPr>
                <w:rFonts w:hint="eastAsia" w:ascii="仿宋" w:hAnsi="仿宋" w:eastAsia="仿宋" w:cs="仿宋"/>
                <w:sz w:val="30"/>
                <w:szCs w:val="30"/>
                <w:lang w:eastAsia="zh-CN"/>
              </w:rPr>
              <w:t>；</w:t>
            </w:r>
            <w:r>
              <w:rPr>
                <w:rFonts w:hint="eastAsia" w:ascii="仿宋" w:hAnsi="仿宋" w:eastAsia="仿宋" w:cs="仿宋"/>
                <w:sz w:val="30"/>
                <w:szCs w:val="30"/>
              </w:rPr>
              <w:t>完成市生态环境局交办的其他任务，协助华容县委、县政府开展生态环境保护工作，指导辖区内乡镇（街道）的生态环境保护工作。</w:t>
            </w:r>
          </w:p>
          <w:p>
            <w:pPr>
              <w:ind w:firstLine="960" w:firstLineChars="300"/>
              <w:jc w:val="both"/>
              <w:rPr>
                <w:rFonts w:hint="eastAsia" w:ascii="仿宋" w:hAnsi="仿宋" w:eastAsia="仿宋" w:cs="仿宋"/>
                <w:kern w:val="2"/>
                <w:sz w:val="32"/>
                <w:szCs w:val="32"/>
                <w:lang w:val="en-US" w:eastAsia="zh-CN" w:bidi="ar-SA"/>
              </w:rPr>
            </w:pPr>
          </w:p>
          <w:p>
            <w:pPr>
              <w:spacing w:line="240" w:lineRule="auto"/>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二</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部门（单位）整体支出规模、使用方向和主要内容、涉及范围等</w:t>
            </w:r>
          </w:p>
          <w:p>
            <w:pPr>
              <w:pStyle w:val="2"/>
              <w:spacing w:before="0" w:beforeAutospacing="0" w:after="0"/>
              <w:ind w:firstLine="640" w:firstLineChars="200"/>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用于保障全县环保重点工作，贯彻落实上级部门工作要求，以生态环境质量改善为目标，坚定不移打好污染防治攻坚战，强化环保改革创新，抓好综合能力提升， 强化环境风险防范，推动全县环保工作取得新成效。努力实现我县主要污染物排放总量持续削减，环境空气质量持续好转，水环境质量得到阶段性改善，省控重点河流基本恢复水环境功能，水环境安全得以有效保障，土壤环境污染得到遏制，生态格局保持稳定，划定生态红线并严格保护，污染防治基础设施和环境监管能力进一步加强，环境风险得以有效控制，发展的资源依存度和环境压力显著降低， 基本形成与全面建成小康社会相适应的生态环境格局。着力推进长江排渍口、华容河、东湖及其他重点问题整治。</w:t>
            </w:r>
          </w:p>
          <w:p>
            <w:pPr>
              <w:spacing w:line="560" w:lineRule="exact"/>
              <w:ind w:firstLine="560" w:firstLineChars="200"/>
              <w:jc w:val="both"/>
              <w:rPr>
                <w:rFonts w:hint="eastAsia"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560" w:firstLineChars="200"/>
              <w:jc w:val="both"/>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（一）基本支出</w:t>
            </w:r>
          </w:p>
          <w:p>
            <w:pPr>
              <w:pStyle w:val="2"/>
              <w:numPr>
                <w:ilvl w:val="0"/>
                <w:numId w:val="0"/>
              </w:numPr>
              <w:spacing w:before="0" w:beforeAutospacing="0" w:after="0"/>
              <w:ind w:firstLine="600" w:firstLineChars="200"/>
              <w:rPr>
                <w:rFonts w:hint="eastAsia" w:ascii="仿宋" w:hAnsi="仿宋" w:eastAsia="仿宋" w:cs="仿宋"/>
                <w:sz w:val="30"/>
                <w:szCs w:val="30"/>
                <w:lang w:eastAsia="zh-CN"/>
              </w:rPr>
            </w:pPr>
            <w:r>
              <w:rPr>
                <w:rFonts w:hint="eastAsia" w:ascii="仿宋" w:hAnsi="仿宋" w:eastAsia="仿宋" w:cs="仿宋"/>
                <w:color w:val="auto"/>
                <w:sz w:val="30"/>
                <w:szCs w:val="30"/>
                <w:lang w:eastAsia="zh-CN"/>
              </w:rPr>
              <w:t>202</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lang w:eastAsia="zh-CN"/>
              </w:rPr>
              <w:t>年基本支出数为</w:t>
            </w:r>
            <w:r>
              <w:rPr>
                <w:rFonts w:hint="eastAsia" w:ascii="仿宋" w:hAnsi="仿宋" w:eastAsia="仿宋" w:cs="仿宋"/>
                <w:color w:val="auto"/>
                <w:sz w:val="30"/>
                <w:szCs w:val="30"/>
                <w:lang w:val="en-US" w:eastAsia="zh-CN"/>
              </w:rPr>
              <w:t>1071.1</w:t>
            </w:r>
            <w:r>
              <w:rPr>
                <w:rFonts w:hint="eastAsia" w:ascii="仿宋" w:hAnsi="仿宋" w:eastAsia="仿宋" w:cs="仿宋"/>
                <w:color w:val="auto"/>
                <w:sz w:val="30"/>
                <w:szCs w:val="30"/>
                <w:lang w:eastAsia="zh-CN"/>
              </w:rPr>
              <w:t>万元，为保障单位机构正常运转、完成日常工作任务而发生的各项支出，包括用于基本工资、津贴补贴等人员经费以及办公费、印刷费、水电费、差旅费等日常公用经费。其中：人员支出</w:t>
            </w:r>
            <w:r>
              <w:rPr>
                <w:rFonts w:hint="eastAsia" w:ascii="仿宋" w:hAnsi="仿宋" w:eastAsia="仿宋" w:cs="仿宋"/>
                <w:color w:val="auto"/>
                <w:sz w:val="30"/>
                <w:szCs w:val="30"/>
                <w:lang w:val="en-US" w:eastAsia="zh-CN"/>
              </w:rPr>
              <w:t>671.1</w:t>
            </w:r>
            <w:r>
              <w:rPr>
                <w:rFonts w:hint="eastAsia" w:ascii="仿宋" w:hAnsi="仿宋" w:eastAsia="仿宋" w:cs="仿宋"/>
                <w:color w:val="auto"/>
                <w:sz w:val="30"/>
                <w:szCs w:val="30"/>
                <w:lang w:eastAsia="zh-CN"/>
              </w:rPr>
              <w:t>万元，商品和服务支出</w:t>
            </w:r>
            <w:r>
              <w:rPr>
                <w:rFonts w:hint="eastAsia" w:ascii="仿宋" w:hAnsi="仿宋" w:eastAsia="仿宋" w:cs="仿宋"/>
                <w:color w:val="auto"/>
                <w:sz w:val="30"/>
                <w:szCs w:val="30"/>
                <w:lang w:val="en-US" w:eastAsia="zh-CN"/>
              </w:rPr>
              <w:t>400</w:t>
            </w:r>
            <w:r>
              <w:rPr>
                <w:rFonts w:hint="eastAsia" w:ascii="仿宋" w:hAnsi="仿宋" w:eastAsia="仿宋" w:cs="仿宋"/>
                <w:color w:val="auto"/>
                <w:sz w:val="30"/>
                <w:szCs w:val="30"/>
                <w:lang w:eastAsia="zh-CN"/>
              </w:rPr>
              <w:t>万元。对个人和家庭的补助支出</w:t>
            </w:r>
            <w:r>
              <w:rPr>
                <w:rFonts w:hint="eastAsia" w:ascii="仿宋" w:hAnsi="仿宋" w:eastAsia="仿宋" w:cs="仿宋"/>
                <w:color w:val="auto"/>
                <w:sz w:val="30"/>
                <w:szCs w:val="30"/>
                <w:lang w:val="en-US" w:eastAsia="zh-CN"/>
              </w:rPr>
              <w:t xml:space="preserve">45.29 </w:t>
            </w:r>
            <w:r>
              <w:rPr>
                <w:rFonts w:hint="eastAsia" w:ascii="仿宋" w:hAnsi="仿宋" w:eastAsia="仿宋" w:cs="仿宋"/>
                <w:color w:val="auto"/>
                <w:sz w:val="30"/>
                <w:szCs w:val="30"/>
                <w:lang w:eastAsia="zh-CN"/>
              </w:rPr>
              <w:t>万元。年度“三公”经费支出</w:t>
            </w:r>
            <w:r>
              <w:rPr>
                <w:rFonts w:hint="eastAsia" w:ascii="仿宋" w:hAnsi="仿宋" w:eastAsia="仿宋" w:cs="仿宋"/>
                <w:color w:val="auto"/>
                <w:sz w:val="30"/>
                <w:szCs w:val="30"/>
                <w:lang w:val="en-US" w:eastAsia="zh-CN"/>
              </w:rPr>
              <w:t>11.76</w:t>
            </w:r>
            <w:r>
              <w:rPr>
                <w:rFonts w:hint="eastAsia" w:ascii="仿宋" w:hAnsi="仿宋" w:eastAsia="仿宋" w:cs="仿宋"/>
                <w:color w:val="auto"/>
                <w:sz w:val="30"/>
                <w:szCs w:val="30"/>
                <w:lang w:eastAsia="zh-CN"/>
              </w:rPr>
              <w:t>万元。（其中：公务接待费</w:t>
            </w:r>
            <w:r>
              <w:rPr>
                <w:rFonts w:hint="eastAsia" w:ascii="仿宋" w:hAnsi="仿宋" w:eastAsia="仿宋" w:cs="仿宋"/>
                <w:color w:val="auto"/>
                <w:sz w:val="30"/>
                <w:szCs w:val="30"/>
                <w:lang w:val="en-US" w:eastAsia="zh-CN"/>
              </w:rPr>
              <w:t>9.02</w:t>
            </w:r>
            <w:r>
              <w:rPr>
                <w:rFonts w:hint="eastAsia" w:ascii="仿宋" w:hAnsi="仿宋" w:eastAsia="仿宋" w:cs="仿宋"/>
                <w:color w:val="auto"/>
                <w:sz w:val="30"/>
                <w:szCs w:val="30"/>
                <w:lang w:eastAsia="zh-CN"/>
              </w:rPr>
              <w:t>万元，公务用车运行维护费</w:t>
            </w:r>
            <w:r>
              <w:rPr>
                <w:rFonts w:hint="eastAsia" w:ascii="仿宋" w:hAnsi="仿宋" w:eastAsia="仿宋" w:cs="仿宋"/>
                <w:color w:val="auto"/>
                <w:sz w:val="30"/>
                <w:szCs w:val="30"/>
                <w:lang w:val="en-US" w:eastAsia="zh-CN"/>
              </w:rPr>
              <w:t>2.74</w:t>
            </w:r>
            <w:r>
              <w:rPr>
                <w:rFonts w:hint="eastAsia" w:ascii="仿宋" w:hAnsi="仿宋" w:eastAsia="仿宋" w:cs="仿宋"/>
                <w:color w:val="auto"/>
                <w:sz w:val="30"/>
                <w:szCs w:val="30"/>
                <w:lang w:eastAsia="zh-CN"/>
              </w:rPr>
              <w:t>万元）</w:t>
            </w:r>
            <w:r>
              <w:rPr>
                <w:rFonts w:hint="eastAsia" w:ascii="仿宋" w:hAnsi="仿宋" w:eastAsia="仿宋" w:cs="仿宋"/>
                <w:sz w:val="30"/>
                <w:szCs w:val="30"/>
                <w:lang w:eastAsia="zh-CN"/>
              </w:rPr>
              <w:t>基本支出资金执行率 100%，合理有效地保障人员费用及局机关基本工作运行，我局基本支出严格实行经费支出事项事前审批制度，严格规范事后经费报销程序，严控经费开支标准。对因公出国、公车</w:t>
            </w:r>
            <w:r>
              <w:rPr>
                <w:rFonts w:hint="eastAsia" w:ascii="仿宋" w:hAnsi="仿宋" w:eastAsia="仿宋" w:cs="仿宋"/>
                <w:sz w:val="30"/>
                <w:szCs w:val="30"/>
                <w:lang w:val="en-US" w:eastAsia="zh-CN"/>
              </w:rPr>
              <w:t>购买及</w:t>
            </w:r>
            <w:r>
              <w:rPr>
                <w:rFonts w:hint="eastAsia" w:ascii="仿宋" w:hAnsi="仿宋" w:eastAsia="仿宋" w:cs="仿宋"/>
                <w:sz w:val="30"/>
                <w:szCs w:val="30"/>
                <w:lang w:eastAsia="zh-CN"/>
              </w:rPr>
              <w:t>运行维护、公务接待等“三公”经费支出做出“严格 控制在财政部门批复的预算额度内，不得无预算、超预算列支”等要求，并实行公示制度，“三公”经费及部门预决算等按照市统一要求，由局官方网站对外公开。</w:t>
            </w:r>
          </w:p>
          <w:p>
            <w:pPr>
              <w:spacing w:line="560"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spacing w:line="560" w:lineRule="exact"/>
              <w:ind w:firstLine="560" w:firstLineChars="200"/>
              <w:jc w:val="both"/>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1、专项资金安排落实、总投入等情况分析</w:t>
            </w:r>
          </w:p>
          <w:p>
            <w:pPr>
              <w:pStyle w:val="5"/>
              <w:keepNext w:val="0"/>
              <w:keepLines w:val="0"/>
              <w:widowControl/>
              <w:suppressLineNumbers w:val="0"/>
              <w:spacing w:before="0" w:beforeAutospacing="0" w:after="0" w:afterAutospacing="0" w:line="33" w:lineRule="atLeast"/>
              <w:ind w:right="0" w:firstLine="600" w:firstLineChars="200"/>
              <w:jc w:val="both"/>
              <w:rPr>
                <w:rFonts w:hint="eastAsia"/>
                <w:color w:val="auto"/>
              </w:rPr>
            </w:pPr>
            <w:r>
              <w:rPr>
                <w:rFonts w:hint="eastAsia" w:ascii="仿宋" w:hAnsi="仿宋" w:eastAsia="仿宋" w:cs="仿宋"/>
                <w:color w:val="auto"/>
                <w:kern w:val="2"/>
                <w:sz w:val="30"/>
                <w:szCs w:val="30"/>
                <w:lang w:val="en-US" w:eastAsia="zh-CN" w:bidi="ar-SA"/>
              </w:rPr>
              <w:t>污染防治攻坚治理专项经费250万元；环境监测能力建设217.47万元；环境监察、监测等运行经费129.82万元；办案经费33万元；非同级财政专项5060.44万元。</w:t>
            </w:r>
          </w:p>
          <w:p>
            <w:pPr>
              <w:numPr>
                <w:ilvl w:val="0"/>
                <w:numId w:val="1"/>
              </w:numPr>
              <w:spacing w:line="560" w:lineRule="exact"/>
              <w:ind w:firstLine="560" w:firstLineChars="200"/>
              <w:jc w:val="both"/>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专项资金实际使用情况分析</w:t>
            </w:r>
          </w:p>
          <w:p>
            <w:pPr>
              <w:pStyle w:val="5"/>
              <w:keepNext w:val="0"/>
              <w:keepLines w:val="0"/>
              <w:widowControl/>
              <w:suppressLineNumbers w:val="0"/>
              <w:spacing w:before="0" w:beforeAutospacing="0" w:after="0" w:afterAutospacing="0" w:line="33" w:lineRule="atLeast"/>
              <w:ind w:right="0" w:firstLine="600" w:firstLineChars="200"/>
              <w:jc w:val="both"/>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2020年度以上环保专项资金全部投入各环保专项建设中，为本部门职能职责的实施提供了资金保障。</w:t>
            </w:r>
          </w:p>
          <w:p>
            <w:pPr>
              <w:numPr>
                <w:ilvl w:val="0"/>
                <w:numId w:val="1"/>
              </w:numPr>
              <w:spacing w:line="560" w:lineRule="exact"/>
              <w:ind w:left="0" w:leftChars="0"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专项资金管理情况分析</w:t>
            </w:r>
          </w:p>
          <w:p>
            <w:pPr>
              <w:pStyle w:val="2"/>
              <w:spacing w:before="0" w:beforeAutospacing="0" w:after="0"/>
              <w:ind w:firstLine="600" w:firstLineChars="200"/>
              <w:rPr>
                <w:rFonts w:hint="eastAsia"/>
              </w:rPr>
            </w:pPr>
            <w:r>
              <w:rPr>
                <w:rFonts w:hint="eastAsia" w:ascii="仿宋" w:hAnsi="仿宋" w:eastAsia="仿宋" w:cs="仿宋"/>
                <w:kern w:val="2"/>
                <w:sz w:val="30"/>
                <w:szCs w:val="30"/>
                <w:lang w:val="en-US" w:eastAsia="zh-CN" w:bidi="ar-SA"/>
              </w:rPr>
              <w:t>为加强财务管理水平，规范财务收支行为，提高资金使用效益，保障全局各项工作正常开展，我局修改完善了财务管理相关规定，按照国家现行的财经法律法规的要求，结合我局实际情况，在预算审核、收入支出、资产与负债、以及内部监督等方面制定了更加科学、规范的管理办法， 在各项经费管理方面制定了较为完善的审批流程；同时对报销程序、合同审批，以及差旅费等开支做了较为详细且可操作的具体规定。 中央及省级专项资金按照国家和省现行文件规定严格规范管理，定期调度各相关处室资金使用及项目进展情况， 从上至下严肃上级转移支付资金使用，压实各项目单位、各相关处室的职责。从各级环境保护专项资金项目申报、项目实施管理、绩效评价等方面全方位做好监督管理，确保专项资金安全，并发挥最大效用。</w:t>
            </w:r>
          </w:p>
          <w:p>
            <w:pPr>
              <w:spacing w:line="240" w:lineRule="auto"/>
              <w:ind w:firstLine="560" w:firstLineChars="200"/>
              <w:jc w:val="both"/>
              <w:rPr>
                <w:rFonts w:hint="eastAsia"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560"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（一）专项组织情况分析</w:t>
            </w:r>
          </w:p>
          <w:p>
            <w:pPr>
              <w:pStyle w:val="5"/>
              <w:keepNext w:val="0"/>
              <w:keepLines w:val="0"/>
              <w:widowControl/>
              <w:suppressLineNumbers w:val="0"/>
              <w:spacing w:before="0" w:beforeAutospacing="0" w:after="0" w:afterAutospacing="0" w:line="33" w:lineRule="atLeast"/>
              <w:ind w:right="0" w:firstLine="600" w:firstLineChars="200"/>
              <w:jc w:val="both"/>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2020年，市财政共预算环保专项经费1048.02万元，其中：污染防治攻坚治理专项经费250万元；环境监测能力建设217.47万元；环境监察、监测等运行经费366.5万元；政府年终绩效预留181.05万元；办案经费33万元。</w:t>
            </w:r>
          </w:p>
          <w:p>
            <w:pPr>
              <w:numPr>
                <w:ilvl w:val="0"/>
                <w:numId w:val="0"/>
              </w:numPr>
              <w:spacing w:line="240" w:lineRule="auto"/>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二</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专项管理情况分析</w:t>
            </w:r>
          </w:p>
          <w:p>
            <w:pPr>
              <w:pStyle w:val="5"/>
              <w:keepNext w:val="0"/>
              <w:keepLines w:val="0"/>
              <w:widowControl/>
              <w:suppressLineNumbers w:val="0"/>
              <w:spacing w:before="0" w:beforeAutospacing="0" w:after="0" w:afterAutospacing="0" w:line="33" w:lineRule="atLeast"/>
              <w:ind w:right="0" w:firstLine="600"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遵循“先预算、再审批、后支出”原则，所有资金安排均通过了“资金申报、项目评估、党组审定、财政会审、领导批示、财政下拨”程序，为行政运行畅通和环境质量改善提供了经济基础。</w:t>
            </w:r>
          </w:p>
          <w:p>
            <w:pPr>
              <w:spacing w:line="240" w:lineRule="auto"/>
              <w:ind w:firstLine="560" w:firstLineChars="200"/>
              <w:jc w:val="both"/>
              <w:rPr>
                <w:rFonts w:hint="eastAsia" w:ascii="黑体" w:hAnsi="黑体" w:eastAsia="黑体" w:cs="黑体"/>
                <w:bCs/>
                <w:sz w:val="28"/>
                <w:szCs w:val="28"/>
              </w:rPr>
            </w:pPr>
            <w:r>
              <w:rPr>
                <w:rFonts w:hint="eastAsia" w:ascii="黑体" w:hAnsi="黑体" w:eastAsia="黑体" w:cs="黑体"/>
                <w:bCs/>
                <w:sz w:val="28"/>
                <w:szCs w:val="28"/>
              </w:rPr>
              <w:t>四、部门（单位）整体支出绩效情况</w:t>
            </w:r>
          </w:p>
          <w:p>
            <w:pPr>
              <w:keepNext w:val="0"/>
              <w:keepLines w:val="0"/>
              <w:pageBreakBefore w:val="0"/>
              <w:kinsoku/>
              <w:wordWrap/>
              <w:overflowPunct/>
              <w:topLinePunct w:val="0"/>
              <w:autoSpaceDN/>
              <w:bidi w:val="0"/>
              <w:spacing w:line="620" w:lineRule="exact"/>
              <w:ind w:firstLine="640" w:firstLineChars="200"/>
              <w:jc w:val="both"/>
              <w:textAlignment w:val="auto"/>
              <w:rPr>
                <w:rFonts w:hint="eastAsia" w:ascii="仿宋" w:hAnsi="仿宋" w:eastAsia="仿宋" w:cs="仿宋"/>
                <w:b w:val="0"/>
                <w:bCs w:val="0"/>
                <w:color w:val="auto"/>
                <w:sz w:val="32"/>
                <w:szCs w:val="32"/>
                <w:shd w:val="clear" w:color="auto" w:fill="FFFFFF"/>
                <w:lang w:eastAsia="zh-CN"/>
              </w:rPr>
            </w:pPr>
            <w:r>
              <w:rPr>
                <w:rFonts w:hint="eastAsia" w:hAnsi="仿宋" w:eastAsia="仿宋_GB2312" w:cs="仿宋"/>
                <w:color w:val="auto"/>
                <w:sz w:val="32"/>
                <w:szCs w:val="32"/>
                <w:lang w:val="en-US" w:eastAsia="zh-CN"/>
              </w:rPr>
              <w:t>2020</w:t>
            </w:r>
            <w:r>
              <w:rPr>
                <w:rFonts w:hint="eastAsia" w:hAnsi="仿宋" w:eastAsia="仿宋_GB2312" w:cs="仿宋"/>
                <w:color w:val="auto"/>
                <w:sz w:val="32"/>
                <w:szCs w:val="32"/>
              </w:rPr>
              <w:t>年</w:t>
            </w:r>
            <w:r>
              <w:rPr>
                <w:rFonts w:hint="eastAsia" w:ascii="仿宋" w:hAnsi="仿宋" w:eastAsia="仿宋" w:cs="仿宋"/>
                <w:b w:val="0"/>
                <w:bCs w:val="0"/>
                <w:color w:val="auto"/>
                <w:sz w:val="32"/>
                <w:szCs w:val="32"/>
                <w:lang w:val="en-US" w:eastAsia="zh-CN"/>
              </w:rPr>
              <w:t>农村生活污水处理率目标值是60%，完成率是74%；优良以上空气质量达标率目标值为85%，实际达标率是 95.9%</w:t>
            </w:r>
            <w:r>
              <w:rPr>
                <w:rFonts w:hint="eastAsia" w:hAnsi="仿宋" w:eastAsia="仿宋_GB2312" w:cs="仿宋"/>
                <w:color w:val="auto"/>
                <w:sz w:val="32"/>
                <w:szCs w:val="32"/>
              </w:rPr>
              <w:t>；Ⅲ类或优于Ⅲ类水质达标率目标值</w:t>
            </w:r>
            <w:r>
              <w:rPr>
                <w:rFonts w:hint="eastAsia" w:ascii="仿宋" w:hAnsi="仿宋" w:eastAsia="仿宋" w:cs="仿宋"/>
                <w:b w:val="0"/>
                <w:bCs w:val="0"/>
                <w:color w:val="auto"/>
                <w:sz w:val="32"/>
                <w:szCs w:val="32"/>
                <w:lang w:val="en-US" w:eastAsia="zh-CN"/>
              </w:rPr>
              <w:t>为95%，实际达标率为91%，实现程度为95.8%</w:t>
            </w:r>
            <w:r>
              <w:rPr>
                <w:rFonts w:hint="eastAsia" w:hAnsi="仿宋" w:eastAsia="仿宋_GB2312" w:cs="仿宋"/>
                <w:color w:val="auto"/>
                <w:sz w:val="32"/>
                <w:szCs w:val="32"/>
              </w:rPr>
              <w:t>。</w:t>
            </w:r>
            <w:r>
              <w:rPr>
                <w:rFonts w:hint="eastAsia" w:hAnsi="仿宋" w:eastAsia="仿宋_GB2312" w:cs="仿宋"/>
                <w:color w:val="auto"/>
                <w:sz w:val="32"/>
                <w:szCs w:val="32"/>
                <w:lang w:eastAsia="zh-CN"/>
              </w:rPr>
              <w:t>全县</w:t>
            </w:r>
            <w:r>
              <w:rPr>
                <w:rFonts w:hint="eastAsia" w:ascii="仿宋" w:hAnsi="仿宋" w:eastAsia="仿宋" w:cs="仿宋"/>
                <w:color w:val="auto"/>
                <w:sz w:val="32"/>
                <w:szCs w:val="32"/>
                <w:lang w:val="en-US" w:eastAsia="zh-CN"/>
              </w:rPr>
              <w:t>森林覆盖率达到22.15%，农村卫生厕所普及率达到95%，生活垃圾分类减量覆盖率达到90%，无害化处理率达到100%。</w:t>
            </w:r>
            <w:r>
              <w:rPr>
                <w:rFonts w:hint="eastAsia" w:hAnsi="仿宋" w:eastAsia="仿宋_GB2312"/>
                <w:color w:val="auto"/>
                <w:sz w:val="32"/>
                <w:szCs w:val="32"/>
              </w:rPr>
              <w:t>全县各乡镇和相关部门</w:t>
            </w:r>
            <w:r>
              <w:rPr>
                <w:rFonts w:hint="eastAsia" w:hAnsi="仿宋" w:eastAsia="仿宋_GB2312" w:cs="仿宋"/>
                <w:color w:val="auto"/>
                <w:sz w:val="32"/>
                <w:szCs w:val="32"/>
              </w:rPr>
              <w:t>按照省、市、县的统一部署和要求，对表对标，共同发力，</w:t>
            </w:r>
            <w:r>
              <w:rPr>
                <w:rFonts w:hint="eastAsia" w:hAnsi="仿宋" w:eastAsia="仿宋_GB2312" w:cs="仿宋"/>
                <w:color w:val="auto"/>
                <w:sz w:val="32"/>
                <w:szCs w:val="32"/>
                <w:lang w:eastAsia="zh-CN"/>
              </w:rPr>
              <w:t>保持定力，</w:t>
            </w:r>
            <w:r>
              <w:rPr>
                <w:rFonts w:hint="eastAsia" w:hAnsi="仿宋" w:eastAsia="仿宋_GB2312" w:cs="仿宋"/>
                <w:color w:val="auto"/>
                <w:sz w:val="32"/>
                <w:szCs w:val="32"/>
              </w:rPr>
              <w:t>压茬推进</w:t>
            </w:r>
            <w:r>
              <w:rPr>
                <w:rFonts w:hint="eastAsia" w:ascii="仿宋_GB2312" w:hAnsi="仿宋" w:eastAsia="仿宋_GB2312"/>
                <w:color w:val="auto"/>
                <w:sz w:val="32"/>
                <w:szCs w:val="32"/>
              </w:rPr>
              <w:t>突出环境</w:t>
            </w:r>
            <w:r>
              <w:rPr>
                <w:rFonts w:hint="eastAsia" w:hAnsi="仿宋" w:eastAsia="仿宋_GB2312" w:cs="仿宋"/>
                <w:color w:val="auto"/>
                <w:sz w:val="32"/>
                <w:szCs w:val="32"/>
              </w:rPr>
              <w:t>问题整治</w:t>
            </w:r>
            <w:r>
              <w:rPr>
                <w:rFonts w:hint="eastAsia" w:ascii="仿宋" w:hAnsi="仿宋" w:eastAsia="仿宋" w:cs="仿宋"/>
                <w:color w:val="auto"/>
                <w:sz w:val="32"/>
                <w:szCs w:val="32"/>
                <w:lang w:eastAsia="zh-CN"/>
              </w:rPr>
              <w:t>，</w:t>
            </w:r>
            <w:r>
              <w:rPr>
                <w:rFonts w:hint="eastAsia" w:ascii="仿宋" w:hAnsi="仿宋" w:eastAsia="仿宋" w:cs="仿宋"/>
                <w:b w:val="0"/>
                <w:bCs w:val="0"/>
                <w:color w:val="auto"/>
                <w:sz w:val="32"/>
                <w:szCs w:val="32"/>
                <w:shd w:val="clear" w:color="auto" w:fill="FFFFFF"/>
                <w:lang w:val="en-US" w:eastAsia="zh-CN"/>
              </w:rPr>
              <w:t>73项污染防治攻坚</w:t>
            </w:r>
            <w:r>
              <w:rPr>
                <w:rFonts w:hint="eastAsia" w:ascii="仿宋" w:hAnsi="仿宋" w:eastAsia="仿宋" w:cs="仿宋"/>
                <w:b w:val="0"/>
                <w:bCs w:val="0"/>
                <w:color w:val="auto"/>
                <w:sz w:val="32"/>
                <w:szCs w:val="32"/>
                <w:shd w:val="clear" w:color="auto" w:fill="FFFFFF"/>
              </w:rPr>
              <w:t>“夏季攻势”</w:t>
            </w:r>
            <w:r>
              <w:rPr>
                <w:rFonts w:hint="eastAsia" w:ascii="仿宋" w:hAnsi="仿宋" w:eastAsia="仿宋" w:cs="仿宋"/>
                <w:b w:val="0"/>
                <w:bCs w:val="0"/>
                <w:color w:val="auto"/>
                <w:sz w:val="32"/>
                <w:szCs w:val="32"/>
                <w:shd w:val="clear" w:color="auto" w:fill="FFFFFF"/>
                <w:lang w:eastAsia="zh-CN"/>
              </w:rPr>
              <w:t>问题全部完成了销号，</w:t>
            </w:r>
            <w:r>
              <w:rPr>
                <w:rFonts w:hint="eastAsia" w:ascii="仿宋" w:hAnsi="仿宋" w:eastAsia="仿宋" w:cs="仿宋"/>
                <w:b w:val="0"/>
                <w:bCs w:val="0"/>
                <w:color w:val="auto"/>
                <w:sz w:val="32"/>
                <w:szCs w:val="32"/>
                <w:shd w:val="clear" w:color="auto" w:fill="FFFFFF"/>
                <w:lang w:val="en-US" w:eastAsia="zh-CN"/>
              </w:rPr>
              <w:t>47个</w:t>
            </w:r>
            <w:r>
              <w:rPr>
                <w:rFonts w:hint="eastAsia" w:ascii="仿宋" w:hAnsi="仿宋" w:eastAsia="仿宋" w:cs="仿宋"/>
                <w:b w:val="0"/>
                <w:bCs w:val="0"/>
                <w:color w:val="auto"/>
                <w:sz w:val="32"/>
                <w:szCs w:val="32"/>
                <w:shd w:val="clear" w:color="auto" w:fill="FFFFFF"/>
              </w:rPr>
              <w:t>“洞庭清波”</w:t>
            </w:r>
            <w:r>
              <w:rPr>
                <w:rFonts w:hint="eastAsia" w:ascii="仿宋" w:hAnsi="仿宋" w:eastAsia="仿宋" w:cs="仿宋"/>
                <w:b w:val="0"/>
                <w:bCs w:val="0"/>
                <w:color w:val="auto"/>
                <w:sz w:val="32"/>
                <w:szCs w:val="32"/>
                <w:shd w:val="clear" w:color="auto" w:fill="FFFFFF"/>
                <w:lang w:eastAsia="zh-CN"/>
              </w:rPr>
              <w:t>问题整治基本完成。</w:t>
            </w:r>
          </w:p>
          <w:p>
            <w:pPr>
              <w:keepNext w:val="0"/>
              <w:keepLines w:val="0"/>
              <w:pageBreakBefore w:val="0"/>
              <w:kinsoku/>
              <w:wordWrap/>
              <w:overflowPunct/>
              <w:topLinePunct w:val="0"/>
              <w:autoSpaceDN/>
              <w:bidi w:val="0"/>
              <w:spacing w:line="620" w:lineRule="exact"/>
              <w:ind w:firstLine="640" w:firstLineChars="200"/>
              <w:jc w:val="both"/>
              <w:textAlignment w:val="auto"/>
              <w:rPr>
                <w:rFonts w:hint="eastAsia" w:ascii="仿宋" w:hAnsi="仿宋" w:eastAsia="仿宋" w:cs="仿宋"/>
                <w:b w:val="0"/>
                <w:bCs w:val="0"/>
                <w:color w:val="auto"/>
                <w:sz w:val="32"/>
                <w:szCs w:val="32"/>
                <w:shd w:val="clear" w:color="auto" w:fill="FFFFFF"/>
                <w:lang w:eastAsia="zh-CN"/>
              </w:rPr>
            </w:pPr>
            <w:r>
              <w:rPr>
                <w:rFonts w:hint="eastAsia" w:ascii="仿宋" w:hAnsi="仿宋" w:eastAsia="仿宋" w:cs="仿宋"/>
                <w:b w:val="0"/>
                <w:bCs w:val="0"/>
                <w:color w:val="auto"/>
                <w:sz w:val="32"/>
                <w:szCs w:val="32"/>
                <w:shd w:val="clear" w:color="auto" w:fill="FFFFFF"/>
                <w:lang w:eastAsia="zh-CN"/>
              </w:rPr>
              <w:t>1、推进长江排渍口整治。</w:t>
            </w:r>
          </w:p>
          <w:p>
            <w:pPr>
              <w:keepNext w:val="0"/>
              <w:keepLines w:val="0"/>
              <w:pageBreakBefore w:val="0"/>
              <w:kinsoku/>
              <w:wordWrap/>
              <w:overflowPunct/>
              <w:topLinePunct w:val="0"/>
              <w:autoSpaceDN/>
              <w:bidi w:val="0"/>
              <w:spacing w:line="620" w:lineRule="exact"/>
              <w:ind w:firstLine="640" w:firstLineChars="200"/>
              <w:jc w:val="both"/>
              <w:textAlignment w:val="auto"/>
              <w:rPr>
                <w:rFonts w:hint="eastAsia" w:ascii="仿宋" w:hAnsi="仿宋" w:eastAsia="仿宋" w:cs="仿宋"/>
                <w:b w:val="0"/>
                <w:bCs w:val="0"/>
                <w:color w:val="auto"/>
                <w:sz w:val="32"/>
                <w:szCs w:val="32"/>
                <w:shd w:val="clear" w:color="auto" w:fill="FFFFFF"/>
                <w:lang w:eastAsia="zh-CN"/>
              </w:rPr>
            </w:pPr>
            <w:r>
              <w:rPr>
                <w:rFonts w:hint="eastAsia" w:ascii="仿宋" w:hAnsi="仿宋" w:eastAsia="仿宋" w:cs="仿宋"/>
                <w:b w:val="0"/>
                <w:bCs w:val="0"/>
                <w:color w:val="auto"/>
                <w:sz w:val="32"/>
                <w:szCs w:val="32"/>
                <w:shd w:val="clear" w:color="auto" w:fill="FFFFFF"/>
                <w:lang w:eastAsia="zh-CN"/>
              </w:rPr>
              <w:t>2、推进华容河的整治。</w:t>
            </w:r>
          </w:p>
          <w:p>
            <w:pPr>
              <w:keepNext w:val="0"/>
              <w:keepLines w:val="0"/>
              <w:pageBreakBefore w:val="0"/>
              <w:kinsoku/>
              <w:wordWrap/>
              <w:overflowPunct/>
              <w:topLinePunct w:val="0"/>
              <w:autoSpaceDN/>
              <w:bidi w:val="0"/>
              <w:spacing w:line="620" w:lineRule="exact"/>
              <w:ind w:firstLine="640" w:firstLineChars="200"/>
              <w:jc w:val="both"/>
              <w:textAlignment w:val="auto"/>
              <w:rPr>
                <w:rFonts w:hint="eastAsia" w:ascii="仿宋" w:hAnsi="仿宋" w:eastAsia="仿宋" w:cs="仿宋"/>
                <w:b w:val="0"/>
                <w:bCs w:val="0"/>
                <w:color w:val="auto"/>
                <w:sz w:val="32"/>
                <w:szCs w:val="32"/>
                <w:shd w:val="clear" w:color="auto" w:fill="FFFFFF"/>
                <w:lang w:eastAsia="zh-CN"/>
              </w:rPr>
            </w:pPr>
            <w:r>
              <w:rPr>
                <w:rFonts w:hint="eastAsia" w:ascii="仿宋" w:hAnsi="仿宋" w:eastAsia="仿宋" w:cs="仿宋"/>
                <w:b w:val="0"/>
                <w:bCs w:val="0"/>
                <w:color w:val="auto"/>
                <w:sz w:val="32"/>
                <w:szCs w:val="32"/>
                <w:shd w:val="clear" w:color="auto" w:fill="FFFFFF"/>
                <w:lang w:eastAsia="zh-CN"/>
              </w:rPr>
              <w:t>3、推进东湖整治。。</w:t>
            </w:r>
          </w:p>
          <w:p>
            <w:pPr>
              <w:keepNext w:val="0"/>
              <w:keepLines w:val="0"/>
              <w:pageBreakBefore w:val="0"/>
              <w:kinsoku/>
              <w:wordWrap/>
              <w:overflowPunct/>
              <w:topLinePunct w:val="0"/>
              <w:autoSpaceDN/>
              <w:bidi w:val="0"/>
              <w:spacing w:line="620" w:lineRule="exact"/>
              <w:ind w:firstLine="640" w:firstLineChars="200"/>
              <w:jc w:val="both"/>
              <w:textAlignment w:val="auto"/>
              <w:rPr>
                <w:rFonts w:hint="eastAsia" w:ascii="仿宋" w:hAnsi="仿宋" w:eastAsia="仿宋" w:cs="仿宋"/>
                <w:b w:val="0"/>
                <w:bCs w:val="0"/>
                <w:color w:val="auto"/>
                <w:sz w:val="32"/>
                <w:szCs w:val="32"/>
                <w:shd w:val="clear" w:color="auto" w:fill="FFFFFF"/>
                <w:lang w:eastAsia="zh-CN"/>
              </w:rPr>
            </w:pPr>
            <w:r>
              <w:rPr>
                <w:rFonts w:hint="eastAsia" w:ascii="仿宋" w:hAnsi="仿宋" w:eastAsia="仿宋" w:cs="仿宋"/>
                <w:b w:val="0"/>
                <w:bCs w:val="0"/>
                <w:color w:val="auto"/>
                <w:sz w:val="32"/>
                <w:szCs w:val="32"/>
                <w:shd w:val="clear" w:color="auto" w:fill="FFFFFF"/>
                <w:lang w:val="en-US" w:eastAsia="zh-CN"/>
              </w:rPr>
              <w:t>4、推进其他重点问题整治。</w:t>
            </w:r>
          </w:p>
          <w:p>
            <w:pPr>
              <w:keepNext w:val="0"/>
              <w:keepLines w:val="0"/>
              <w:pageBreakBefore w:val="0"/>
              <w:kinsoku/>
              <w:wordWrap/>
              <w:overflowPunct/>
              <w:topLinePunct w:val="0"/>
              <w:autoSpaceDN/>
              <w:bidi w:val="0"/>
              <w:spacing w:line="620" w:lineRule="exact"/>
              <w:ind w:firstLine="640" w:firstLineChars="200"/>
              <w:jc w:val="both"/>
              <w:textAlignment w:val="auto"/>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5、</w:t>
            </w:r>
            <w:r>
              <w:rPr>
                <w:rFonts w:hint="eastAsia" w:ascii="仿宋" w:hAnsi="仿宋" w:eastAsia="仿宋" w:cs="仿宋"/>
                <w:b w:val="0"/>
                <w:bCs w:val="0"/>
                <w:color w:val="auto"/>
                <w:sz w:val="32"/>
                <w:szCs w:val="32"/>
                <w:shd w:val="clear" w:color="auto" w:fill="FFFFFF"/>
                <w:lang w:eastAsia="zh-CN"/>
              </w:rPr>
              <w:t>“双随机”（检查人员随机、检查对象随机）检查企业14</w:t>
            </w:r>
            <w:r>
              <w:rPr>
                <w:rFonts w:hint="eastAsia" w:ascii="仿宋" w:hAnsi="仿宋" w:eastAsia="仿宋" w:cs="仿宋"/>
                <w:b w:val="0"/>
                <w:bCs w:val="0"/>
                <w:color w:val="auto"/>
                <w:sz w:val="32"/>
                <w:szCs w:val="32"/>
                <w:shd w:val="clear" w:color="auto" w:fill="FFFFFF"/>
                <w:lang w:val="en-US" w:eastAsia="zh-CN"/>
              </w:rPr>
              <w:t>8家</w:t>
            </w:r>
            <w:r>
              <w:rPr>
                <w:rFonts w:hint="eastAsia" w:ascii="仿宋" w:hAnsi="仿宋" w:eastAsia="仿宋" w:cs="仿宋"/>
                <w:b w:val="0"/>
                <w:bCs w:val="0"/>
                <w:color w:val="auto"/>
                <w:sz w:val="32"/>
                <w:szCs w:val="32"/>
                <w:shd w:val="clear" w:color="auto" w:fill="FFFFFF"/>
                <w:lang w:eastAsia="zh-CN"/>
              </w:rPr>
              <w:t>次，立案</w:t>
            </w:r>
            <w:r>
              <w:rPr>
                <w:rFonts w:hint="eastAsia" w:ascii="仿宋" w:hAnsi="仿宋" w:eastAsia="仿宋" w:cs="仿宋"/>
                <w:b w:val="0"/>
                <w:bCs w:val="0"/>
                <w:color w:val="auto"/>
                <w:sz w:val="32"/>
                <w:szCs w:val="32"/>
                <w:shd w:val="clear" w:color="auto" w:fill="FFFFFF"/>
                <w:lang w:val="en-US" w:eastAsia="zh-CN"/>
              </w:rPr>
              <w:t>5起。</w:t>
            </w:r>
          </w:p>
          <w:p>
            <w:pPr>
              <w:keepNext w:val="0"/>
              <w:keepLines w:val="0"/>
              <w:pageBreakBefore w:val="0"/>
              <w:kinsoku/>
              <w:wordWrap/>
              <w:overflowPunct/>
              <w:topLinePunct w:val="0"/>
              <w:autoSpaceDN/>
              <w:bidi w:val="0"/>
              <w:spacing w:line="620" w:lineRule="exact"/>
              <w:ind w:firstLine="640" w:firstLineChars="200"/>
              <w:jc w:val="both"/>
              <w:textAlignment w:val="auto"/>
              <w:rPr>
                <w:rFonts w:hint="eastAsia"/>
              </w:rPr>
            </w:pPr>
            <w:r>
              <w:rPr>
                <w:rFonts w:hint="eastAsia" w:ascii="仿宋" w:hAnsi="仿宋" w:eastAsia="仿宋" w:cs="仿宋"/>
                <w:b w:val="0"/>
                <w:bCs w:val="0"/>
                <w:color w:val="auto"/>
                <w:sz w:val="32"/>
                <w:szCs w:val="32"/>
                <w:shd w:val="clear" w:color="auto" w:fill="FFFFFF"/>
                <w:lang w:val="en-US" w:eastAsia="zh-CN"/>
              </w:rPr>
              <w:t>6、</w:t>
            </w:r>
            <w:r>
              <w:rPr>
                <w:rFonts w:hint="eastAsia" w:ascii="仿宋" w:hAnsi="仿宋" w:eastAsia="仿宋" w:cs="仿宋"/>
                <w:b w:val="0"/>
                <w:bCs w:val="0"/>
                <w:color w:val="auto"/>
                <w:sz w:val="32"/>
                <w:szCs w:val="32"/>
                <w:shd w:val="clear" w:color="auto" w:fill="FFFFFF"/>
                <w:lang w:eastAsia="zh-CN"/>
              </w:rPr>
              <w:t>稳固效果，不遗余力推进“洞庭清波”整治。重点抓好省纪委挂牌督办问题整治，确保水质“稳定向好”。突出抓好省纪委下发清单问题整治，确保所有问题</w:t>
            </w:r>
            <w:r>
              <w:rPr>
                <w:rFonts w:hint="eastAsia" w:ascii="仿宋" w:hAnsi="仿宋" w:eastAsia="仿宋" w:cs="仿宋"/>
                <w:b w:val="0"/>
                <w:bCs w:val="0"/>
                <w:color w:val="auto"/>
                <w:sz w:val="32"/>
                <w:szCs w:val="32"/>
                <w:shd w:val="clear" w:color="auto" w:fill="FFFFFF"/>
                <w:lang w:val="en-US" w:eastAsia="zh-CN"/>
              </w:rPr>
              <w:t>“逐一</w:t>
            </w:r>
            <w:r>
              <w:rPr>
                <w:rFonts w:hint="eastAsia" w:ascii="仿宋" w:hAnsi="仿宋" w:eastAsia="仿宋" w:cs="仿宋"/>
                <w:b w:val="0"/>
                <w:bCs w:val="0"/>
                <w:color w:val="auto"/>
                <w:sz w:val="32"/>
                <w:szCs w:val="32"/>
                <w:shd w:val="clear" w:color="auto" w:fill="FFFFFF"/>
                <w:lang w:eastAsia="zh-CN"/>
              </w:rPr>
              <w:t>歼灭”。全面抓好市纪委“洞庭清波”专项整治，确保</w:t>
            </w:r>
            <w:r>
              <w:rPr>
                <w:rFonts w:hint="eastAsia" w:ascii="仿宋" w:hAnsi="仿宋" w:eastAsia="仿宋" w:cs="仿宋"/>
                <w:b w:val="0"/>
                <w:bCs w:val="0"/>
                <w:color w:val="auto"/>
                <w:sz w:val="32"/>
                <w:szCs w:val="32"/>
                <w:shd w:val="clear" w:color="auto" w:fill="FFFFFF"/>
                <w:lang w:val="en-US" w:eastAsia="zh-CN"/>
              </w:rPr>
              <w:t>47个问题“决胜清零”。</w:t>
            </w:r>
          </w:p>
          <w:p>
            <w:pPr>
              <w:numPr>
                <w:ilvl w:val="0"/>
                <w:numId w:val="0"/>
              </w:numPr>
              <w:spacing w:line="560" w:lineRule="exact"/>
              <w:ind w:firstLine="560" w:firstLineChars="200"/>
              <w:jc w:val="both"/>
              <w:rPr>
                <w:rFonts w:hint="eastAsia"/>
              </w:rPr>
            </w:pPr>
            <w:r>
              <w:rPr>
                <w:rFonts w:hint="eastAsia" w:ascii="黑体" w:hAnsi="黑体" w:eastAsia="黑体" w:cs="黑体"/>
                <w:bCs/>
                <w:sz w:val="28"/>
                <w:szCs w:val="28"/>
                <w:lang w:val="en-US" w:eastAsia="zh-CN"/>
              </w:rPr>
              <w:t>五、</w:t>
            </w:r>
            <w:r>
              <w:rPr>
                <w:rFonts w:hint="eastAsia" w:ascii="黑体" w:hAnsi="黑体" w:eastAsia="黑体" w:cs="黑体"/>
                <w:bCs/>
                <w:sz w:val="28"/>
                <w:szCs w:val="28"/>
              </w:rPr>
              <w:t>存在的主要问题</w:t>
            </w:r>
          </w:p>
          <w:p>
            <w:pPr>
              <w:pStyle w:val="5"/>
              <w:keepNext w:val="0"/>
              <w:keepLines w:val="0"/>
              <w:widowControl/>
              <w:numPr>
                <w:numId w:val="0"/>
              </w:numPr>
              <w:suppressLineNumbers w:val="0"/>
              <w:spacing w:before="0" w:beforeAutospacing="0" w:after="0" w:afterAutospacing="0"/>
              <w:ind w:leftChars="0" w:right="0" w:rightChars="0" w:firstLine="640" w:firstLineChars="200"/>
              <w:jc w:val="both"/>
              <w:rPr>
                <w:rFonts w:hint="eastAsia" w:ascii="仿宋" w:hAnsi="仿宋" w:eastAsia="仿宋" w:cs="仿宋"/>
                <w:b w:val="0"/>
                <w:bCs w:val="0"/>
                <w:color w:val="auto"/>
                <w:kern w:val="2"/>
                <w:sz w:val="32"/>
                <w:szCs w:val="32"/>
                <w:shd w:val="clear" w:color="auto" w:fill="FFFFFF"/>
                <w:lang w:val="en-US" w:eastAsia="zh-CN" w:bidi="ar-SA"/>
              </w:rPr>
            </w:pPr>
            <w:r>
              <w:rPr>
                <w:rFonts w:hint="eastAsia" w:ascii="仿宋" w:hAnsi="仿宋" w:eastAsia="仿宋" w:cs="仿宋"/>
                <w:b w:val="0"/>
                <w:bCs w:val="0"/>
                <w:color w:val="auto"/>
                <w:kern w:val="2"/>
                <w:sz w:val="32"/>
                <w:szCs w:val="32"/>
                <w:shd w:val="clear" w:color="auto" w:fill="FFFFFF"/>
                <w:lang w:val="en-US" w:eastAsia="zh-CN" w:bidi="ar-SA"/>
              </w:rPr>
              <w:t>1、由于人员配置不足，绩效评价未能完全涵盖我单位工作的各个方面，未能设置个性化量化考核指标，对各项资金使用的规范性和使用结果的有效性分析并不透彻。下一阶段，我单位将进一步推进绩效管理，做到对各项支出的效果进行跟踪问效，将绩效管理融入单位的日常管理中。</w:t>
            </w:r>
          </w:p>
          <w:p>
            <w:pPr>
              <w:pStyle w:val="5"/>
              <w:keepNext w:val="0"/>
              <w:keepLines w:val="0"/>
              <w:widowControl/>
              <w:numPr>
                <w:numId w:val="0"/>
              </w:numPr>
              <w:suppressLineNumbers w:val="0"/>
              <w:spacing w:before="0" w:beforeAutospacing="0" w:after="0" w:afterAutospacing="0"/>
              <w:ind w:left="0" w:leftChars="0" w:right="0" w:rightChars="0" w:firstLine="640" w:firstLineChars="200"/>
              <w:jc w:val="both"/>
              <w:rPr>
                <w:rFonts w:hint="eastAsia"/>
              </w:rPr>
            </w:pPr>
            <w:r>
              <w:rPr>
                <w:rFonts w:hint="eastAsia" w:ascii="仿宋" w:hAnsi="仿宋" w:eastAsia="仿宋" w:cs="仿宋"/>
                <w:b w:val="0"/>
                <w:bCs w:val="0"/>
                <w:color w:val="auto"/>
                <w:kern w:val="2"/>
                <w:sz w:val="32"/>
                <w:szCs w:val="32"/>
                <w:shd w:val="clear" w:color="auto" w:fill="FFFFFF"/>
                <w:lang w:val="en-US" w:eastAsia="zh-CN" w:bidi="ar-SA"/>
              </w:rPr>
              <w:t>2、人员素质有待进一步提高，由于绩效管理工作开展时间短，涉及面广，专业性强，加上缺乏系统的培训，单位对绩效管理理解不充分，对绩效管理业务不精通，在一定程度上影响了绩效评价工作质量。</w:t>
            </w:r>
          </w:p>
          <w:p>
            <w:pPr>
              <w:pStyle w:val="5"/>
              <w:keepNext w:val="0"/>
              <w:keepLines w:val="0"/>
              <w:widowControl/>
              <w:numPr>
                <w:ilvl w:val="0"/>
                <w:numId w:val="0"/>
              </w:numPr>
              <w:suppressLineNumbers w:val="0"/>
              <w:spacing w:beforeAutospacing="0" w:afterAutospacing="0"/>
              <w:ind w:left="0" w:leftChars="0" w:right="0" w:rightChars="0" w:firstLine="640" w:firstLineChars="200"/>
              <w:jc w:val="both"/>
              <w:rPr>
                <w:rFonts w:hint="eastAsia"/>
              </w:rPr>
            </w:pPr>
            <w:r>
              <w:rPr>
                <w:rFonts w:hint="eastAsia" w:ascii="仿宋" w:hAnsi="仿宋" w:eastAsia="仿宋" w:cs="仿宋"/>
                <w:b w:val="0"/>
                <w:bCs w:val="0"/>
                <w:color w:val="auto"/>
                <w:kern w:val="2"/>
                <w:sz w:val="32"/>
                <w:szCs w:val="32"/>
                <w:shd w:val="clear" w:color="auto" w:fill="FFFFFF"/>
                <w:lang w:val="en-US" w:eastAsia="zh-CN" w:bidi="ar-SA"/>
              </w:rPr>
              <w:t>3、根据我单位工作职能的履行情况，污染攻坚防治、环境保护监控、监测和监察能力建设等专项资金的使用与我单位财政拨入行政运行经费等资金集合使用，未严格区分资金使用范围。</w:t>
            </w:r>
          </w:p>
          <w:p>
            <w:pPr>
              <w:numPr>
                <w:ilvl w:val="0"/>
                <w:numId w:val="2"/>
              </w:numPr>
              <w:spacing w:line="560" w:lineRule="exact"/>
              <w:ind w:left="0" w:leftChars="0" w:firstLine="560" w:firstLineChars="200"/>
              <w:jc w:val="both"/>
              <w:rPr>
                <w:rFonts w:hint="eastAsia" w:ascii="黑体" w:hAnsi="黑体" w:eastAsia="黑体" w:cs="黑体"/>
                <w:bCs/>
                <w:sz w:val="28"/>
                <w:szCs w:val="28"/>
              </w:rPr>
            </w:pPr>
            <w:r>
              <w:rPr>
                <w:rFonts w:hint="eastAsia" w:ascii="黑体" w:hAnsi="黑体" w:eastAsia="黑体" w:cs="黑体"/>
                <w:bCs/>
                <w:sz w:val="28"/>
                <w:szCs w:val="28"/>
              </w:rPr>
              <w:t>改进措施和有关建议</w:t>
            </w:r>
          </w:p>
          <w:p>
            <w:pPr>
              <w:pStyle w:val="5"/>
              <w:keepNext w:val="0"/>
              <w:keepLines w:val="0"/>
              <w:widowControl/>
              <w:numPr>
                <w:ilvl w:val="0"/>
                <w:numId w:val="0"/>
              </w:numPr>
              <w:suppressLineNumbers w:val="0"/>
              <w:spacing w:beforeAutospacing="0" w:afterAutospacing="0"/>
              <w:ind w:leftChars="0" w:right="0" w:rightChars="0" w:firstLine="640" w:firstLineChars="200"/>
              <w:jc w:val="both"/>
              <w:rPr>
                <w:rFonts w:hint="eastAsia" w:ascii="仿宋" w:hAnsi="仿宋" w:eastAsia="仿宋" w:cs="仿宋"/>
                <w:b w:val="0"/>
                <w:bCs w:val="0"/>
                <w:color w:val="auto"/>
                <w:kern w:val="2"/>
                <w:sz w:val="32"/>
                <w:szCs w:val="32"/>
                <w:shd w:val="clear" w:color="auto" w:fill="FFFFFF"/>
                <w:lang w:val="en-US" w:eastAsia="zh-CN" w:bidi="ar-SA"/>
              </w:rPr>
            </w:pPr>
            <w:r>
              <w:rPr>
                <w:rFonts w:hint="eastAsia" w:ascii="仿宋" w:hAnsi="仿宋" w:eastAsia="仿宋" w:cs="仿宋"/>
                <w:b w:val="0"/>
                <w:bCs w:val="0"/>
                <w:color w:val="auto"/>
                <w:kern w:val="2"/>
                <w:sz w:val="32"/>
                <w:szCs w:val="32"/>
                <w:shd w:val="clear" w:color="auto" w:fill="FFFFFF"/>
                <w:lang w:val="en-US" w:eastAsia="zh-CN" w:bidi="ar-SA"/>
              </w:rPr>
              <w:t>1、科学制定绩效考核标准。各行业都存在一定的特殊性，对各行业采取针对行业工作特点的个性化考核有利更加客观、准确地反映绩效情况。例如生态环境保护项目，因生态环境的治理和修复需要一定的周期，项目实施一年或不足一年就进行绩效考核，难以真实、准确地反映出项目绩效情况。　</w:t>
            </w:r>
          </w:p>
          <w:p>
            <w:pPr>
              <w:pStyle w:val="5"/>
              <w:keepNext w:val="0"/>
              <w:keepLines w:val="0"/>
              <w:widowControl/>
              <w:numPr>
                <w:ilvl w:val="0"/>
                <w:numId w:val="0"/>
              </w:numPr>
              <w:suppressLineNumbers w:val="0"/>
              <w:spacing w:before="0" w:beforeAutospacing="0" w:after="0" w:afterAutospacing="0"/>
              <w:ind w:leftChars="0" w:right="0" w:rightChars="0" w:firstLine="640" w:firstLineChars="200"/>
              <w:jc w:val="both"/>
              <w:rPr>
                <w:rFonts w:hint="eastAsia" w:ascii="仿宋" w:hAnsi="仿宋" w:eastAsia="仿宋" w:cs="仿宋"/>
                <w:b w:val="0"/>
                <w:bCs w:val="0"/>
                <w:color w:val="auto"/>
                <w:kern w:val="2"/>
                <w:sz w:val="32"/>
                <w:szCs w:val="32"/>
                <w:shd w:val="clear" w:color="auto" w:fill="FFFFFF"/>
                <w:lang w:val="en-US" w:eastAsia="zh-CN" w:bidi="ar-SA"/>
              </w:rPr>
            </w:pPr>
            <w:r>
              <w:rPr>
                <w:rFonts w:hint="eastAsia" w:ascii="仿宋" w:hAnsi="仿宋" w:eastAsia="仿宋" w:cs="仿宋"/>
                <w:b w:val="0"/>
                <w:bCs w:val="0"/>
                <w:color w:val="auto"/>
                <w:kern w:val="2"/>
                <w:sz w:val="32"/>
                <w:szCs w:val="32"/>
                <w:shd w:val="clear" w:color="auto" w:fill="FFFFFF"/>
                <w:lang w:val="en-US" w:eastAsia="zh-CN" w:bidi="ar-SA"/>
              </w:rPr>
              <w:t>2、加强人员培训管理，严格财务审批。在费用报账支付时，按照预算规定的费用项目和用途进行资金使用、审核，列报支付，财务核算杜绝超支现象的发生。</w:t>
            </w:r>
          </w:p>
          <w:p>
            <w:pPr>
              <w:pStyle w:val="5"/>
              <w:keepNext w:val="0"/>
              <w:keepLines w:val="0"/>
              <w:widowControl/>
              <w:numPr>
                <w:ilvl w:val="0"/>
                <w:numId w:val="0"/>
              </w:numPr>
              <w:suppressLineNumbers w:val="0"/>
              <w:spacing w:beforeAutospacing="0" w:afterAutospacing="0"/>
              <w:ind w:leftChars="0" w:right="0" w:rightChars="0" w:firstLine="640" w:firstLineChars="200"/>
              <w:jc w:val="both"/>
              <w:rPr>
                <w:rFonts w:hint="eastAsia" w:ascii="仿宋" w:hAnsi="仿宋" w:eastAsia="仿宋" w:cs="仿宋"/>
                <w:b w:val="0"/>
                <w:bCs w:val="0"/>
                <w:color w:val="auto"/>
                <w:kern w:val="2"/>
                <w:sz w:val="32"/>
                <w:szCs w:val="32"/>
                <w:shd w:val="clear" w:color="auto" w:fill="FFFFFF"/>
                <w:lang w:val="en-US" w:eastAsia="zh-CN" w:bidi="ar-SA"/>
              </w:rPr>
            </w:pPr>
            <w:r>
              <w:rPr>
                <w:rFonts w:hint="eastAsia" w:ascii="仿宋" w:hAnsi="仿宋" w:eastAsia="仿宋" w:cs="仿宋"/>
                <w:b w:val="0"/>
                <w:bCs w:val="0"/>
                <w:color w:val="auto"/>
                <w:kern w:val="2"/>
                <w:sz w:val="32"/>
                <w:szCs w:val="32"/>
                <w:shd w:val="clear" w:color="auto" w:fill="FFFFFF"/>
                <w:lang w:val="en-US" w:eastAsia="zh-CN" w:bidi="ar-SA"/>
              </w:rPr>
              <w:t>3、进一步加大环境保护资金投入。保障水、气、土攻坚“三大战役”持续推进，促进全县环境总体质量稳步提升。</w:t>
            </w:r>
          </w:p>
          <w:p>
            <w:pPr>
              <w:pStyle w:val="5"/>
              <w:keepNext w:val="0"/>
              <w:keepLines w:val="0"/>
              <w:widowControl/>
              <w:numPr>
                <w:ilvl w:val="0"/>
                <w:numId w:val="0"/>
              </w:numPr>
              <w:suppressLineNumbers w:val="0"/>
              <w:snapToGrid/>
              <w:spacing w:beforeAutospacing="0" w:afterAutospacing="0"/>
              <w:ind w:leftChars="0" w:right="0" w:rightChars="0" w:firstLine="640" w:firstLineChars="200"/>
              <w:jc w:val="both"/>
              <w:rPr>
                <w:rFonts w:eastAsia="楷体_GB2312"/>
                <w:bCs/>
                <w:sz w:val="28"/>
                <w:szCs w:val="28"/>
              </w:rPr>
            </w:pPr>
            <w:r>
              <w:rPr>
                <w:rFonts w:hint="eastAsia" w:ascii="仿宋" w:hAnsi="仿宋" w:eastAsia="仿宋" w:cs="仿宋"/>
                <w:b w:val="0"/>
                <w:bCs w:val="0"/>
                <w:color w:val="auto"/>
                <w:kern w:val="2"/>
                <w:sz w:val="32"/>
                <w:szCs w:val="32"/>
                <w:shd w:val="clear" w:color="auto" w:fill="FFFFFF"/>
                <w:lang w:val="en-US" w:eastAsia="zh-CN" w:bidi="ar-SA"/>
              </w:rPr>
              <w:t>4、进一步完善资金使用监管机制，动态跟踪资金使用情况，切实加快预算执行，将资金管理与业务活动紧密贴合，对业务类项目进行归并、调整和优化，以项目整合提高统筹效益。保障用对资金，用好资金，将资金用于刀刃上，灵活高效地服务于本部门职能及重点工作任务。同时加强预算资金绩效管理水平，资金申报与绩效目标申报同步，切实做好“花钱必有效，无效必问责”。</w:t>
            </w:r>
          </w:p>
        </w:tc>
      </w:tr>
    </w:tbl>
    <w:p>
      <w:pPr>
        <w:rPr>
          <w:rFonts w:hint="eastAsia" w:ascii="黑体" w:hAnsi="黑体" w:eastAsia="黑体"/>
          <w:sz w:val="32"/>
          <w:szCs w:val="32"/>
        </w:rPr>
      </w:pPr>
    </w:p>
    <w:p>
      <w:pPr>
        <w:rPr>
          <w:rFonts w:hint="eastAsia" w:ascii="黑体" w:hAnsi="黑体" w:eastAsia="黑体"/>
          <w:sz w:val="32"/>
          <w:szCs w:val="32"/>
        </w:rPr>
      </w:pPr>
      <w:bookmarkStart w:id="0" w:name="_GoBack"/>
      <w:bookmarkEnd w:id="0"/>
      <w:r>
        <w:rPr>
          <w:rFonts w:hint="eastAsia" w:ascii="黑体" w:hAnsi="黑体" w:eastAsia="黑体"/>
          <w:sz w:val="32"/>
          <w:szCs w:val="32"/>
        </w:rPr>
        <w:t>附件3-1</w:t>
      </w:r>
    </w:p>
    <w:p>
      <w:pPr>
        <w:spacing w:before="312" w:beforeLines="100" w:after="312" w:afterLines="100"/>
        <w:jc w:val="center"/>
        <w:rPr>
          <w:rFonts w:hint="eastAsia"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6"/>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4</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4</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bl>
    <w:p/>
    <w:tbl>
      <w:tblPr>
        <w:tblStyle w:val="6"/>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r>
    </w:tbl>
    <w:p>
      <w:pPr>
        <w:spacing w:before="156" w:beforeLines="50"/>
        <w:rPr>
          <w:rFonts w:hint="eastAsia"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4"/>
        <w:szCs w:val="24"/>
      </w:rPr>
    </w:pPr>
    <w:r>
      <w:rPr>
        <w:rStyle w:val="8"/>
        <w:rFonts w:hint="eastAsia"/>
        <w:sz w:val="24"/>
        <w:szCs w:val="24"/>
      </w:rPr>
      <w:t xml:space="preserve">— </w:t>
    </w:r>
    <w:r>
      <w:rPr>
        <w:sz w:val="24"/>
        <w:szCs w:val="24"/>
      </w:rPr>
      <w:fldChar w:fldCharType="begin"/>
    </w:r>
    <w:r>
      <w:rPr>
        <w:rStyle w:val="8"/>
        <w:sz w:val="24"/>
        <w:szCs w:val="24"/>
      </w:rPr>
      <w:instrText xml:space="preserve">PAGE  </w:instrText>
    </w:r>
    <w:r>
      <w:rPr>
        <w:sz w:val="24"/>
        <w:szCs w:val="24"/>
      </w:rPr>
      <w:fldChar w:fldCharType="separate"/>
    </w:r>
    <w:r>
      <w:rPr>
        <w:rStyle w:val="8"/>
        <w:sz w:val="24"/>
        <w:szCs w:val="24"/>
      </w:rPr>
      <w:t>8</w:t>
    </w:r>
    <w:r>
      <w:rPr>
        <w:sz w:val="24"/>
        <w:szCs w:val="24"/>
      </w:rPr>
      <w:fldChar w:fldCharType="end"/>
    </w:r>
    <w:r>
      <w:rPr>
        <w:rStyle w:val="8"/>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B01BCF"/>
    <w:multiLevelType w:val="singleLevel"/>
    <w:tmpl w:val="DBB01BCF"/>
    <w:lvl w:ilvl="0" w:tentative="0">
      <w:start w:val="2"/>
      <w:numFmt w:val="decimal"/>
      <w:suff w:val="nothing"/>
      <w:lvlText w:val="%1、"/>
      <w:lvlJc w:val="left"/>
    </w:lvl>
  </w:abstractNum>
  <w:abstractNum w:abstractNumId="1">
    <w:nsid w:val="F9214428"/>
    <w:multiLevelType w:val="singleLevel"/>
    <w:tmpl w:val="F921442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171192"/>
    <w:rsid w:val="08046C3E"/>
    <w:rsid w:val="10B07CC4"/>
    <w:rsid w:val="11716381"/>
    <w:rsid w:val="2C171192"/>
    <w:rsid w:val="4A781E01"/>
    <w:rsid w:val="57161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100" w:beforeAutospacing="1" w:after="120"/>
    </w:pPr>
  </w:style>
  <w:style w:type="paragraph" w:styleId="3">
    <w:name w:val="toc 5"/>
    <w:basedOn w:val="1"/>
    <w:next w:val="1"/>
    <w:qFormat/>
    <w:uiPriority w:val="0"/>
    <w:pPr>
      <w:ind w:left="1680" w:leftChars="800"/>
    </w:pPr>
  </w:style>
  <w:style w:type="paragraph" w:styleId="4">
    <w:name w:val="footer"/>
    <w:basedOn w:val="1"/>
    <w:qFormat/>
    <w:uiPriority w:val="0"/>
    <w:pPr>
      <w:tabs>
        <w:tab w:val="center" w:pos="4153"/>
        <w:tab w:val="right" w:pos="8306"/>
      </w:tabs>
      <w:snapToGrid w:val="0"/>
      <w:jc w:val="left"/>
    </w:pPr>
    <w:rPr>
      <w:kern w:val="0"/>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2021-06-08T07:59:00Z</dcterms:created>
  <dc:creator>周周</dc:creator>
  <cp:lastModifiedBy>周周</cp:lastModifiedBy>
  <dcterms:modified xsi:type="dcterms:W3CDTF">2021-06-10T04:11:15Z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B8AFB10452EF4421AE54494A6D08F3E4</vt:lpwstr>
  </property>
</Properties>
</file>