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56"/>
          <w:szCs w:val="56"/>
        </w:rPr>
      </w:pPr>
    </w:p>
    <w:p>
      <w:pPr>
        <w:pStyle w:val="11"/>
        <w:jc w:val="both"/>
        <w:rPr>
          <w:rFonts w:cs="Times New Roman"/>
          <w:sz w:val="84"/>
          <w:szCs w:val="84"/>
        </w:rPr>
      </w:pPr>
    </w:p>
    <w:p>
      <w:pPr>
        <w:pStyle w:val="11"/>
        <w:jc w:val="center"/>
        <w:rPr>
          <w:rFonts w:cs="Times New Roman"/>
          <w:sz w:val="84"/>
          <w:szCs w:val="84"/>
        </w:rPr>
      </w:pPr>
      <w:r>
        <w:rPr>
          <w:sz w:val="84"/>
          <w:szCs w:val="84"/>
        </w:rPr>
        <w:t>2020</w:t>
      </w:r>
      <w:r>
        <w:rPr>
          <w:rFonts w:hint="eastAsia"/>
          <w:sz w:val="84"/>
          <w:szCs w:val="84"/>
        </w:rPr>
        <w:t>年度</w:t>
      </w:r>
    </w:p>
    <w:p>
      <w:pPr>
        <w:pStyle w:val="11"/>
        <w:jc w:val="center"/>
        <w:rPr>
          <w:rFonts w:cs="Times New Roman"/>
          <w:sz w:val="84"/>
          <w:szCs w:val="84"/>
        </w:rPr>
      </w:pPr>
      <w:r>
        <w:rPr>
          <w:rFonts w:hint="eastAsia"/>
          <w:sz w:val="84"/>
          <w:szCs w:val="84"/>
        </w:rPr>
        <w:t>岳阳市生态环境局君山分局部门决算</w:t>
      </w:r>
    </w:p>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56"/>
          <w:szCs w:val="56"/>
        </w:rPr>
      </w:pPr>
    </w:p>
    <w:p>
      <w:pPr>
        <w:pStyle w:val="11"/>
        <w:spacing w:line="500" w:lineRule="exact"/>
        <w:jc w:val="both"/>
        <w:rPr>
          <w:rFonts w:cs="Times New Roman"/>
          <w:b/>
          <w:bCs/>
          <w:sz w:val="36"/>
          <w:szCs w:val="36"/>
        </w:rPr>
      </w:pPr>
    </w:p>
    <w:p>
      <w:pPr>
        <w:pStyle w:val="11"/>
        <w:spacing w:line="500" w:lineRule="exact"/>
        <w:jc w:val="both"/>
        <w:rPr>
          <w:rFonts w:cs="Times New Roman"/>
          <w:b/>
          <w:bCs/>
          <w:sz w:val="36"/>
          <w:szCs w:val="36"/>
        </w:rPr>
      </w:pPr>
    </w:p>
    <w:p>
      <w:pPr>
        <w:pStyle w:val="11"/>
        <w:spacing w:line="500" w:lineRule="exact"/>
        <w:jc w:val="both"/>
        <w:rPr>
          <w:rFonts w:cs="Times New Roman"/>
          <w:b/>
          <w:bCs/>
          <w:sz w:val="36"/>
          <w:szCs w:val="36"/>
        </w:rPr>
      </w:pPr>
    </w:p>
    <w:p>
      <w:pPr>
        <w:pStyle w:val="11"/>
        <w:spacing w:line="500" w:lineRule="exact"/>
        <w:jc w:val="center"/>
        <w:rPr>
          <w:rFonts w:cs="Times New Roman"/>
          <w:b/>
          <w:bCs/>
          <w:sz w:val="36"/>
          <w:szCs w:val="36"/>
        </w:rPr>
      </w:pPr>
      <w:r>
        <w:rPr>
          <w:rFonts w:hint="eastAsia"/>
          <w:b/>
          <w:bCs/>
          <w:sz w:val="36"/>
          <w:szCs w:val="36"/>
        </w:rPr>
        <w:t>目录</w:t>
      </w:r>
    </w:p>
    <w:p>
      <w:pPr>
        <w:pStyle w:val="11"/>
        <w:spacing w:line="500" w:lineRule="exact"/>
        <w:rPr>
          <w:rFonts w:ascii="仿宋_GB2312" w:eastAsia="仿宋_GB2312" w:cs="Times New Roman"/>
          <w:b/>
          <w:bCs/>
          <w:sz w:val="28"/>
          <w:szCs w:val="28"/>
        </w:rPr>
      </w:pPr>
      <w:r>
        <w:rPr>
          <w:rFonts w:hint="eastAsia"/>
          <w:b/>
          <w:bCs/>
          <w:sz w:val="28"/>
          <w:szCs w:val="28"/>
        </w:rPr>
        <w:t>第一部分岳阳市生态环境局君山分局单位概况</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1"/>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2020</w:t>
      </w:r>
      <w:r>
        <w:rPr>
          <w:rFonts w:hint="eastAsia" w:hAnsi="仿宋_GB2312"/>
          <w:b/>
          <w:bCs/>
          <w:sz w:val="28"/>
          <w:szCs w:val="28"/>
        </w:rPr>
        <w:t>年度部门决算表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1"/>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1"/>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2020</w:t>
      </w:r>
      <w:r>
        <w:rPr>
          <w:rFonts w:hint="eastAsia" w:hAnsi="仿宋_GB2312"/>
          <w:b/>
          <w:bCs/>
          <w:sz w:val="28"/>
          <w:szCs w:val="28"/>
        </w:rPr>
        <w:t>年度部门决算情况说明</w:t>
      </w:r>
    </w:p>
    <w:p>
      <w:pPr>
        <w:pStyle w:val="11"/>
        <w:spacing w:line="500" w:lineRule="exact"/>
        <w:ind w:firstLine="280" w:firstLineChars="100"/>
        <w:jc w:val="both"/>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280" w:firstLineChars="100"/>
        <w:jc w:val="both"/>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九、国有资本经营预算财政拨款支出决算情况</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十、关于机关运行经费支出说明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十一、一般性支出情况</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十二、关于政府采购支出说明</w:t>
      </w:r>
    </w:p>
    <w:p>
      <w:pPr>
        <w:autoSpaceDE w:val="0"/>
        <w:autoSpaceDN w:val="0"/>
        <w:adjustRightInd w:val="0"/>
        <w:spacing w:line="500" w:lineRule="exact"/>
        <w:ind w:firstLine="280" w:firstLineChars="100"/>
        <w:jc w:val="both"/>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十三、关于国有资产占用情况说明</w:t>
      </w:r>
    </w:p>
    <w:p>
      <w:pPr>
        <w:autoSpaceDE w:val="0"/>
        <w:autoSpaceDN w:val="0"/>
        <w:adjustRightInd w:val="0"/>
        <w:spacing w:line="500" w:lineRule="exact"/>
        <w:ind w:firstLine="280" w:firstLineChars="10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十四、关于</w:t>
      </w:r>
      <w:r>
        <w:rPr>
          <w:rFonts w:ascii="仿宋_GB2312" w:hAnsi="仿宋_GB2312" w:cs="仿宋_GB2312"/>
          <w:color w:val="000000"/>
          <w:kern w:val="0"/>
          <w:sz w:val="28"/>
          <w:szCs w:val="28"/>
        </w:rPr>
        <w:t>2020</w:t>
      </w:r>
      <w:r>
        <w:rPr>
          <w:rFonts w:hint="eastAsia" w:ascii="仿宋_GB2312" w:hAnsi="仿宋_GB2312" w:cs="宋体"/>
          <w:color w:val="000000"/>
          <w:kern w:val="0"/>
          <w:sz w:val="28"/>
          <w:szCs w:val="28"/>
        </w:rPr>
        <w:t>年度预算绩效情况的说明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1"/>
        <w:jc w:val="center"/>
        <w:rPr>
          <w:rFonts w:cs="Times New Roman"/>
          <w:sz w:val="84"/>
          <w:szCs w:val="84"/>
        </w:rPr>
      </w:pPr>
      <w:r>
        <w:rPr>
          <w:rFonts w:hint="eastAsia"/>
          <w:sz w:val="84"/>
          <w:szCs w:val="84"/>
        </w:rPr>
        <w:t>第一部分</w:t>
      </w:r>
    </w:p>
    <w:p>
      <w:pPr>
        <w:pStyle w:val="11"/>
        <w:jc w:val="center"/>
        <w:rPr>
          <w:rFonts w:cs="Times New Roman"/>
          <w:sz w:val="84"/>
          <w:szCs w:val="84"/>
        </w:rPr>
      </w:pPr>
    </w:p>
    <w:p>
      <w:pPr>
        <w:pStyle w:val="11"/>
        <w:ind w:left="31680" w:hanging="2520" w:hangingChars="300"/>
        <w:jc w:val="both"/>
        <w:rPr>
          <w:rFonts w:cs="Times New Roman"/>
          <w:sz w:val="84"/>
          <w:szCs w:val="84"/>
        </w:rPr>
      </w:pPr>
      <w:r>
        <w:rPr>
          <w:rFonts w:hint="eastAsia"/>
          <w:sz w:val="84"/>
          <w:szCs w:val="84"/>
        </w:rPr>
        <w:t>岳阳市生态环境局君山分局单位概况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2"/>
        <w:ind w:firstLine="0" w:firstLineChars="0"/>
        <w:jc w:val="left"/>
        <w:rPr>
          <w:rFonts w:ascii="黑体" w:hAnsi="黑体" w:eastAsia="黑体" w:cs="Times New Roman"/>
          <w:sz w:val="32"/>
          <w:szCs w:val="32"/>
        </w:rPr>
      </w:pPr>
    </w:p>
    <w:p>
      <w:pPr>
        <w:pStyle w:val="12"/>
        <w:ind w:firstLine="0" w:firstLineChars="0"/>
        <w:jc w:val="left"/>
        <w:rPr>
          <w:rFonts w:ascii="黑体" w:hAnsi="黑体" w:eastAsia="黑体" w:cs="Times New Roman"/>
          <w:sz w:val="32"/>
          <w:szCs w:val="32"/>
        </w:rPr>
      </w:pPr>
      <w:r>
        <w:rPr>
          <w:rFonts w:hint="eastAsia" w:ascii="黑体" w:hAnsi="黑体" w:eastAsia="黑体" w:cs="黑体"/>
          <w:sz w:val="32"/>
          <w:szCs w:val="32"/>
        </w:rPr>
        <w:t>一、部门职责</w:t>
      </w:r>
    </w:p>
    <w:p>
      <w:pPr>
        <w:widowControl/>
        <w:spacing w:line="600" w:lineRule="exact"/>
        <w:ind w:firstLine="640" w:firstLineChars="200"/>
        <w:rPr>
          <w:rFonts w:ascii="仿宋_GB2312" w:hAnsi="宋体" w:eastAsia="仿宋_GB2312" w:cs="Times New Roman"/>
          <w:sz w:val="28"/>
          <w:szCs w:val="28"/>
        </w:rPr>
      </w:pPr>
      <w:r>
        <w:rPr>
          <w:rFonts w:hint="eastAsia" w:eastAsia="仿宋_GB2312" w:cs="仿宋_GB2312"/>
          <w:kern w:val="0"/>
          <w:sz w:val="32"/>
          <w:szCs w:val="32"/>
        </w:rPr>
        <w:t>受市生态环境局委托，承担辖区内的生态环境保护相关工作</w:t>
      </w:r>
      <w:r>
        <w:rPr>
          <w:rFonts w:eastAsia="仿宋_GB2312"/>
          <w:kern w:val="0"/>
          <w:sz w:val="32"/>
          <w:szCs w:val="32"/>
        </w:rPr>
        <w:t>,</w:t>
      </w:r>
      <w:r>
        <w:rPr>
          <w:rFonts w:hint="eastAsia" w:eastAsia="仿宋_GB2312" w:cs="仿宋_GB2312"/>
          <w:kern w:val="0"/>
          <w:sz w:val="32"/>
          <w:szCs w:val="32"/>
        </w:rPr>
        <w:t>同时承担市生态环境局和区委、区政府交办的其他任务。主要是贯彻落实环境保护政策，执行国家环保法律法规，负责辖区内环境规划、环境管理、环境宣传教育、环境监察以及受理和办理生态环境保护举报（信访）等工作。</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ind w:firstLine="640" w:firstLineChars="200"/>
        <w:rPr>
          <w:rFonts w:eastAsia="仿宋_GB2312" w:cs="Times New Roman"/>
          <w:kern w:val="0"/>
          <w:sz w:val="32"/>
          <w:szCs w:val="32"/>
        </w:rPr>
      </w:pPr>
      <w:r>
        <w:rPr>
          <w:rFonts w:hint="eastAsia" w:ascii="宋体" w:hAnsi="宋体" w:cs="宋体"/>
          <w:kern w:val="0"/>
          <w:sz w:val="32"/>
          <w:szCs w:val="32"/>
        </w:rPr>
        <w:t>（一）内设机构设置。</w:t>
      </w:r>
      <w:r>
        <w:rPr>
          <w:rFonts w:hint="eastAsia" w:eastAsia="仿宋_GB2312" w:cs="仿宋_GB2312"/>
          <w:kern w:val="0"/>
          <w:sz w:val="32"/>
          <w:szCs w:val="32"/>
        </w:rPr>
        <w:t>岳阳市生态环境局君山分局属于独立编制，核算机构数</w:t>
      </w:r>
      <w:r>
        <w:rPr>
          <w:rFonts w:eastAsia="仿宋_GB2312"/>
          <w:kern w:val="0"/>
          <w:sz w:val="32"/>
          <w:szCs w:val="32"/>
        </w:rPr>
        <w:t>1</w:t>
      </w:r>
      <w:r>
        <w:rPr>
          <w:rFonts w:hint="eastAsia" w:eastAsia="仿宋_GB2312" w:cs="仿宋_GB2312"/>
          <w:kern w:val="0"/>
          <w:sz w:val="32"/>
          <w:szCs w:val="32"/>
        </w:rPr>
        <w:t>个，</w:t>
      </w:r>
      <w:r>
        <w:rPr>
          <w:rFonts w:hint="eastAsia" w:ascii="仿宋_GB2312" w:eastAsia="仿宋_GB2312" w:cs="仿宋_GB2312"/>
          <w:kern w:val="0"/>
          <w:sz w:val="32"/>
          <w:szCs w:val="32"/>
        </w:rPr>
        <w:t>核定编制数</w:t>
      </w:r>
      <w:r>
        <w:rPr>
          <w:rFonts w:hint="eastAsia" w:eastAsia="仿宋_GB2312" w:cs="仿宋_GB2312"/>
          <w:kern w:val="0"/>
          <w:sz w:val="32"/>
          <w:szCs w:val="32"/>
        </w:rPr>
        <w:t>为</w:t>
      </w:r>
      <w:r>
        <w:rPr>
          <w:rFonts w:eastAsia="仿宋_GB2312"/>
          <w:kern w:val="0"/>
          <w:sz w:val="32"/>
          <w:szCs w:val="32"/>
        </w:rPr>
        <w:t>15</w:t>
      </w:r>
      <w:r>
        <w:rPr>
          <w:rFonts w:hint="eastAsia" w:eastAsia="仿宋_GB2312" w:cs="仿宋_GB2312"/>
          <w:kern w:val="0"/>
          <w:sz w:val="32"/>
          <w:szCs w:val="32"/>
        </w:rPr>
        <w:t>人，现在实有编制人员</w:t>
      </w:r>
      <w:r>
        <w:rPr>
          <w:rFonts w:eastAsia="仿宋_GB2312"/>
          <w:kern w:val="0"/>
          <w:sz w:val="32"/>
          <w:szCs w:val="32"/>
        </w:rPr>
        <w:t>8</w:t>
      </w:r>
      <w:r>
        <w:rPr>
          <w:rFonts w:hint="eastAsia" w:eastAsia="仿宋_GB2312" w:cs="仿宋_GB2312"/>
          <w:kern w:val="0"/>
          <w:sz w:val="32"/>
          <w:szCs w:val="32"/>
        </w:rPr>
        <w:t>人，有</w:t>
      </w:r>
      <w:r>
        <w:rPr>
          <w:rFonts w:eastAsia="仿宋_GB2312"/>
          <w:kern w:val="0"/>
          <w:sz w:val="32"/>
          <w:szCs w:val="32"/>
        </w:rPr>
        <w:t>2</w:t>
      </w:r>
      <w:r>
        <w:rPr>
          <w:rFonts w:hint="eastAsia" w:eastAsia="仿宋_GB2312" w:cs="仿宋_GB2312"/>
          <w:kern w:val="0"/>
          <w:sz w:val="32"/>
          <w:szCs w:val="32"/>
        </w:rPr>
        <w:t>人退休，大专以上学历占</w:t>
      </w:r>
      <w:r>
        <w:rPr>
          <w:rFonts w:eastAsia="仿宋_GB2312"/>
          <w:kern w:val="0"/>
          <w:sz w:val="32"/>
          <w:szCs w:val="32"/>
        </w:rPr>
        <w:t>95%</w:t>
      </w:r>
      <w:r>
        <w:rPr>
          <w:rFonts w:hint="eastAsia" w:eastAsia="仿宋_GB2312" w:cs="仿宋_GB2312"/>
          <w:kern w:val="0"/>
          <w:sz w:val="32"/>
          <w:szCs w:val="32"/>
        </w:rPr>
        <w:t>。属于岳阳市生态环境局的派出机构，下设科室：办公室、管理股、监察大队。</w:t>
      </w:r>
    </w:p>
    <w:p>
      <w:pPr>
        <w:widowControl/>
        <w:spacing w:line="600" w:lineRule="exact"/>
        <w:ind w:firstLine="640" w:firstLineChars="200"/>
        <w:rPr>
          <w:rFonts w:ascii="宋体" w:cs="Times New Roman"/>
          <w:kern w:val="0"/>
          <w:sz w:val="32"/>
          <w:szCs w:val="32"/>
        </w:rPr>
      </w:pPr>
      <w:r>
        <w:rPr>
          <w:rFonts w:hint="eastAsia" w:ascii="宋体" w:hAnsi="宋体" w:cs="宋体"/>
          <w:kern w:val="0"/>
          <w:sz w:val="32"/>
          <w:szCs w:val="32"/>
        </w:rPr>
        <w:t>（二）决算单位构成。</w:t>
      </w:r>
    </w:p>
    <w:p>
      <w:pPr>
        <w:widowControl/>
        <w:spacing w:line="600" w:lineRule="exact"/>
        <w:ind w:firstLine="960" w:firstLineChars="300"/>
        <w:rPr>
          <w:rFonts w:ascii="仿宋_GB2312" w:hAnsi="仿宋" w:eastAsia="仿宋_GB2312" w:cs="Times New Roman"/>
          <w:kern w:val="0"/>
          <w:sz w:val="32"/>
          <w:szCs w:val="32"/>
        </w:rPr>
      </w:pPr>
      <w:r>
        <w:rPr>
          <w:rFonts w:hint="eastAsia" w:ascii="仿宋_GB2312" w:hAnsi="仿宋" w:eastAsia="仿宋_GB2312" w:cs="仿宋_GB2312"/>
          <w:color w:val="333333"/>
          <w:sz w:val="32"/>
          <w:szCs w:val="32"/>
          <w:shd w:val="clear" w:color="auto" w:fill="FFFFFF"/>
        </w:rPr>
        <w:t>岳阳市生态环境局君山分局</w:t>
      </w:r>
      <w:bookmarkStart w:id="0" w:name="_GoBack"/>
      <w:bookmarkEnd w:id="0"/>
      <w:r>
        <w:rPr>
          <w:rFonts w:hint="eastAsia" w:ascii="仿宋_GB2312" w:hAnsi="仿宋" w:eastAsia="仿宋_GB2312" w:cs="仿宋_GB2312"/>
          <w:color w:val="333333"/>
          <w:sz w:val="32"/>
          <w:szCs w:val="32"/>
          <w:shd w:val="clear" w:color="auto" w:fill="FFFFFF"/>
        </w:rPr>
        <w:t>。</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r>
        <w:rPr>
          <w:rFonts w:hint="eastAsia" w:ascii="黑体" w:eastAsia="黑体" w:cs="黑体"/>
          <w:color w:val="000000"/>
          <w:kern w:val="0"/>
          <w:sz w:val="84"/>
          <w:szCs w:val="84"/>
        </w:rPr>
        <w:t>第二部分</w:t>
      </w:r>
    </w:p>
    <w:p>
      <w:pPr>
        <w:jc w:val="center"/>
        <w:rPr>
          <w:rFonts w:cs="Times New Roman"/>
          <w:sz w:val="72"/>
          <w:szCs w:val="72"/>
        </w:rPr>
      </w:pPr>
    </w:p>
    <w:p>
      <w:pPr>
        <w:jc w:val="center"/>
        <w:rPr>
          <w:rFonts w:ascii="方正大标宋简体" w:hAnsi="方正大标宋简体" w:eastAsia="方正大标宋简体" w:cs="Times New Roman"/>
          <w:color w:val="000000"/>
          <w:kern w:val="0"/>
          <w:sz w:val="44"/>
          <w:szCs w:val="44"/>
        </w:rPr>
        <w:sectPr>
          <w:pgSz w:w="11906" w:h="16838"/>
          <w:pgMar w:top="1361" w:right="1361" w:bottom="1361" w:left="1361" w:header="851" w:footer="992" w:gutter="0"/>
          <w:cols w:space="0" w:num="1"/>
          <w:docGrid w:type="lines" w:linePitch="312" w:charSpace="0"/>
        </w:sectPr>
      </w:pPr>
      <w:r>
        <w:rPr>
          <w:rFonts w:hint="eastAsia" w:ascii="黑体" w:eastAsia="黑体" w:cs="黑体"/>
          <w:color w:val="000000"/>
          <w:kern w:val="0"/>
          <w:sz w:val="84"/>
          <w:szCs w:val="84"/>
        </w:rPr>
        <w:t>部门决算表</w:t>
      </w:r>
      <w:r>
        <w:rPr>
          <w:rFonts w:hint="eastAsia" w:ascii="黑体" w:eastAsia="黑体" w:cs="黑体"/>
          <w:color w:val="000000"/>
          <w:kern w:val="0"/>
          <w:sz w:val="84"/>
          <w:szCs w:val="84"/>
          <w:lang w:eastAsia="zh-CN"/>
        </w:rPr>
        <w:t>（见附表）</w:t>
      </w: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r>
        <w:rPr>
          <w:rFonts w:hint="eastAsia"/>
          <w:sz w:val="72"/>
          <w:szCs w:val="72"/>
        </w:rPr>
        <w:t>第三部分</w:t>
      </w:r>
    </w:p>
    <w:p>
      <w:pPr>
        <w:pStyle w:val="11"/>
        <w:jc w:val="center"/>
        <w:rPr>
          <w:rFonts w:cs="Times New Roman"/>
          <w:sz w:val="70"/>
          <w:szCs w:val="70"/>
        </w:rPr>
      </w:pPr>
    </w:p>
    <w:p>
      <w:pPr>
        <w:pStyle w:val="11"/>
        <w:jc w:val="center"/>
        <w:rPr>
          <w:rFonts w:cs="Times New Roman"/>
          <w:sz w:val="70"/>
          <w:szCs w:val="70"/>
        </w:rPr>
      </w:pPr>
      <w:r>
        <w:rPr>
          <w:sz w:val="70"/>
          <w:szCs w:val="70"/>
        </w:rPr>
        <w:t>2020</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1"/>
        <w:ind w:firstLine="640" w:firstLineChars="200"/>
        <w:rPr>
          <w:rFonts w:hAnsi="黑体" w:cs="Times New Roman"/>
          <w:b/>
          <w:bCs/>
          <w:sz w:val="32"/>
          <w:szCs w:val="32"/>
        </w:rPr>
      </w:pPr>
      <w:r>
        <w:rPr>
          <w:rFonts w:hint="eastAsia" w:hAnsi="黑体"/>
          <w:b/>
          <w:bCs/>
          <w:sz w:val="32"/>
          <w:szCs w:val="32"/>
        </w:rPr>
        <w:t>一、收入支出决算总体情况说明</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年度收、支总计</w:t>
      </w:r>
      <w:r>
        <w:rPr>
          <w:rFonts w:ascii="仿宋_GB2312" w:hAnsi="仿宋" w:eastAsia="仿宋_GB2312" w:cs="仿宋_GB2312"/>
          <w:sz w:val="32"/>
          <w:szCs w:val="32"/>
        </w:rPr>
        <w:t>482.24</w:t>
      </w:r>
      <w:r>
        <w:rPr>
          <w:rFonts w:hint="eastAsia" w:ascii="仿宋_GB2312" w:hAnsi="仿宋" w:eastAsia="仿宋_GB2312" w:cs="仿宋_GB2312"/>
          <w:sz w:val="32"/>
          <w:szCs w:val="32"/>
        </w:rPr>
        <w:t>万元。与上年相比，增加</w:t>
      </w:r>
      <w:r>
        <w:rPr>
          <w:rFonts w:ascii="仿宋_GB2312" w:hAnsi="仿宋" w:eastAsia="仿宋_GB2312" w:cs="仿宋_GB2312"/>
          <w:sz w:val="32"/>
          <w:szCs w:val="32"/>
        </w:rPr>
        <w:t>18.23</w:t>
      </w:r>
      <w:r>
        <w:rPr>
          <w:rFonts w:hint="eastAsia" w:ascii="仿宋_GB2312" w:hAnsi="仿宋" w:eastAsia="仿宋_GB2312" w:cs="仿宋_GB2312"/>
          <w:sz w:val="32"/>
          <w:szCs w:val="32"/>
        </w:rPr>
        <w:t>万元，增长</w:t>
      </w:r>
      <w:r>
        <w:rPr>
          <w:rFonts w:ascii="仿宋_GB2312" w:hAnsi="仿宋" w:eastAsia="仿宋_GB2312" w:cs="仿宋_GB2312"/>
          <w:sz w:val="32"/>
          <w:szCs w:val="32"/>
        </w:rPr>
        <w:t>3.93%</w:t>
      </w:r>
      <w:r>
        <w:rPr>
          <w:rFonts w:hint="eastAsia" w:ascii="仿宋_GB2312" w:hAnsi="仿宋" w:eastAsia="仿宋_GB2312" w:cs="仿宋_GB2312"/>
          <w:sz w:val="32"/>
          <w:szCs w:val="32"/>
        </w:rPr>
        <w:t>，主要是因为增加</w:t>
      </w:r>
      <w:r>
        <w:rPr>
          <w:rFonts w:ascii="仿宋_GB2312" w:hAnsi="仿宋" w:eastAsia="仿宋_GB2312" w:cs="仿宋_GB2312"/>
          <w:sz w:val="32"/>
          <w:szCs w:val="32"/>
        </w:rPr>
        <w:t>2020</w:t>
      </w:r>
      <w:r>
        <w:rPr>
          <w:rFonts w:hint="eastAsia" w:ascii="仿宋_GB2312" w:hAnsi="仿宋" w:eastAsia="仿宋_GB2312" w:cs="仿宋_GB2312"/>
          <w:sz w:val="32"/>
          <w:szCs w:val="32"/>
        </w:rPr>
        <w:t>年第一批洞庭湖生态环境专项整治工作奖补资金－饮用水源水源地隐患治理项目资金的拨付。</w:t>
      </w:r>
    </w:p>
    <w:p>
      <w:pPr>
        <w:pStyle w:val="11"/>
        <w:ind w:firstLine="640" w:firstLineChars="200"/>
        <w:rPr>
          <w:rFonts w:hAnsi="黑体" w:cs="Times New Roman"/>
          <w:b/>
          <w:bCs/>
          <w:sz w:val="32"/>
          <w:szCs w:val="32"/>
        </w:rPr>
      </w:pPr>
      <w:r>
        <w:rPr>
          <w:rFonts w:hint="eastAsia" w:hAnsi="黑体"/>
          <w:b/>
          <w:bCs/>
          <w:sz w:val="32"/>
          <w:szCs w:val="32"/>
        </w:rPr>
        <w:t>二、收入决算情况说明</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本年收入合计</w:t>
      </w:r>
      <w:r>
        <w:rPr>
          <w:rFonts w:ascii="仿宋_GB2312" w:hAnsi="仿宋" w:eastAsia="仿宋_GB2312" w:cs="仿宋_GB2312"/>
          <w:sz w:val="32"/>
          <w:szCs w:val="32"/>
        </w:rPr>
        <w:t>437.73</w:t>
      </w:r>
      <w:r>
        <w:rPr>
          <w:rFonts w:hint="eastAsia" w:ascii="仿宋_GB2312" w:hAnsi="仿宋" w:eastAsia="仿宋_GB2312" w:cs="仿宋_GB2312"/>
          <w:sz w:val="32"/>
          <w:szCs w:val="32"/>
        </w:rPr>
        <w:t>万元，其中：财政拨款收入</w:t>
      </w:r>
      <w:r>
        <w:rPr>
          <w:rFonts w:ascii="仿宋_GB2312" w:hAnsi="仿宋" w:eastAsia="仿宋_GB2312" w:cs="仿宋_GB2312"/>
          <w:sz w:val="32"/>
          <w:szCs w:val="32"/>
        </w:rPr>
        <w:t>205.13</w:t>
      </w:r>
      <w:r>
        <w:rPr>
          <w:rFonts w:hint="eastAsia" w:ascii="仿宋_GB2312" w:hAnsi="仿宋" w:eastAsia="仿宋_GB2312" w:cs="仿宋_GB2312"/>
          <w:sz w:val="32"/>
          <w:szCs w:val="32"/>
        </w:rPr>
        <w:t>万元，占</w:t>
      </w:r>
      <w:r>
        <w:rPr>
          <w:rFonts w:ascii="仿宋_GB2312" w:hAnsi="仿宋" w:eastAsia="仿宋_GB2312" w:cs="仿宋_GB2312"/>
          <w:sz w:val="32"/>
          <w:szCs w:val="32"/>
        </w:rPr>
        <w:t>46.86%</w:t>
      </w:r>
      <w:r>
        <w:rPr>
          <w:rFonts w:hint="eastAsia" w:ascii="仿宋_GB2312" w:hAnsi="仿宋" w:eastAsia="仿宋_GB2312" w:cs="仿宋_GB2312"/>
          <w:sz w:val="32"/>
          <w:szCs w:val="32"/>
        </w:rPr>
        <w:t>；上级补助收入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；事业收入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；经营收入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；附属单位上缴收入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；其他收入</w:t>
      </w:r>
      <w:r>
        <w:rPr>
          <w:rFonts w:ascii="仿宋_GB2312" w:hAnsi="仿宋" w:eastAsia="仿宋_GB2312" w:cs="仿宋_GB2312"/>
          <w:sz w:val="32"/>
          <w:szCs w:val="32"/>
        </w:rPr>
        <w:t>232.6</w:t>
      </w:r>
      <w:r>
        <w:rPr>
          <w:rFonts w:hint="eastAsia" w:ascii="仿宋_GB2312" w:hAnsi="仿宋" w:eastAsia="仿宋_GB2312" w:cs="仿宋_GB2312"/>
          <w:sz w:val="32"/>
          <w:szCs w:val="32"/>
        </w:rPr>
        <w:t>万元，占</w:t>
      </w:r>
      <w:r>
        <w:rPr>
          <w:rFonts w:ascii="仿宋_GB2312" w:hAnsi="仿宋" w:eastAsia="仿宋_GB2312" w:cs="仿宋_GB2312"/>
          <w:sz w:val="32"/>
          <w:szCs w:val="32"/>
        </w:rPr>
        <w:t>53.14%</w:t>
      </w:r>
      <w:r>
        <w:rPr>
          <w:rFonts w:hint="eastAsia" w:ascii="仿宋_GB2312" w:hAnsi="仿宋" w:eastAsia="仿宋_GB2312" w:cs="仿宋_GB2312"/>
          <w:sz w:val="32"/>
          <w:szCs w:val="32"/>
        </w:rPr>
        <w:t>。</w:t>
      </w:r>
    </w:p>
    <w:p>
      <w:pPr>
        <w:pStyle w:val="11"/>
        <w:ind w:firstLine="640" w:firstLineChars="200"/>
        <w:rPr>
          <w:rFonts w:hAnsi="黑体" w:cs="Times New Roman"/>
          <w:b/>
          <w:bCs/>
          <w:sz w:val="32"/>
          <w:szCs w:val="32"/>
        </w:rPr>
      </w:pPr>
      <w:r>
        <w:rPr>
          <w:rFonts w:hint="eastAsia" w:hAnsi="黑体"/>
          <w:b/>
          <w:bCs/>
          <w:sz w:val="32"/>
          <w:szCs w:val="32"/>
        </w:rPr>
        <w:t>三、支出决算情况说明</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本年支出合计</w:t>
      </w:r>
      <w:r>
        <w:rPr>
          <w:rFonts w:ascii="仿宋_GB2312" w:hAnsi="仿宋" w:eastAsia="仿宋_GB2312" w:cs="仿宋_GB2312"/>
          <w:sz w:val="32"/>
          <w:szCs w:val="32"/>
        </w:rPr>
        <w:t>390.79</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242.18</w:t>
      </w:r>
      <w:r>
        <w:rPr>
          <w:rFonts w:hint="eastAsia" w:ascii="仿宋_GB2312" w:hAnsi="仿宋" w:eastAsia="仿宋_GB2312" w:cs="仿宋_GB2312"/>
          <w:sz w:val="32"/>
          <w:szCs w:val="32"/>
        </w:rPr>
        <w:t>万元，占</w:t>
      </w:r>
      <w:r>
        <w:rPr>
          <w:rFonts w:ascii="仿宋_GB2312" w:hAnsi="仿宋" w:eastAsia="仿宋_GB2312" w:cs="仿宋_GB2312"/>
          <w:sz w:val="32"/>
          <w:szCs w:val="32"/>
        </w:rPr>
        <w:t>61.97%</w:t>
      </w:r>
      <w:r>
        <w:rPr>
          <w:rFonts w:hint="eastAsia" w:ascii="仿宋_GB2312" w:hAnsi="仿宋" w:eastAsia="仿宋_GB2312" w:cs="仿宋_GB2312"/>
          <w:sz w:val="32"/>
          <w:szCs w:val="32"/>
        </w:rPr>
        <w:t>；项目支出</w:t>
      </w:r>
      <w:r>
        <w:rPr>
          <w:rFonts w:ascii="仿宋_GB2312" w:hAnsi="仿宋" w:eastAsia="仿宋_GB2312" w:cs="仿宋_GB2312"/>
          <w:sz w:val="32"/>
          <w:szCs w:val="32"/>
        </w:rPr>
        <w:t>148.61</w:t>
      </w:r>
      <w:r>
        <w:rPr>
          <w:rFonts w:hint="eastAsia" w:ascii="仿宋_GB2312" w:hAnsi="仿宋" w:eastAsia="仿宋_GB2312" w:cs="仿宋_GB2312"/>
          <w:sz w:val="32"/>
          <w:szCs w:val="32"/>
        </w:rPr>
        <w:t>万元，占</w:t>
      </w:r>
      <w:r>
        <w:rPr>
          <w:rFonts w:ascii="仿宋_GB2312" w:hAnsi="仿宋" w:eastAsia="仿宋_GB2312" w:cs="仿宋_GB2312"/>
          <w:sz w:val="32"/>
          <w:szCs w:val="32"/>
        </w:rPr>
        <w:t>38.03%</w:t>
      </w:r>
      <w:r>
        <w:rPr>
          <w:rFonts w:hint="eastAsia" w:ascii="仿宋_GB2312" w:hAnsi="仿宋" w:eastAsia="仿宋_GB2312" w:cs="仿宋_GB2312"/>
          <w:sz w:val="32"/>
          <w:szCs w:val="32"/>
        </w:rPr>
        <w:t>；上缴上级支出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；经营支出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；对附属单位补助支出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pStyle w:val="11"/>
        <w:ind w:firstLine="640" w:firstLineChars="200"/>
        <w:rPr>
          <w:rFonts w:hAnsi="黑体" w:cs="Times New Roman"/>
          <w:b/>
          <w:bCs/>
          <w:sz w:val="32"/>
          <w:szCs w:val="32"/>
        </w:rPr>
      </w:pPr>
      <w:r>
        <w:rPr>
          <w:rFonts w:hint="eastAsia" w:hAnsi="黑体"/>
          <w:b/>
          <w:bCs/>
          <w:sz w:val="32"/>
          <w:szCs w:val="32"/>
        </w:rPr>
        <w:t>四、财政拨款收入支出决算总体情况说明</w:t>
      </w:r>
    </w:p>
    <w:p>
      <w:pPr>
        <w:pStyle w:val="11"/>
        <w:ind w:firstLine="640" w:firstLineChars="200"/>
        <w:rPr>
          <w:rFonts w:ascii="仿宋_GB2312" w:hAnsi="宋体" w:eastAsia="仿宋_GB2312" w:cs="Times New Roman"/>
          <w:sz w:val="32"/>
          <w:szCs w:val="32"/>
        </w:rPr>
      </w:pPr>
      <w:r>
        <w:rPr>
          <w:rFonts w:ascii="仿宋_GB2312" w:hAnsi="仿宋" w:eastAsia="仿宋_GB2312" w:cs="仿宋_GB2312"/>
          <w:sz w:val="32"/>
          <w:szCs w:val="32"/>
        </w:rPr>
        <w:t xml:space="preserve"> 2020</w:t>
      </w:r>
      <w:r>
        <w:rPr>
          <w:rFonts w:hint="eastAsia" w:ascii="仿宋_GB2312" w:hAnsi="仿宋" w:eastAsia="仿宋_GB2312" w:cs="仿宋_GB2312"/>
          <w:sz w:val="32"/>
          <w:szCs w:val="32"/>
        </w:rPr>
        <w:t>年度财政拨款收、支总计</w:t>
      </w:r>
      <w:r>
        <w:rPr>
          <w:rFonts w:ascii="仿宋_GB2312" w:hAnsi="仿宋" w:eastAsia="仿宋_GB2312" w:cs="仿宋_GB2312"/>
          <w:sz w:val="32"/>
          <w:szCs w:val="32"/>
        </w:rPr>
        <w:t>226.94</w:t>
      </w:r>
      <w:r>
        <w:rPr>
          <w:rFonts w:hint="eastAsia" w:ascii="仿宋_GB2312" w:hAnsi="仿宋" w:eastAsia="仿宋_GB2312" w:cs="仿宋_GB2312"/>
          <w:sz w:val="32"/>
          <w:szCs w:val="32"/>
        </w:rPr>
        <w:t>万元，与上年相比，减少</w:t>
      </w:r>
      <w:r>
        <w:rPr>
          <w:rFonts w:ascii="仿宋_GB2312" w:hAnsi="仿宋" w:eastAsia="仿宋_GB2312" w:cs="仿宋_GB2312"/>
          <w:sz w:val="32"/>
          <w:szCs w:val="32"/>
        </w:rPr>
        <w:t>81.68</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减少</w:t>
      </w:r>
      <w:r>
        <w:rPr>
          <w:rFonts w:ascii="仿宋_GB2312" w:hAnsi="仿宋" w:eastAsia="仿宋_GB2312" w:cs="仿宋_GB2312"/>
          <w:sz w:val="32"/>
          <w:szCs w:val="32"/>
        </w:rPr>
        <w:t>26.47%</w:t>
      </w:r>
      <w:r>
        <w:rPr>
          <w:rFonts w:hint="eastAsia" w:ascii="仿宋_GB2312" w:hAnsi="仿宋" w:eastAsia="仿宋_GB2312" w:cs="仿宋_GB2312"/>
          <w:sz w:val="32"/>
          <w:szCs w:val="32"/>
        </w:rPr>
        <w:t>，主要是因为</w:t>
      </w:r>
      <w:r>
        <w:rPr>
          <w:rFonts w:ascii="仿宋_GB2312" w:hAnsi="仿宋" w:eastAsia="仿宋_GB2312" w:cs="仿宋_GB2312"/>
          <w:sz w:val="32"/>
          <w:szCs w:val="32"/>
        </w:rPr>
        <w:t>2019</w:t>
      </w:r>
      <w:r>
        <w:rPr>
          <w:rFonts w:hint="eastAsia" w:ascii="仿宋_GB2312" w:hAnsi="仿宋" w:eastAsia="仿宋_GB2312" w:cs="仿宋_GB2312"/>
          <w:sz w:val="32"/>
          <w:szCs w:val="32"/>
        </w:rPr>
        <w:t>年省级土壤污染防治项目资金的拨付。</w:t>
      </w:r>
    </w:p>
    <w:p>
      <w:pPr>
        <w:pStyle w:val="11"/>
        <w:ind w:firstLine="640" w:firstLineChars="200"/>
        <w:rPr>
          <w:rFonts w:hAnsi="黑体" w:cs="Times New Roman"/>
          <w:b/>
          <w:bCs/>
          <w:sz w:val="32"/>
          <w:szCs w:val="32"/>
        </w:rPr>
      </w:pPr>
      <w:r>
        <w:rPr>
          <w:rFonts w:hint="eastAsia" w:hAnsi="黑体"/>
          <w:b/>
          <w:bCs/>
          <w:sz w:val="32"/>
          <w:szCs w:val="32"/>
        </w:rPr>
        <w:t>五、一般公共预算财政拨款支出决算情况说明</w:t>
      </w:r>
    </w:p>
    <w:p>
      <w:pPr>
        <w:pStyle w:val="11"/>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1"/>
        <w:ind w:firstLine="800" w:firstLineChars="25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年度财政拨款支出</w:t>
      </w:r>
      <w:r>
        <w:rPr>
          <w:rFonts w:ascii="仿宋_GB2312" w:hAnsi="仿宋" w:eastAsia="仿宋_GB2312" w:cs="仿宋_GB2312"/>
          <w:sz w:val="32"/>
          <w:szCs w:val="32"/>
        </w:rPr>
        <w:t>216.55</w:t>
      </w:r>
      <w:r>
        <w:rPr>
          <w:rFonts w:hint="eastAsia" w:ascii="仿宋_GB2312" w:hAnsi="仿宋" w:eastAsia="仿宋_GB2312" w:cs="仿宋_GB2312"/>
          <w:sz w:val="32"/>
          <w:szCs w:val="32"/>
        </w:rPr>
        <w:t>万元，占本年支出合计的</w:t>
      </w:r>
      <w:r>
        <w:rPr>
          <w:rFonts w:ascii="仿宋_GB2312" w:hAnsi="仿宋" w:eastAsia="仿宋_GB2312" w:cs="仿宋_GB2312"/>
          <w:sz w:val="32"/>
          <w:szCs w:val="32"/>
        </w:rPr>
        <w:t>55.41%</w:t>
      </w:r>
      <w:r>
        <w:rPr>
          <w:rFonts w:hint="eastAsia" w:ascii="仿宋_GB2312" w:hAnsi="仿宋" w:eastAsia="仿宋_GB2312" w:cs="仿宋_GB2312"/>
          <w:sz w:val="32"/>
          <w:szCs w:val="32"/>
        </w:rPr>
        <w:t>，与上年相比，财政拨款支出减少</w:t>
      </w:r>
      <w:r>
        <w:rPr>
          <w:rFonts w:ascii="仿宋_GB2312" w:hAnsi="仿宋" w:eastAsia="仿宋_GB2312" w:cs="仿宋_GB2312"/>
          <w:sz w:val="32"/>
          <w:szCs w:val="32"/>
        </w:rPr>
        <w:t>76.52</w:t>
      </w:r>
      <w:r>
        <w:rPr>
          <w:rFonts w:hint="eastAsia" w:ascii="仿宋_GB2312" w:hAnsi="仿宋" w:eastAsia="仿宋_GB2312" w:cs="仿宋_GB2312"/>
          <w:sz w:val="32"/>
          <w:szCs w:val="32"/>
        </w:rPr>
        <w:t>万元，减少</w:t>
      </w:r>
      <w:r>
        <w:rPr>
          <w:rFonts w:ascii="仿宋_GB2312" w:hAnsi="仿宋" w:eastAsia="仿宋_GB2312" w:cs="仿宋_GB2312"/>
          <w:sz w:val="32"/>
          <w:szCs w:val="32"/>
        </w:rPr>
        <w:t>26.11%</w:t>
      </w:r>
      <w:r>
        <w:rPr>
          <w:rFonts w:hint="eastAsia" w:ascii="仿宋_GB2312" w:hAnsi="仿宋" w:eastAsia="仿宋_GB2312" w:cs="仿宋_GB2312"/>
          <w:sz w:val="32"/>
          <w:szCs w:val="32"/>
        </w:rPr>
        <w:t>，主要是因为</w:t>
      </w:r>
      <w:r>
        <w:rPr>
          <w:rFonts w:ascii="仿宋_GB2312" w:hAnsi="仿宋" w:eastAsia="仿宋_GB2312" w:cs="仿宋_GB2312"/>
          <w:sz w:val="32"/>
          <w:szCs w:val="32"/>
        </w:rPr>
        <w:t>2019</w:t>
      </w:r>
      <w:r>
        <w:rPr>
          <w:rFonts w:hint="eastAsia" w:ascii="仿宋_GB2312" w:hAnsi="仿宋" w:eastAsia="仿宋_GB2312" w:cs="仿宋_GB2312"/>
          <w:sz w:val="32"/>
          <w:szCs w:val="32"/>
        </w:rPr>
        <w:t>年省级土壤污染防治项目资金的拨付。</w:t>
      </w:r>
    </w:p>
    <w:p>
      <w:pPr>
        <w:pStyle w:val="11"/>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年度财政拨款支出</w:t>
      </w:r>
      <w:r>
        <w:rPr>
          <w:rFonts w:ascii="仿宋_GB2312" w:hAnsi="仿宋" w:eastAsia="仿宋_GB2312" w:cs="仿宋_GB2312"/>
          <w:sz w:val="32"/>
          <w:szCs w:val="32"/>
        </w:rPr>
        <w:t>216.55</w:t>
      </w:r>
      <w:r>
        <w:rPr>
          <w:rFonts w:hint="eastAsia" w:ascii="仿宋_GB2312" w:hAnsi="仿宋" w:eastAsia="仿宋_GB2312" w:cs="仿宋_GB2312"/>
          <w:sz w:val="32"/>
          <w:szCs w:val="32"/>
        </w:rPr>
        <w:t>万元，主要用于以下方面：一般公共服务（类）支出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；教育（类）支出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社会保障和就业支出</w:t>
      </w:r>
      <w:r>
        <w:rPr>
          <w:rFonts w:ascii="仿宋_GB2312" w:hAnsi="仿宋" w:eastAsia="仿宋_GB2312" w:cs="仿宋_GB2312"/>
          <w:sz w:val="32"/>
          <w:szCs w:val="32"/>
        </w:rPr>
        <w:t>12.14</w:t>
      </w:r>
      <w:r>
        <w:rPr>
          <w:rFonts w:hint="eastAsia" w:ascii="仿宋_GB2312" w:hAnsi="仿宋" w:eastAsia="仿宋_GB2312" w:cs="仿宋_GB2312"/>
          <w:sz w:val="32"/>
          <w:szCs w:val="32"/>
        </w:rPr>
        <w:t>万元，占</w:t>
      </w:r>
      <w:r>
        <w:rPr>
          <w:rFonts w:ascii="仿宋_GB2312" w:hAnsi="仿宋" w:eastAsia="仿宋_GB2312" w:cs="仿宋_GB2312"/>
          <w:sz w:val="32"/>
          <w:szCs w:val="32"/>
        </w:rPr>
        <w:t>5.61%</w:t>
      </w:r>
      <w:r>
        <w:rPr>
          <w:rFonts w:hint="eastAsia" w:ascii="仿宋_GB2312" w:hAnsi="仿宋" w:eastAsia="仿宋_GB2312" w:cs="仿宋_GB2312"/>
          <w:sz w:val="32"/>
          <w:szCs w:val="32"/>
        </w:rPr>
        <w:t>；卫生健康支出</w:t>
      </w:r>
      <w:r>
        <w:rPr>
          <w:rFonts w:ascii="仿宋_GB2312" w:hAnsi="仿宋" w:eastAsia="仿宋_GB2312" w:cs="仿宋_GB2312"/>
          <w:sz w:val="32"/>
          <w:szCs w:val="32"/>
        </w:rPr>
        <w:t>5.16</w:t>
      </w:r>
      <w:r>
        <w:rPr>
          <w:rFonts w:hint="eastAsia" w:ascii="仿宋_GB2312" w:hAnsi="仿宋" w:eastAsia="仿宋_GB2312" w:cs="仿宋_GB2312"/>
          <w:sz w:val="32"/>
          <w:szCs w:val="32"/>
        </w:rPr>
        <w:t>万元，占</w:t>
      </w:r>
      <w:r>
        <w:rPr>
          <w:rFonts w:ascii="仿宋_GB2312" w:hAnsi="仿宋" w:eastAsia="仿宋_GB2312" w:cs="仿宋_GB2312"/>
          <w:sz w:val="32"/>
          <w:szCs w:val="32"/>
        </w:rPr>
        <w:t>2.38%;</w:t>
      </w:r>
      <w:r>
        <w:rPr>
          <w:rFonts w:hint="eastAsia" w:ascii="仿宋_GB2312" w:hAnsi="仿宋" w:eastAsia="仿宋_GB2312" w:cs="仿宋_GB2312"/>
          <w:sz w:val="32"/>
          <w:szCs w:val="32"/>
        </w:rPr>
        <w:t>节能环保支出</w:t>
      </w:r>
      <w:r>
        <w:rPr>
          <w:rFonts w:ascii="仿宋_GB2312" w:hAnsi="仿宋" w:eastAsia="仿宋_GB2312" w:cs="仿宋_GB2312"/>
          <w:sz w:val="32"/>
          <w:szCs w:val="32"/>
        </w:rPr>
        <w:t>199.25</w:t>
      </w:r>
      <w:r>
        <w:rPr>
          <w:rFonts w:hint="eastAsia" w:ascii="仿宋_GB2312" w:hAnsi="仿宋" w:eastAsia="仿宋_GB2312" w:cs="仿宋_GB2312"/>
          <w:sz w:val="32"/>
          <w:szCs w:val="32"/>
        </w:rPr>
        <w:t>万元，占</w:t>
      </w:r>
      <w:r>
        <w:rPr>
          <w:rFonts w:ascii="仿宋_GB2312" w:hAnsi="仿宋" w:eastAsia="仿宋_GB2312" w:cs="仿宋_GB2312"/>
          <w:sz w:val="32"/>
          <w:szCs w:val="32"/>
        </w:rPr>
        <w:t>92.01%</w:t>
      </w:r>
      <w:r>
        <w:rPr>
          <w:rFonts w:hint="eastAsia" w:ascii="仿宋_GB2312" w:hAnsi="仿宋" w:eastAsia="仿宋_GB2312" w:cs="仿宋_GB2312"/>
          <w:sz w:val="32"/>
          <w:szCs w:val="32"/>
        </w:rPr>
        <w:t>。</w:t>
      </w:r>
    </w:p>
    <w:p>
      <w:pPr>
        <w:pStyle w:val="11"/>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1"/>
        <w:ind w:firstLine="800" w:firstLineChars="25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年度财政拨款支出年初预算数为</w:t>
      </w:r>
      <w:r>
        <w:rPr>
          <w:rFonts w:ascii="仿宋_GB2312" w:hAnsi="仿宋" w:eastAsia="仿宋_GB2312" w:cs="仿宋_GB2312"/>
          <w:sz w:val="32"/>
          <w:szCs w:val="32"/>
        </w:rPr>
        <w:t>205.13</w:t>
      </w:r>
      <w:r>
        <w:rPr>
          <w:rFonts w:hint="eastAsia" w:ascii="仿宋_GB2312" w:hAnsi="仿宋" w:eastAsia="仿宋_GB2312" w:cs="仿宋_GB2312"/>
          <w:sz w:val="32"/>
          <w:szCs w:val="32"/>
        </w:rPr>
        <w:t>万元，支出决算数为</w:t>
      </w:r>
      <w:r>
        <w:rPr>
          <w:rFonts w:ascii="仿宋_GB2312" w:hAnsi="仿宋" w:eastAsia="仿宋_GB2312" w:cs="仿宋_GB2312"/>
          <w:sz w:val="32"/>
          <w:szCs w:val="32"/>
        </w:rPr>
        <w:t>216.55</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105.56%</w:t>
      </w:r>
      <w:r>
        <w:rPr>
          <w:rFonts w:hint="eastAsia" w:ascii="仿宋_GB2312" w:hAnsi="仿宋" w:eastAsia="仿宋_GB2312" w:cs="仿宋_GB2312"/>
          <w:sz w:val="32"/>
          <w:szCs w:val="32"/>
        </w:rPr>
        <w:t>，其中：</w:t>
      </w:r>
    </w:p>
    <w:p>
      <w:pPr>
        <w:pStyle w:val="11"/>
        <w:ind w:firstLine="800" w:firstLineChars="25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、一般公共服务（类）其他一般公共服务支出（款）支出（项）。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pStyle w:val="11"/>
        <w:numPr>
          <w:ilvl w:val="0"/>
          <w:numId w:val="1"/>
        </w:numPr>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教育（类）基础研究支出（款）自然科学基金支出（项）</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、社会保障和就业（类）行政事业养老支出（款）机关事业单位基本养老保险缴费支出（项）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11.15</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11.15</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、社会保障和就业（类）残疾人事业（款）残疾事业支出（项）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0.99</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0.99</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numPr>
          <w:ilvl w:val="0"/>
          <w:numId w:val="2"/>
        </w:num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卫生健康（类）行政事业单位医疗（支出）行政单位医疗（项）</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5.16</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5.16</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、节能环保（类）环境保护管理事务支出（款）其他环境保护管理事物支出（项）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0.91</w:t>
      </w:r>
      <w:r>
        <w:rPr>
          <w:rFonts w:hint="eastAsia" w:ascii="仿宋_GB2312" w:hAnsi="仿宋" w:eastAsia="仿宋_GB2312" w:cs="仿宋_GB2312"/>
          <w:sz w:val="32"/>
          <w:szCs w:val="32"/>
        </w:rPr>
        <w:t>万元，决算数大于年初预算数的主要原因是年初结转结余资金列支。</w:t>
      </w:r>
    </w:p>
    <w:p>
      <w:pPr>
        <w:pStyle w:val="11"/>
        <w:ind w:left="420" w:leftChars="200" w:firstLine="320" w:firstLineChars="1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、节能环保（类）环境保护管理事务支出（款）行政运行（项）</w:t>
      </w:r>
    </w:p>
    <w:p>
      <w:pPr>
        <w:pStyle w:val="11"/>
        <w:ind w:firstLine="800" w:firstLineChars="250"/>
        <w:rPr>
          <w:rFonts w:ascii="仿宋" w:hAnsi="仿宋" w:eastAsia="仿宋"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92.54</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92.54</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ind w:left="420" w:leftChars="200" w:firstLine="320" w:firstLineChars="100"/>
        <w:rPr>
          <w:rFonts w:ascii="仿宋_GB2312" w:hAnsi="仿宋" w:eastAsia="仿宋_GB2312" w:cs="Times New Roman"/>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、节能环保（类）环境监测与监察支出（款）其他环境监测与监察支出（项）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20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20</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ind w:left="420" w:leftChars="200" w:firstLine="320" w:firstLineChars="100"/>
        <w:rPr>
          <w:rFonts w:ascii="仿宋_GB2312" w:hAnsi="仿宋" w:eastAsia="仿宋_GB2312" w:cs="Times New Roman"/>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、节能环保（类）污染防治支出（款）其他污染防治支出（项）</w:t>
      </w:r>
    </w:p>
    <w:p>
      <w:pPr>
        <w:pStyle w:val="11"/>
        <w:ind w:firstLine="800" w:firstLineChars="250"/>
        <w:rPr>
          <w:rFonts w:ascii="仿宋_GB2312" w:hAnsi="仿宋" w:eastAsia="仿宋_GB2312" w:cs="Times New Roman"/>
          <w:color w:val="auto"/>
          <w:sz w:val="32"/>
          <w:szCs w:val="32"/>
        </w:rPr>
      </w:pPr>
      <w:r>
        <w:rPr>
          <w:rFonts w:hint="eastAsia" w:ascii="仿宋_GB2312" w:hAnsi="仿宋" w:eastAsia="仿宋_GB2312" w:cs="仿宋_GB2312"/>
          <w:color w:val="auto"/>
          <w:sz w:val="32"/>
          <w:szCs w:val="32"/>
        </w:rPr>
        <w:t>年初预算为</w:t>
      </w:r>
      <w:r>
        <w:rPr>
          <w:rFonts w:ascii="仿宋_GB2312" w:hAnsi="仿宋" w:eastAsia="仿宋_GB2312" w:cs="仿宋_GB2312"/>
          <w:color w:val="auto"/>
          <w:sz w:val="32"/>
          <w:szCs w:val="32"/>
        </w:rPr>
        <w:t>0</w:t>
      </w:r>
      <w:r>
        <w:rPr>
          <w:rFonts w:hint="eastAsia" w:ascii="仿宋_GB2312" w:hAnsi="仿宋" w:eastAsia="仿宋_GB2312" w:cs="仿宋_GB2312"/>
          <w:color w:val="auto"/>
          <w:sz w:val="32"/>
          <w:szCs w:val="32"/>
        </w:rPr>
        <w:t>万元，支出决算为</w:t>
      </w:r>
      <w:r>
        <w:rPr>
          <w:rFonts w:ascii="仿宋_GB2312" w:hAnsi="仿宋" w:eastAsia="仿宋_GB2312" w:cs="仿宋_GB2312"/>
          <w:color w:val="auto"/>
          <w:sz w:val="32"/>
          <w:szCs w:val="32"/>
        </w:rPr>
        <w:t>8.99</w:t>
      </w:r>
      <w:r>
        <w:rPr>
          <w:rFonts w:hint="eastAsia" w:ascii="仿宋_GB2312" w:hAnsi="仿宋" w:eastAsia="仿宋_GB2312" w:cs="仿宋_GB2312"/>
          <w:color w:val="auto"/>
          <w:sz w:val="32"/>
          <w:szCs w:val="32"/>
        </w:rPr>
        <w:t>万元，决算数大于年初预算数的主要原因是年初结转列支相应污染防治项目。</w:t>
      </w:r>
    </w:p>
    <w:p>
      <w:pPr>
        <w:pStyle w:val="11"/>
        <w:ind w:left="420" w:leftChars="200" w:firstLine="320" w:firstLineChars="100"/>
        <w:rPr>
          <w:rFonts w:ascii="仿宋_GB2312" w:hAnsi="仿宋" w:eastAsia="仿宋_GB2312" w:cs="Times New Roman"/>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、节能环保（类）污染减排支出（款）生态环境执法监察支出（项）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25</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21.01</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84.04%</w:t>
      </w:r>
      <w:r>
        <w:rPr>
          <w:rFonts w:hint="eastAsia" w:ascii="仿宋_GB2312" w:hAnsi="仿宋" w:eastAsia="仿宋_GB2312" w:cs="仿宋_GB2312"/>
          <w:sz w:val="32"/>
          <w:szCs w:val="32"/>
        </w:rPr>
        <w:t>。</w:t>
      </w:r>
      <w:r>
        <w:rPr>
          <w:rFonts w:hint="eastAsia" w:ascii="仿宋_GB2312" w:hAnsi="仿宋" w:eastAsia="仿宋_GB2312" w:cs="仿宋_GB2312"/>
          <w:color w:val="auto"/>
          <w:sz w:val="32"/>
          <w:szCs w:val="32"/>
        </w:rPr>
        <w:t>决算数小于年初预算数的主要原因是项目未完成，造成经费结转至下年。</w:t>
      </w:r>
    </w:p>
    <w:p>
      <w:pPr>
        <w:pStyle w:val="11"/>
        <w:numPr>
          <w:ilvl w:val="0"/>
          <w:numId w:val="3"/>
        </w:numPr>
        <w:ind w:left="420" w:leftChars="200" w:firstLine="320" w:firstLineChars="100"/>
        <w:rPr>
          <w:rFonts w:ascii="仿宋_GB2312" w:hAnsi="仿宋" w:eastAsia="仿宋_GB2312" w:cs="Times New Roman"/>
          <w:sz w:val="32"/>
          <w:szCs w:val="32"/>
        </w:rPr>
      </w:pPr>
      <w:r>
        <w:rPr>
          <w:rFonts w:hint="eastAsia" w:ascii="仿宋_GB2312" w:hAnsi="仿宋" w:eastAsia="仿宋_GB2312" w:cs="仿宋_GB2312"/>
          <w:sz w:val="32"/>
          <w:szCs w:val="32"/>
        </w:rPr>
        <w:t>节能环保（类）污染减排支出（款）减排专项支出（项）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w:t>
      </w:r>
      <w:r>
        <w:rPr>
          <w:rFonts w:ascii="仿宋_GB2312" w:hAnsi="仿宋" w:eastAsia="仿宋_GB2312" w:cs="仿宋_GB2312"/>
          <w:sz w:val="32"/>
          <w:szCs w:val="32"/>
        </w:rPr>
        <w:t>13.5</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13.5</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pStyle w:val="11"/>
        <w:ind w:left="420" w:leftChars="200" w:firstLine="320" w:firstLineChars="100"/>
        <w:rPr>
          <w:rFonts w:ascii="仿宋_GB2312" w:hAnsi="仿宋" w:eastAsia="仿宋_GB2312" w:cs="Times New Roman"/>
          <w:sz w:val="32"/>
          <w:szCs w:val="32"/>
        </w:rPr>
      </w:pPr>
      <w:r>
        <w:rPr>
          <w:rFonts w:ascii="仿宋_GB2312" w:hAnsi="仿宋" w:eastAsia="仿宋_GB2312" w:cs="仿宋_GB2312"/>
          <w:sz w:val="32"/>
          <w:szCs w:val="32"/>
        </w:rPr>
        <w:t>12</w:t>
      </w:r>
      <w:r>
        <w:rPr>
          <w:rFonts w:hint="eastAsia" w:ascii="仿宋_GB2312" w:hAnsi="仿宋" w:eastAsia="仿宋_GB2312" w:cs="仿宋_GB2312"/>
          <w:sz w:val="32"/>
          <w:szCs w:val="32"/>
        </w:rPr>
        <w:t>、节能环保（类）其他节能环保支出（款）其他节能环保支出（项）</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年初预算为</w:t>
      </w:r>
      <w:r>
        <w:rPr>
          <w:rFonts w:ascii="仿宋_GB2312" w:hAnsi="仿宋" w:eastAsia="仿宋_GB2312" w:cs="仿宋_GB2312"/>
          <w:sz w:val="32"/>
          <w:szCs w:val="32"/>
        </w:rPr>
        <w:t>36.79</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42.29</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114.95%</w:t>
      </w:r>
      <w:r>
        <w:rPr>
          <w:rFonts w:hint="eastAsia" w:ascii="仿宋_GB2312" w:hAnsi="仿宋" w:eastAsia="仿宋_GB2312" w:cs="仿宋_GB2312"/>
          <w:sz w:val="32"/>
          <w:szCs w:val="32"/>
        </w:rPr>
        <w:t>。</w:t>
      </w:r>
      <w:r>
        <w:rPr>
          <w:rFonts w:hint="eastAsia" w:ascii="仿宋_GB2312" w:hAnsi="仿宋" w:eastAsia="仿宋_GB2312" w:cs="仿宋_GB2312"/>
          <w:color w:val="auto"/>
          <w:sz w:val="32"/>
          <w:szCs w:val="32"/>
        </w:rPr>
        <w:t>决算数大于年初预算数的主要原因是</w:t>
      </w:r>
      <w:r>
        <w:rPr>
          <w:rFonts w:hint="eastAsia" w:ascii="仿宋_GB2312" w:hAnsi="仿宋" w:eastAsia="仿宋_GB2312" w:cs="仿宋_GB2312"/>
          <w:sz w:val="32"/>
          <w:szCs w:val="32"/>
        </w:rPr>
        <w:t>追加年终绩效奖、平安建设奖金等列支。</w:t>
      </w:r>
    </w:p>
    <w:p>
      <w:pPr>
        <w:pStyle w:val="11"/>
        <w:ind w:firstLine="320" w:firstLineChars="100"/>
        <w:rPr>
          <w:rFonts w:hAnsi="黑体" w:cs="Times New Roman"/>
          <w:b/>
          <w:bCs/>
          <w:sz w:val="32"/>
          <w:szCs w:val="32"/>
        </w:rPr>
      </w:pPr>
      <w:r>
        <w:rPr>
          <w:rFonts w:hint="eastAsia" w:hAnsi="黑体"/>
          <w:b/>
          <w:bCs/>
          <w:sz w:val="32"/>
          <w:szCs w:val="32"/>
        </w:rPr>
        <w:t>六、一般公共预算财政拨款基本支出决算情况说明</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年度财政拨款基本支出</w:t>
      </w:r>
      <w:r>
        <w:rPr>
          <w:rFonts w:ascii="仿宋_GB2312" w:hAnsi="仿宋" w:eastAsia="仿宋_GB2312" w:cs="仿宋_GB2312"/>
          <w:sz w:val="32"/>
          <w:szCs w:val="32"/>
        </w:rPr>
        <w:t>153.04</w:t>
      </w:r>
      <w:r>
        <w:rPr>
          <w:rFonts w:hint="eastAsia" w:ascii="仿宋_GB2312" w:hAnsi="仿宋" w:eastAsia="仿宋_GB2312" w:cs="仿宋_GB2312"/>
          <w:sz w:val="32"/>
          <w:szCs w:val="32"/>
        </w:rPr>
        <w:t>万元，其中：人员经费</w:t>
      </w:r>
      <w:r>
        <w:rPr>
          <w:rFonts w:ascii="仿宋_GB2312" w:hAnsi="仿宋" w:eastAsia="仿宋_GB2312" w:cs="仿宋_GB2312"/>
          <w:sz w:val="32"/>
          <w:szCs w:val="32"/>
        </w:rPr>
        <w:t>129.29</w:t>
      </w:r>
      <w:r>
        <w:rPr>
          <w:rFonts w:hint="eastAsia" w:ascii="仿宋_GB2312" w:hAnsi="仿宋" w:eastAsia="仿宋_GB2312" w:cs="仿宋_GB2312"/>
          <w:sz w:val="32"/>
          <w:szCs w:val="32"/>
        </w:rPr>
        <w:t>万元，占基本支出的</w:t>
      </w:r>
      <w:r>
        <w:rPr>
          <w:rFonts w:ascii="仿宋_GB2312" w:hAnsi="仿宋" w:eastAsia="仿宋_GB2312" w:cs="仿宋_GB2312"/>
          <w:sz w:val="32"/>
          <w:szCs w:val="32"/>
        </w:rPr>
        <w:t>84.48%,</w:t>
      </w:r>
      <w:r>
        <w:rPr>
          <w:rFonts w:hint="eastAsia" w:ascii="仿宋_GB2312" w:hAnsi="仿宋" w:eastAsia="仿宋_GB2312" w:cs="仿宋_GB2312"/>
          <w:sz w:val="32"/>
          <w:szCs w:val="32"/>
        </w:rPr>
        <w:t>主要包括基本工资、津贴补贴、奖金、机关事业单位基本养老保险缴费、职工基本医疗保险缴费、其他社会保障缴费、住房公积金、医疗费；公用经费</w:t>
      </w:r>
      <w:r>
        <w:rPr>
          <w:rFonts w:ascii="仿宋_GB2312" w:hAnsi="仿宋" w:eastAsia="仿宋_GB2312" w:cs="仿宋_GB2312"/>
          <w:sz w:val="32"/>
          <w:szCs w:val="32"/>
        </w:rPr>
        <w:t>23.75</w:t>
      </w:r>
      <w:r>
        <w:rPr>
          <w:rFonts w:hint="eastAsia" w:ascii="仿宋_GB2312" w:hAnsi="仿宋" w:eastAsia="仿宋_GB2312" w:cs="仿宋_GB2312"/>
          <w:sz w:val="32"/>
          <w:szCs w:val="32"/>
        </w:rPr>
        <w:t>万元，占基本支出的</w:t>
      </w:r>
      <w:r>
        <w:rPr>
          <w:rFonts w:ascii="仿宋_GB2312" w:hAnsi="仿宋" w:eastAsia="仿宋_GB2312" w:cs="仿宋_GB2312"/>
          <w:sz w:val="32"/>
          <w:szCs w:val="32"/>
        </w:rPr>
        <w:t>15.52%</w:t>
      </w:r>
      <w:r>
        <w:rPr>
          <w:rFonts w:hint="eastAsia" w:ascii="仿宋_GB2312" w:hAnsi="仿宋" w:eastAsia="仿宋_GB2312" w:cs="仿宋_GB2312"/>
          <w:sz w:val="32"/>
          <w:szCs w:val="32"/>
        </w:rPr>
        <w:t>，主要包括办公费、印刷费、咨询费、电费、物业管理费、差旅费、维修（护）费、公务接待费、专用材料费、劳务费、工会经费、公务用车维护费、其他交通费、其他商品和服务支出。</w:t>
      </w:r>
    </w:p>
    <w:p>
      <w:pPr>
        <w:pStyle w:val="11"/>
        <w:ind w:firstLine="320" w:firstLineChars="100"/>
        <w:rPr>
          <w:rFonts w:hAnsi="黑体" w:cs="Times New Roman"/>
          <w:b/>
          <w:bCs/>
          <w:sz w:val="32"/>
          <w:szCs w:val="32"/>
        </w:rPr>
      </w:pPr>
      <w:r>
        <w:rPr>
          <w:rFonts w:hint="eastAsia" w:hAnsi="黑体"/>
          <w:b/>
          <w:bCs/>
          <w:sz w:val="32"/>
          <w:szCs w:val="32"/>
        </w:rPr>
        <w:t>七、一般公共预算财政拨款三公经费支出决算情况说明</w:t>
      </w:r>
    </w:p>
    <w:p>
      <w:pPr>
        <w:pStyle w:val="11"/>
        <w:ind w:firstLine="320" w:firstLineChars="100"/>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1"/>
        <w:ind w:firstLine="800" w:firstLineChars="250"/>
        <w:rPr>
          <w:rFonts w:ascii="仿宋_GB2312" w:hAnsi="仿宋" w:eastAsia="仿宋_GB2312" w:cs="Times New Roman"/>
          <w:sz w:val="32"/>
          <w:szCs w:val="32"/>
        </w:rPr>
      </w:pPr>
      <w:r>
        <w:rPr>
          <w:rFonts w:hint="eastAsia" w:ascii="仿宋" w:hAnsi="仿宋" w:eastAsia="仿宋" w:cs="仿宋"/>
          <w:sz w:val="32"/>
          <w:szCs w:val="32"/>
        </w:rPr>
        <w:t>“</w:t>
      </w:r>
      <w:r>
        <w:rPr>
          <w:rFonts w:hint="eastAsia" w:ascii="仿宋_GB2312" w:hAnsi="仿宋" w:eastAsia="仿宋_GB2312" w:cs="仿宋_GB2312"/>
          <w:sz w:val="32"/>
          <w:szCs w:val="32"/>
        </w:rPr>
        <w:t>三公”经费财政拨款支出预算为</w:t>
      </w:r>
      <w:r>
        <w:rPr>
          <w:rFonts w:ascii="仿宋_GB2312" w:hAnsi="仿宋" w:eastAsia="仿宋_GB2312" w:cs="仿宋_GB2312"/>
          <w:sz w:val="32"/>
          <w:szCs w:val="32"/>
        </w:rPr>
        <w:t>15</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7.21</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48.06%</w:t>
      </w:r>
      <w:r>
        <w:rPr>
          <w:rFonts w:hint="eastAsia" w:ascii="仿宋_GB2312" w:hAnsi="仿宋" w:eastAsia="仿宋_GB2312" w:cs="仿宋_GB2312"/>
          <w:sz w:val="32"/>
          <w:szCs w:val="32"/>
        </w:rPr>
        <w:t>，其中：</w:t>
      </w:r>
    </w:p>
    <w:p>
      <w:pPr>
        <w:pStyle w:val="11"/>
        <w:ind w:firstLine="800" w:firstLineChars="250"/>
        <w:rPr>
          <w:rFonts w:ascii="仿宋_GB2312" w:hAnsi="仿宋_GB2312" w:eastAsia="仿宋_GB2312" w:cs="Times New Roman"/>
          <w:sz w:val="32"/>
          <w:szCs w:val="32"/>
        </w:rPr>
      </w:pPr>
      <w:r>
        <w:rPr>
          <w:rFonts w:hint="eastAsia" w:ascii="仿宋_GB2312" w:hAnsi="仿宋" w:eastAsia="仿宋_GB2312" w:cs="仿宋_GB2312"/>
          <w:sz w:val="32"/>
          <w:szCs w:val="32"/>
        </w:rPr>
        <w:t>因公出国（境）费支出预算为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r>
        <w:rPr>
          <w:rFonts w:hint="eastAsia" w:ascii="仿宋_GB2312" w:hAnsi="仿宋_GB2312" w:eastAsia="仿宋_GB2312" w:cs="仿宋_GB2312"/>
          <w:sz w:val="32"/>
          <w:szCs w:val="32"/>
        </w:rPr>
        <w:t>完成预算的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，与上年相比减少（增加）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万元，减少（增长）</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11"/>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公务接待费支出预算为</w:t>
      </w:r>
      <w:r>
        <w:rPr>
          <w:rFonts w:ascii="仿宋_GB2312" w:hAnsi="仿宋" w:eastAsia="仿宋_GB2312" w:cs="仿宋_GB2312"/>
          <w:sz w:val="32"/>
          <w:szCs w:val="32"/>
        </w:rPr>
        <w:t>5</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1.28</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25.6%</w:t>
      </w:r>
      <w:r>
        <w:rPr>
          <w:rFonts w:hint="eastAsia" w:ascii="仿宋_GB2312" w:hAnsi="仿宋" w:eastAsia="仿宋_GB2312" w:cs="仿宋_GB2312"/>
          <w:sz w:val="32"/>
          <w:szCs w:val="32"/>
        </w:rPr>
        <w:t>，决算数（小于）预算数的主要原因是认真贯彻落实中央、省、市“八九九规定”精神和厉行节约要求，从严控制“三公”经费支出，全年实际支出比预算有所节约。与上年相比减少</w:t>
      </w:r>
      <w:r>
        <w:rPr>
          <w:rFonts w:ascii="仿宋_GB2312" w:hAnsi="仿宋" w:eastAsia="仿宋_GB2312" w:cs="仿宋_GB2312"/>
          <w:sz w:val="32"/>
          <w:szCs w:val="32"/>
        </w:rPr>
        <w:t>0.04</w:t>
      </w:r>
      <w:r>
        <w:rPr>
          <w:rFonts w:hint="eastAsia" w:ascii="仿宋_GB2312" w:hAnsi="仿宋" w:eastAsia="仿宋_GB2312" w:cs="仿宋_GB2312"/>
          <w:sz w:val="32"/>
          <w:szCs w:val="32"/>
        </w:rPr>
        <w:t>万元，减少</w:t>
      </w:r>
      <w:r>
        <w:rPr>
          <w:rFonts w:ascii="仿宋_GB2312" w:hAnsi="仿宋" w:eastAsia="仿宋_GB2312" w:cs="仿宋_GB2312"/>
          <w:sz w:val="32"/>
          <w:szCs w:val="32"/>
        </w:rPr>
        <w:t>3.03%,</w:t>
      </w:r>
      <w:r>
        <w:rPr>
          <w:rFonts w:hint="eastAsia" w:ascii="仿宋_GB2312" w:hAnsi="仿宋" w:eastAsia="仿宋_GB2312" w:cs="仿宋_GB2312"/>
          <w:sz w:val="32"/>
          <w:szCs w:val="32"/>
        </w:rPr>
        <w:t>减少的主要原因是认真贯彻落实中央、省、市“八九九规定”精神和厉行节约要求，从严控制“三公”经费开支，全年支出比上年有所压减。</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公务用车购置费及运行维护费支出预算为</w:t>
      </w:r>
      <w:r>
        <w:rPr>
          <w:rFonts w:ascii="仿宋_GB2312" w:hAnsi="仿宋" w:eastAsia="仿宋_GB2312" w:cs="仿宋_GB2312"/>
          <w:sz w:val="32"/>
          <w:szCs w:val="32"/>
        </w:rPr>
        <w:t>10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5.93</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59.3%</w:t>
      </w:r>
      <w:r>
        <w:rPr>
          <w:rFonts w:hint="eastAsia" w:ascii="仿宋_GB2312" w:hAnsi="仿宋" w:eastAsia="仿宋_GB2312" w:cs="仿宋_GB2312"/>
          <w:sz w:val="32"/>
          <w:szCs w:val="32"/>
        </w:rPr>
        <w:t>，决算数小于预算数的主要原因是认真贯彻落实中央、省、市“八九九规定”精神和厉行节约要求，从严控制“三公”经费支出，全年实际支出比预算有所节约，与上年相比减少</w:t>
      </w:r>
      <w:r>
        <w:rPr>
          <w:rFonts w:ascii="仿宋_GB2312" w:hAnsi="仿宋" w:eastAsia="仿宋_GB2312" w:cs="仿宋_GB2312"/>
          <w:sz w:val="32"/>
          <w:szCs w:val="32"/>
        </w:rPr>
        <w:t>0.21</w:t>
      </w:r>
      <w:r>
        <w:rPr>
          <w:rFonts w:hint="eastAsia" w:ascii="仿宋_GB2312" w:hAnsi="仿宋" w:eastAsia="仿宋_GB2312" w:cs="仿宋_GB2312"/>
          <w:sz w:val="32"/>
          <w:szCs w:val="32"/>
        </w:rPr>
        <w:t>万元，减少</w:t>
      </w:r>
      <w:r>
        <w:rPr>
          <w:rFonts w:ascii="仿宋_GB2312" w:hAnsi="仿宋" w:eastAsia="仿宋_GB2312" w:cs="仿宋_GB2312"/>
          <w:sz w:val="32"/>
          <w:szCs w:val="32"/>
        </w:rPr>
        <w:t>3.42%,</w:t>
      </w:r>
      <w:r>
        <w:rPr>
          <w:rFonts w:hint="eastAsia" w:ascii="仿宋_GB2312" w:hAnsi="仿宋" w:eastAsia="仿宋_GB2312" w:cs="仿宋_GB2312"/>
          <w:sz w:val="32"/>
          <w:szCs w:val="32"/>
        </w:rPr>
        <w:t>减少的主要原因是认真贯彻落实中央、省、市“八九九规定”精神和厉行节约要求，从严控制“三公”经费开支，全年支出比上年有所压减。</w:t>
      </w:r>
    </w:p>
    <w:p>
      <w:pPr>
        <w:pStyle w:val="11"/>
        <w:ind w:firstLine="640" w:firstLineChars="200"/>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年度“三公”经费财政拨款支出决算中，公务接待费支出决算</w:t>
      </w:r>
      <w:r>
        <w:rPr>
          <w:rFonts w:ascii="仿宋_GB2312" w:hAnsi="仿宋" w:eastAsia="仿宋_GB2312" w:cs="仿宋_GB2312"/>
          <w:sz w:val="32"/>
          <w:szCs w:val="32"/>
        </w:rPr>
        <w:t>1.28</w:t>
      </w:r>
      <w:r>
        <w:rPr>
          <w:rFonts w:hint="eastAsia" w:ascii="仿宋_GB2312" w:hAnsi="仿宋" w:eastAsia="仿宋_GB2312" w:cs="仿宋_GB2312"/>
          <w:sz w:val="32"/>
          <w:szCs w:val="32"/>
        </w:rPr>
        <w:t>万元，占</w:t>
      </w:r>
      <w:r>
        <w:rPr>
          <w:rFonts w:ascii="仿宋_GB2312" w:hAnsi="仿宋" w:eastAsia="仿宋_GB2312" w:cs="仿宋_GB2312"/>
          <w:sz w:val="32"/>
          <w:szCs w:val="32"/>
        </w:rPr>
        <w:t>17.75%,</w:t>
      </w:r>
      <w:r>
        <w:rPr>
          <w:rFonts w:hint="eastAsia" w:ascii="仿宋_GB2312" w:hAnsi="仿宋" w:eastAsia="仿宋_GB2312" w:cs="仿宋_GB2312"/>
          <w:sz w:val="32"/>
          <w:szCs w:val="32"/>
        </w:rPr>
        <w:t>因公出国（境）费支出决算</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公务用车购置费及运行维护费支出决算</w:t>
      </w:r>
      <w:r>
        <w:rPr>
          <w:rFonts w:ascii="仿宋_GB2312" w:hAnsi="仿宋" w:eastAsia="仿宋_GB2312" w:cs="仿宋_GB2312"/>
          <w:sz w:val="32"/>
          <w:szCs w:val="32"/>
        </w:rPr>
        <w:t>5.93</w:t>
      </w:r>
      <w:r>
        <w:rPr>
          <w:rFonts w:hint="eastAsia" w:ascii="仿宋_GB2312" w:hAnsi="仿宋" w:eastAsia="仿宋_GB2312" w:cs="仿宋_GB2312"/>
          <w:sz w:val="32"/>
          <w:szCs w:val="32"/>
        </w:rPr>
        <w:t>万元，占</w:t>
      </w:r>
      <w:r>
        <w:rPr>
          <w:rFonts w:ascii="仿宋_GB2312" w:hAnsi="仿宋" w:eastAsia="仿宋_GB2312" w:cs="仿宋_GB2312"/>
          <w:sz w:val="32"/>
          <w:szCs w:val="32"/>
        </w:rPr>
        <w:t>0.82%</w:t>
      </w:r>
      <w:r>
        <w:rPr>
          <w:rFonts w:hint="eastAsia" w:ascii="仿宋_GB2312" w:hAnsi="仿宋" w:eastAsia="仿宋_GB2312" w:cs="仿宋_GB2312"/>
          <w:sz w:val="32"/>
          <w:szCs w:val="32"/>
        </w:rPr>
        <w:t>。其中：</w:t>
      </w:r>
    </w:p>
    <w:p>
      <w:pPr>
        <w:pStyle w:val="11"/>
        <w:ind w:firstLine="640" w:firstLineChars="200"/>
        <w:rPr>
          <w:rFonts w:ascii="仿宋_GB2312" w:hAnsi="仿宋" w:eastAsia="仿宋_GB2312" w:cs="Times New Roman"/>
          <w:b/>
          <w:bCs/>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、因公出国（境）费支出决算为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万元，全年安排因公出国（境）团组</w:t>
      </w:r>
      <w:r>
        <w:rPr>
          <w:rFonts w:ascii="仿宋_GB2312" w:hAnsi="仿宋" w:eastAsia="仿宋_GB2312" w:cs="仿宋_GB2312"/>
          <w:sz w:val="32"/>
          <w:szCs w:val="32"/>
        </w:rPr>
        <w:t>0</w:t>
      </w:r>
      <w:r>
        <w:rPr>
          <w:rFonts w:hint="eastAsia" w:ascii="仿宋_GB2312" w:hAnsi="仿宋" w:eastAsia="仿宋_GB2312" w:cs="仿宋_GB2312"/>
          <w:sz w:val="32"/>
          <w:szCs w:val="32"/>
        </w:rPr>
        <w:t>个，累计</w:t>
      </w:r>
      <w:r>
        <w:rPr>
          <w:rFonts w:ascii="仿宋_GB2312" w:hAnsi="仿宋" w:eastAsia="仿宋_GB2312" w:cs="仿宋_GB2312"/>
          <w:sz w:val="32"/>
          <w:szCs w:val="32"/>
        </w:rPr>
        <w:t>0</w:t>
      </w:r>
      <w:r>
        <w:rPr>
          <w:rFonts w:hint="eastAsia" w:ascii="仿宋_GB2312" w:hAnsi="仿宋" w:eastAsia="仿宋_GB2312" w:cs="仿宋_GB2312"/>
          <w:sz w:val="32"/>
          <w:szCs w:val="32"/>
        </w:rPr>
        <w:t>人次。</w:t>
      </w:r>
    </w:p>
    <w:p>
      <w:pPr>
        <w:pStyle w:val="11"/>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、公务接待费支出决算为</w:t>
      </w:r>
      <w:r>
        <w:rPr>
          <w:rFonts w:ascii="仿宋_GB2312" w:hAnsi="仿宋" w:eastAsia="仿宋_GB2312" w:cs="仿宋_GB2312"/>
          <w:sz w:val="32"/>
          <w:szCs w:val="32"/>
        </w:rPr>
        <w:t>1.28</w:t>
      </w:r>
      <w:r>
        <w:rPr>
          <w:rFonts w:hint="eastAsia" w:ascii="仿宋_GB2312" w:hAnsi="仿宋" w:eastAsia="仿宋_GB2312" w:cs="仿宋_GB2312"/>
          <w:sz w:val="32"/>
          <w:szCs w:val="32"/>
        </w:rPr>
        <w:t>万元，全年共接待来访团组</w:t>
      </w:r>
      <w:r>
        <w:rPr>
          <w:rFonts w:ascii="仿宋_GB2312" w:hAnsi="仿宋" w:eastAsia="仿宋_GB2312" w:cs="仿宋_GB2312"/>
          <w:sz w:val="32"/>
          <w:szCs w:val="32"/>
        </w:rPr>
        <w:t>36</w:t>
      </w:r>
      <w:r>
        <w:rPr>
          <w:rFonts w:hint="eastAsia" w:ascii="仿宋_GB2312" w:hAnsi="仿宋" w:eastAsia="仿宋_GB2312" w:cs="仿宋_GB2312"/>
          <w:sz w:val="32"/>
          <w:szCs w:val="32"/>
        </w:rPr>
        <w:t>个、来宾</w:t>
      </w:r>
      <w:r>
        <w:rPr>
          <w:rFonts w:ascii="仿宋_GB2312" w:hAnsi="仿宋" w:eastAsia="仿宋_GB2312" w:cs="仿宋_GB2312"/>
          <w:sz w:val="32"/>
          <w:szCs w:val="32"/>
        </w:rPr>
        <w:t>300</w:t>
      </w:r>
      <w:r>
        <w:rPr>
          <w:rFonts w:hint="eastAsia" w:ascii="仿宋_GB2312" w:hAnsi="仿宋" w:eastAsia="仿宋_GB2312" w:cs="仿宋_GB2312"/>
          <w:sz w:val="32"/>
          <w:szCs w:val="32"/>
        </w:rPr>
        <w:t>人次，主要是用于与有关单位工作交流及接受相关部门督察、检查及指导工作发生的接待支出。</w:t>
      </w:r>
    </w:p>
    <w:p>
      <w:pPr>
        <w:ind w:firstLine="800" w:firstLineChars="250"/>
        <w:rPr>
          <w:rFonts w:ascii="仿宋_GB2312" w:hAnsi="仿宋" w:eastAsia="仿宋_GB2312" w:cs="Times New Roman"/>
          <w:color w:val="000000"/>
          <w:kern w:val="0"/>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、公务用车购置费及运行维护费支出决算为</w:t>
      </w:r>
      <w:r>
        <w:rPr>
          <w:rFonts w:ascii="仿宋_GB2312" w:hAnsi="仿宋" w:eastAsia="仿宋_GB2312" w:cs="仿宋_GB2312"/>
          <w:sz w:val="32"/>
          <w:szCs w:val="32"/>
        </w:rPr>
        <w:t>5.93</w:t>
      </w:r>
      <w:r>
        <w:rPr>
          <w:rFonts w:hint="eastAsia" w:ascii="仿宋_GB2312" w:hAnsi="仿宋" w:eastAsia="仿宋_GB2312" w:cs="仿宋_GB2312"/>
          <w:sz w:val="32"/>
          <w:szCs w:val="32"/>
        </w:rPr>
        <w:t>万元，其中：公务用车购置费</w:t>
      </w:r>
      <w:r>
        <w:rPr>
          <w:rFonts w:ascii="仿宋_GB2312" w:hAnsi="仿宋" w:eastAsia="仿宋_GB2312" w:cs="仿宋_GB2312"/>
          <w:sz w:val="32"/>
          <w:szCs w:val="32"/>
        </w:rPr>
        <w:t>0</w:t>
      </w:r>
      <w:r>
        <w:rPr>
          <w:rFonts w:hint="eastAsia" w:ascii="仿宋_GB2312" w:hAnsi="仿宋" w:eastAsia="仿宋_GB2312" w:cs="仿宋_GB2312"/>
          <w:sz w:val="32"/>
          <w:szCs w:val="32"/>
        </w:rPr>
        <w:t>万元，公务用车运行维护费</w:t>
      </w:r>
      <w:r>
        <w:rPr>
          <w:rFonts w:ascii="仿宋_GB2312" w:hAnsi="仿宋" w:eastAsia="仿宋_GB2312" w:cs="仿宋_GB2312"/>
          <w:sz w:val="32"/>
          <w:szCs w:val="32"/>
        </w:rPr>
        <w:t>5.93</w:t>
      </w:r>
      <w:r>
        <w:rPr>
          <w:rFonts w:hint="eastAsia" w:ascii="仿宋_GB2312" w:hAnsi="仿宋" w:eastAsia="仿宋_GB2312" w:cs="仿宋_GB2312"/>
          <w:sz w:val="32"/>
          <w:szCs w:val="32"/>
        </w:rPr>
        <w:t>万元，主要是按规定保留的公务用车的燃料、维修费、洗车费、保险费、安全奖励费用等支出，截止</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日，我单位开支财政拨款的公务用车保有量为</w:t>
      </w:r>
      <w:r>
        <w:rPr>
          <w:rFonts w:ascii="仿宋_GB2312" w:hAnsi="仿宋" w:eastAsia="仿宋_GB2312" w:cs="仿宋_GB2312"/>
          <w:sz w:val="32"/>
          <w:szCs w:val="32"/>
        </w:rPr>
        <w:t>1</w:t>
      </w:r>
      <w:r>
        <w:rPr>
          <w:rFonts w:hint="eastAsia" w:ascii="仿宋_GB2312" w:hAnsi="仿宋" w:eastAsia="仿宋_GB2312" w:cs="仿宋_GB2312"/>
          <w:sz w:val="32"/>
          <w:szCs w:val="32"/>
        </w:rPr>
        <w:t>辆。</w:t>
      </w:r>
    </w:p>
    <w:p>
      <w:pPr>
        <w:pStyle w:val="11"/>
        <w:ind w:firstLine="320" w:firstLineChars="100"/>
        <w:rPr>
          <w:rFonts w:hAnsi="黑体" w:cs="Times New Roman"/>
          <w:b/>
          <w:bCs/>
          <w:sz w:val="32"/>
          <w:szCs w:val="32"/>
        </w:rPr>
      </w:pPr>
      <w:r>
        <w:rPr>
          <w:rFonts w:hint="eastAsia" w:hAnsi="黑体"/>
          <w:b/>
          <w:bCs/>
          <w:sz w:val="32"/>
          <w:szCs w:val="32"/>
        </w:rPr>
        <w:t>八、政府性基金预算收入支出决算情况</w:t>
      </w:r>
    </w:p>
    <w:p>
      <w:pPr>
        <w:pStyle w:val="11"/>
        <w:ind w:firstLine="640" w:firstLineChars="200"/>
        <w:rPr>
          <w:rFonts w:ascii="仿宋_GB2312" w:hAnsi="宋体"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年本单位没有使用政府性基金预算拨款安排的收支。</w:t>
      </w:r>
    </w:p>
    <w:p>
      <w:pPr>
        <w:pStyle w:val="11"/>
        <w:ind w:firstLine="320" w:firstLineChars="100"/>
        <w:rPr>
          <w:rFonts w:hAnsi="黑体" w:cs="Times New Roman"/>
          <w:b/>
          <w:bCs/>
          <w:sz w:val="32"/>
          <w:szCs w:val="32"/>
        </w:rPr>
      </w:pPr>
      <w:r>
        <w:rPr>
          <w:rFonts w:hint="eastAsia" w:hAnsi="黑体"/>
          <w:b/>
          <w:bCs/>
          <w:sz w:val="32"/>
          <w:szCs w:val="32"/>
        </w:rPr>
        <w:t>九、国有资本经营预算财政拨款支出决算情况</w:t>
      </w:r>
    </w:p>
    <w:p>
      <w:pPr>
        <w:pStyle w:val="11"/>
        <w:ind w:firstLine="640" w:firstLineChars="200"/>
        <w:rPr>
          <w:rFonts w:ascii="仿宋_GB2312" w:hAnsi="仿宋" w:eastAsia="仿宋_GB2312" w:cs="Times New Roman"/>
          <w:b/>
          <w:bCs/>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年度本单位无国有资本经营预算财政拨款支出。</w:t>
      </w:r>
    </w:p>
    <w:p>
      <w:pPr>
        <w:pStyle w:val="11"/>
        <w:ind w:firstLine="320" w:firstLineChars="100"/>
        <w:rPr>
          <w:rFonts w:hAnsi="黑体" w:cs="Times New Roman"/>
          <w:b/>
          <w:bCs/>
          <w:sz w:val="32"/>
          <w:szCs w:val="32"/>
        </w:rPr>
      </w:pPr>
      <w:r>
        <w:rPr>
          <w:rFonts w:hint="eastAsia" w:hAnsi="黑体"/>
          <w:b/>
          <w:bCs/>
          <w:sz w:val="32"/>
          <w:szCs w:val="32"/>
        </w:rPr>
        <w:t>十、关于机关运行经费支出说明</w:t>
      </w:r>
    </w:p>
    <w:p>
      <w:pPr>
        <w:pStyle w:val="11"/>
        <w:ind w:firstLine="640" w:firstLineChars="200"/>
        <w:rPr>
          <w:rFonts w:ascii="仿宋_GB2312" w:hAnsi="仿宋" w:eastAsia="仿宋_GB2312" w:cs="Times New Roman"/>
          <w:color w:val="0000FF"/>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2020</w:t>
      </w:r>
      <w:r>
        <w:rPr>
          <w:rFonts w:hint="eastAsia" w:ascii="仿宋_GB2312" w:hAnsi="仿宋" w:eastAsia="仿宋_GB2312" w:cs="仿宋_GB2312"/>
          <w:sz w:val="32"/>
          <w:szCs w:val="32"/>
        </w:rPr>
        <w:t>年度机关运行经费支出</w:t>
      </w:r>
      <w:r>
        <w:rPr>
          <w:rFonts w:ascii="仿宋_GB2312" w:hAnsi="仿宋" w:eastAsia="仿宋_GB2312" w:cs="仿宋_GB2312"/>
          <w:sz w:val="32"/>
          <w:szCs w:val="32"/>
        </w:rPr>
        <w:t>23.75</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比年初预算数增加</w:t>
      </w:r>
      <w:r>
        <w:rPr>
          <w:rFonts w:ascii="仿宋_GB2312" w:hAnsi="仿宋" w:eastAsia="仿宋_GB2312" w:cs="仿宋_GB2312"/>
          <w:sz w:val="32"/>
          <w:szCs w:val="32"/>
        </w:rPr>
        <w:t>0.91</w:t>
      </w:r>
      <w:r>
        <w:rPr>
          <w:rFonts w:hint="eastAsia" w:ascii="仿宋_GB2312" w:hAnsi="仿宋" w:eastAsia="仿宋_GB2312" w:cs="仿宋_GB2312"/>
          <w:sz w:val="32"/>
          <w:szCs w:val="32"/>
        </w:rPr>
        <w:t>万元，增长</w:t>
      </w:r>
      <w:r>
        <w:rPr>
          <w:rFonts w:ascii="仿宋_GB2312" w:hAnsi="仿宋" w:eastAsia="仿宋_GB2312" w:cs="仿宋_GB2312"/>
          <w:sz w:val="32"/>
          <w:szCs w:val="32"/>
        </w:rPr>
        <w:t>3.98%</w:t>
      </w:r>
      <w:r>
        <w:rPr>
          <w:rFonts w:hint="eastAsia" w:ascii="仿宋_GB2312" w:hAnsi="仿宋" w:eastAsia="仿宋_GB2312" w:cs="仿宋_GB2312"/>
          <w:sz w:val="32"/>
          <w:szCs w:val="32"/>
        </w:rPr>
        <w:t>。主要原因是用于与有关单位工作交流及接受相关部门督察、检查所以相应的导致机关运行费用增加。</w:t>
      </w:r>
    </w:p>
    <w:p>
      <w:pPr>
        <w:pStyle w:val="11"/>
        <w:ind w:firstLine="320" w:firstLineChars="100"/>
        <w:rPr>
          <w:rFonts w:hAnsi="黑体" w:cs="Times New Roman"/>
          <w:b/>
          <w:bCs/>
          <w:sz w:val="32"/>
          <w:szCs w:val="32"/>
        </w:rPr>
      </w:pPr>
      <w:r>
        <w:rPr>
          <w:rFonts w:hint="eastAsia" w:hAnsi="黑体"/>
          <w:b/>
          <w:bCs/>
          <w:sz w:val="32"/>
          <w:szCs w:val="32"/>
        </w:rPr>
        <w:t>十一、一般性支出情况</w:t>
      </w:r>
    </w:p>
    <w:p>
      <w:pPr>
        <w:pStyle w:val="11"/>
        <w:ind w:firstLine="640" w:firstLineChars="200"/>
        <w:rPr>
          <w:rFonts w:hint="default" w:ascii="仿宋_GB2312" w:hAnsi="仿宋" w:eastAsia="仿宋_GB2312" w:cs="Times New Roman"/>
          <w:sz w:val="32"/>
          <w:szCs w:val="32"/>
          <w:lang w:val="en-US" w:eastAsia="zh-CN"/>
        </w:rPr>
      </w:pPr>
      <w:r>
        <w:rPr>
          <w:rFonts w:ascii="仿宋_GB2312" w:hAnsi="仿宋" w:eastAsia="仿宋_GB2312" w:cs="仿宋_GB2312"/>
          <w:sz w:val="32"/>
          <w:szCs w:val="32"/>
        </w:rPr>
        <w:t>2020</w:t>
      </w:r>
      <w:r>
        <w:rPr>
          <w:rFonts w:hint="eastAsia" w:ascii="仿宋_GB2312" w:hAnsi="仿宋" w:eastAsia="仿宋_GB2312" w:cs="仿宋_GB2312"/>
          <w:sz w:val="32"/>
          <w:szCs w:val="32"/>
        </w:rPr>
        <w:t>年本部门开支会议费</w:t>
      </w:r>
      <w:r>
        <w:rPr>
          <w:rFonts w:ascii="仿宋_GB2312" w:hAnsi="仿宋" w:eastAsia="仿宋_GB2312" w:cs="仿宋_GB2312"/>
          <w:sz w:val="32"/>
          <w:szCs w:val="32"/>
        </w:rPr>
        <w:t>0.43</w:t>
      </w:r>
      <w:r>
        <w:rPr>
          <w:rFonts w:hint="eastAsia" w:ascii="仿宋_GB2312" w:hAnsi="仿宋" w:eastAsia="仿宋_GB2312" w:cs="仿宋_GB2312"/>
          <w:sz w:val="32"/>
          <w:szCs w:val="32"/>
        </w:rPr>
        <w:t>万元，用于召</w:t>
      </w:r>
      <w:r>
        <w:rPr>
          <w:rFonts w:hint="eastAsia" w:ascii="仿宋_GB2312" w:hAnsi="仿宋" w:eastAsia="仿宋_GB2312" w:cs="仿宋_GB2312"/>
          <w:sz w:val="32"/>
          <w:szCs w:val="32"/>
          <w:lang w:eastAsia="zh-CN"/>
        </w:rPr>
        <w:t>开</w:t>
      </w:r>
      <w:r>
        <w:rPr>
          <w:rFonts w:hint="eastAsia" w:ascii="仿宋_GB2312" w:hAnsi="仿宋" w:eastAsia="仿宋_GB2312" w:cs="仿宋_GB2312"/>
          <w:sz w:val="32"/>
          <w:szCs w:val="32"/>
        </w:rPr>
        <w:t>环保督查、污染防治相关会议等，人数</w:t>
      </w:r>
      <w:r>
        <w:rPr>
          <w:rFonts w:ascii="仿宋_GB2312" w:hAnsi="仿宋" w:eastAsia="仿宋_GB2312" w:cs="仿宋_GB2312"/>
          <w:sz w:val="32"/>
          <w:szCs w:val="32"/>
        </w:rPr>
        <w:t>50</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次</w:t>
      </w:r>
      <w:r>
        <w:rPr>
          <w:rFonts w:hint="eastAsia" w:ascii="仿宋_GB2312" w:hAnsi="仿宋" w:eastAsia="仿宋_GB2312" w:cs="仿宋_GB2312"/>
          <w:sz w:val="32"/>
          <w:szCs w:val="32"/>
        </w:rPr>
        <w:t>，内容</w:t>
      </w:r>
      <w:r>
        <w:rPr>
          <w:rFonts w:hint="eastAsia" w:ascii="仿宋_GB2312" w:hAnsi="仿宋" w:eastAsia="仿宋_GB2312" w:cs="仿宋_GB2312"/>
          <w:sz w:val="32"/>
          <w:szCs w:val="32"/>
          <w:lang w:eastAsia="zh-CN"/>
        </w:rPr>
        <w:t>为</w:t>
      </w:r>
      <w:r>
        <w:rPr>
          <w:rFonts w:hint="eastAsia" w:ascii="仿宋_GB2312" w:hAnsi="仿宋" w:eastAsia="仿宋_GB2312" w:cs="仿宋_GB2312"/>
          <w:sz w:val="32"/>
          <w:szCs w:val="32"/>
        </w:rPr>
        <w:t>场地租赁使用费、资料费等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开支培训费</w:t>
      </w:r>
      <w:r>
        <w:rPr>
          <w:rFonts w:ascii="仿宋_GB2312" w:hAnsi="仿宋" w:eastAsia="仿宋_GB2312" w:cs="仿宋_GB2312"/>
          <w:sz w:val="32"/>
          <w:szCs w:val="32"/>
        </w:rPr>
        <w:t>3.02</w:t>
      </w:r>
      <w:r>
        <w:rPr>
          <w:rFonts w:hint="eastAsia" w:ascii="仿宋_GB2312" w:hAnsi="仿宋" w:eastAsia="仿宋_GB2312" w:cs="仿宋_GB2312"/>
          <w:sz w:val="32"/>
          <w:szCs w:val="32"/>
        </w:rPr>
        <w:t>万元，用于开展会计制度事务操作培训、排污许可证培训等，人数</w:t>
      </w:r>
      <w:r>
        <w:rPr>
          <w:rFonts w:ascii="仿宋_GB2312" w:hAnsi="仿宋" w:eastAsia="仿宋_GB2312" w:cs="仿宋_GB2312"/>
          <w:sz w:val="32"/>
          <w:szCs w:val="32"/>
        </w:rPr>
        <w:t>130</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次</w:t>
      </w:r>
      <w:r>
        <w:rPr>
          <w:rFonts w:hint="eastAsia" w:ascii="仿宋_GB2312" w:hAnsi="仿宋" w:eastAsia="仿宋_GB2312" w:cs="仿宋_GB2312"/>
          <w:sz w:val="32"/>
          <w:szCs w:val="32"/>
        </w:rPr>
        <w:t>，内容为培训资料费、住宿费、交通费、伙食费及讲课费</w:t>
      </w:r>
      <w:r>
        <w:rPr>
          <w:rFonts w:hint="eastAsia" w:ascii="仿宋_GB2312" w:hAnsi="仿宋" w:eastAsia="仿宋_GB2312" w:cs="仿宋_GB2312"/>
          <w:sz w:val="32"/>
          <w:szCs w:val="32"/>
          <w:lang w:eastAsia="zh-CN"/>
        </w:rPr>
        <w:t>等；</w:t>
      </w:r>
      <w:r>
        <w:rPr>
          <w:rFonts w:hint="eastAsia" w:ascii="仿宋_GB2312" w:hAnsi="仿宋" w:eastAsia="仿宋_GB2312" w:cs="仿宋_GB2312"/>
          <w:sz w:val="32"/>
          <w:szCs w:val="32"/>
          <w:lang w:val="en-US" w:eastAsia="zh-CN"/>
        </w:rPr>
        <w:t>2020年本部门未举办节庆、晚会、论坛、赛事活动，开支0万元。</w:t>
      </w:r>
    </w:p>
    <w:p>
      <w:pPr>
        <w:pStyle w:val="11"/>
        <w:ind w:firstLine="320" w:firstLineChars="100"/>
        <w:rPr>
          <w:rFonts w:hAnsi="黑体" w:cs="Times New Roman"/>
          <w:b/>
          <w:bCs/>
          <w:sz w:val="32"/>
          <w:szCs w:val="32"/>
        </w:rPr>
      </w:pPr>
      <w:r>
        <w:rPr>
          <w:rFonts w:hint="eastAsia" w:hAnsi="黑体"/>
          <w:b/>
          <w:bCs/>
          <w:sz w:val="32"/>
          <w:szCs w:val="32"/>
        </w:rPr>
        <w:t>十二、关于政府采购支出说明</w:t>
      </w:r>
    </w:p>
    <w:p>
      <w:pPr>
        <w:pStyle w:val="11"/>
        <w:ind w:firstLine="640" w:firstLineChars="200"/>
        <w:rPr>
          <w:rFonts w:ascii="仿宋_GB2312" w:hAnsi="宋体" w:eastAsia="仿宋_GB2312" w:cs="Times New Roman"/>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2020</w:t>
      </w:r>
      <w:r>
        <w:rPr>
          <w:rFonts w:hint="eastAsia" w:ascii="仿宋_GB2312" w:hAnsi="仿宋" w:eastAsia="仿宋_GB2312" w:cs="仿宋_GB2312"/>
          <w:sz w:val="32"/>
          <w:szCs w:val="32"/>
        </w:rPr>
        <w:t>年度政府采购支出总额</w:t>
      </w:r>
      <w:r>
        <w:rPr>
          <w:rFonts w:ascii="仿宋_GB2312" w:hAnsi="仿宋" w:eastAsia="仿宋_GB2312" w:cs="仿宋_GB2312"/>
          <w:sz w:val="32"/>
          <w:szCs w:val="32"/>
        </w:rPr>
        <w:t>133.34</w:t>
      </w:r>
      <w:r>
        <w:rPr>
          <w:rFonts w:hint="eastAsia" w:ascii="仿宋_GB2312" w:hAnsi="仿宋" w:eastAsia="仿宋_GB2312" w:cs="仿宋_GB2312"/>
          <w:sz w:val="32"/>
          <w:szCs w:val="32"/>
        </w:rPr>
        <w:t>万元，其中：政府采购货物支出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万元、政府采购工程支出</w:t>
      </w:r>
      <w:r>
        <w:rPr>
          <w:rFonts w:ascii="仿宋_GB2312" w:hAnsi="仿宋" w:eastAsia="仿宋_GB2312" w:cs="仿宋_GB2312"/>
          <w:sz w:val="32"/>
          <w:szCs w:val="32"/>
        </w:rPr>
        <w:t xml:space="preserve">0 </w:t>
      </w:r>
      <w:r>
        <w:rPr>
          <w:rFonts w:hint="eastAsia" w:ascii="仿宋_GB2312" w:hAnsi="仿宋" w:eastAsia="仿宋_GB2312" w:cs="仿宋_GB2312"/>
          <w:sz w:val="32"/>
          <w:szCs w:val="32"/>
        </w:rPr>
        <w:t>万元、政府采购服务支出</w:t>
      </w:r>
      <w:r>
        <w:rPr>
          <w:rFonts w:ascii="仿宋_GB2312" w:hAnsi="仿宋" w:eastAsia="仿宋_GB2312" w:cs="仿宋_GB2312"/>
          <w:sz w:val="32"/>
          <w:szCs w:val="32"/>
        </w:rPr>
        <w:t>133.34</w:t>
      </w:r>
      <w:r>
        <w:rPr>
          <w:rFonts w:hint="eastAsia" w:ascii="仿宋_GB2312" w:hAnsi="仿宋" w:eastAsia="仿宋_GB2312" w:cs="仿宋_GB2312"/>
          <w:sz w:val="32"/>
          <w:szCs w:val="32"/>
        </w:rPr>
        <w:t>万元。授予中小企业合同金额</w:t>
      </w:r>
      <w:r>
        <w:rPr>
          <w:rFonts w:ascii="仿宋_GB2312" w:hAnsi="仿宋" w:eastAsia="仿宋_GB2312" w:cs="仿宋_GB2312"/>
          <w:sz w:val="32"/>
          <w:szCs w:val="32"/>
        </w:rPr>
        <w:t>0</w:t>
      </w:r>
      <w:r>
        <w:rPr>
          <w:rFonts w:hint="eastAsia" w:ascii="仿宋_GB2312" w:hAnsi="仿宋" w:eastAsia="仿宋_GB2312" w:cs="仿宋_GB2312"/>
          <w:sz w:val="32"/>
          <w:szCs w:val="32"/>
        </w:rPr>
        <w:t>万元，占政府采购支出总额的</w:t>
      </w:r>
      <w:r>
        <w:rPr>
          <w:rFonts w:ascii="仿宋_GB2312" w:hAnsi="仿宋" w:eastAsia="仿宋_GB2312" w:cs="仿宋_GB2312"/>
          <w:sz w:val="32"/>
          <w:szCs w:val="32"/>
        </w:rPr>
        <w:t>0%</w:t>
      </w:r>
      <w:r>
        <w:rPr>
          <w:rFonts w:hint="eastAsia" w:ascii="仿宋_GB2312" w:hAnsi="仿宋" w:eastAsia="仿宋_GB2312" w:cs="仿宋_GB2312"/>
          <w:sz w:val="32"/>
          <w:szCs w:val="32"/>
        </w:rPr>
        <w:t>，其中：授予小微企业合同金额</w:t>
      </w:r>
      <w:r>
        <w:rPr>
          <w:rFonts w:ascii="仿宋_GB2312" w:hAnsi="仿宋" w:eastAsia="仿宋_GB2312" w:cs="仿宋_GB2312"/>
          <w:sz w:val="32"/>
          <w:szCs w:val="32"/>
        </w:rPr>
        <w:t>0</w:t>
      </w:r>
      <w:r>
        <w:rPr>
          <w:rFonts w:hint="eastAsia" w:ascii="仿宋_GB2312" w:hAnsi="仿宋" w:eastAsia="仿宋_GB2312" w:cs="仿宋_GB2312"/>
          <w:sz w:val="32"/>
          <w:szCs w:val="32"/>
        </w:rPr>
        <w:t>万元，占政府采购支出总额的</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pStyle w:val="11"/>
        <w:ind w:firstLine="320" w:firstLineChars="100"/>
        <w:rPr>
          <w:rFonts w:hAnsi="黑体" w:cs="Times New Roman"/>
          <w:b/>
          <w:bCs/>
          <w:sz w:val="32"/>
          <w:szCs w:val="32"/>
        </w:rPr>
      </w:pPr>
      <w:r>
        <w:rPr>
          <w:rFonts w:hint="eastAsia" w:hAnsi="黑体"/>
          <w:b/>
          <w:bCs/>
          <w:sz w:val="32"/>
          <w:szCs w:val="32"/>
        </w:rPr>
        <w:t>十三、关于国有资产占用情况说明</w:t>
      </w:r>
    </w:p>
    <w:p>
      <w:pPr>
        <w:pStyle w:val="11"/>
        <w:ind w:firstLine="640" w:firstLineChars="200"/>
        <w:rPr>
          <w:rFonts w:ascii="仿宋" w:hAnsi="仿宋" w:eastAsia="仿宋" w:cs="Times New Roman"/>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日，本单位共有车辆</w:t>
      </w:r>
      <w:r>
        <w:rPr>
          <w:rFonts w:ascii="仿宋_GB2312" w:hAnsi="仿宋" w:eastAsia="仿宋_GB2312" w:cs="仿宋_GB2312"/>
          <w:sz w:val="32"/>
          <w:szCs w:val="32"/>
        </w:rPr>
        <w:t>1</w:t>
      </w:r>
      <w:r>
        <w:rPr>
          <w:rFonts w:hint="eastAsia" w:ascii="仿宋_GB2312" w:hAnsi="仿宋" w:eastAsia="仿宋_GB2312" w:cs="仿宋_GB2312"/>
          <w:sz w:val="32"/>
          <w:szCs w:val="32"/>
        </w:rPr>
        <w:t>辆，其中，主要领导干部用车</w:t>
      </w:r>
      <w:r>
        <w:rPr>
          <w:rFonts w:ascii="仿宋_GB2312" w:hAnsi="仿宋" w:eastAsia="仿宋_GB2312" w:cs="仿宋_GB2312"/>
          <w:sz w:val="32"/>
          <w:szCs w:val="32"/>
        </w:rPr>
        <w:t>0</w:t>
      </w:r>
      <w:r>
        <w:rPr>
          <w:rFonts w:hint="eastAsia" w:ascii="仿宋_GB2312" w:hAnsi="仿宋" w:eastAsia="仿宋_GB2312" w:cs="仿宋_GB2312"/>
          <w:sz w:val="32"/>
          <w:szCs w:val="32"/>
        </w:rPr>
        <w:t>辆，机要通信用车</w:t>
      </w:r>
      <w:r>
        <w:rPr>
          <w:rFonts w:ascii="仿宋_GB2312" w:hAnsi="仿宋" w:eastAsia="仿宋_GB2312" w:cs="仿宋_GB2312"/>
          <w:sz w:val="32"/>
          <w:szCs w:val="32"/>
        </w:rPr>
        <w:t>0</w:t>
      </w:r>
      <w:r>
        <w:rPr>
          <w:rFonts w:hint="eastAsia" w:ascii="仿宋_GB2312" w:hAnsi="仿宋" w:eastAsia="仿宋_GB2312" w:cs="仿宋_GB2312"/>
          <w:sz w:val="32"/>
          <w:szCs w:val="32"/>
        </w:rPr>
        <w:t>辆、应急保障用车</w:t>
      </w:r>
      <w:r>
        <w:rPr>
          <w:rFonts w:ascii="仿宋_GB2312" w:hAnsi="仿宋" w:eastAsia="仿宋_GB2312" w:cs="仿宋_GB2312"/>
          <w:sz w:val="32"/>
          <w:szCs w:val="32"/>
        </w:rPr>
        <w:t>0</w:t>
      </w:r>
      <w:r>
        <w:rPr>
          <w:rFonts w:hint="eastAsia" w:ascii="仿宋_GB2312" w:hAnsi="仿宋" w:eastAsia="仿宋_GB2312" w:cs="仿宋_GB2312"/>
          <w:sz w:val="32"/>
          <w:szCs w:val="32"/>
        </w:rPr>
        <w:t>辆、执法执勤用车</w:t>
      </w:r>
      <w:r>
        <w:rPr>
          <w:rFonts w:ascii="仿宋_GB2312" w:hAnsi="仿宋" w:eastAsia="仿宋_GB2312" w:cs="仿宋_GB2312"/>
          <w:sz w:val="32"/>
          <w:szCs w:val="32"/>
        </w:rPr>
        <w:t>1</w:t>
      </w:r>
      <w:r>
        <w:rPr>
          <w:rFonts w:hint="eastAsia" w:ascii="仿宋_GB2312" w:hAnsi="仿宋" w:eastAsia="仿宋_GB2312" w:cs="仿宋_GB2312"/>
          <w:sz w:val="32"/>
          <w:szCs w:val="32"/>
        </w:rPr>
        <w:t>辆、特种专业技术用车</w:t>
      </w:r>
      <w:r>
        <w:rPr>
          <w:rFonts w:ascii="仿宋_GB2312" w:hAnsi="仿宋" w:eastAsia="仿宋_GB2312" w:cs="仿宋_GB2312"/>
          <w:sz w:val="32"/>
          <w:szCs w:val="32"/>
        </w:rPr>
        <w:t>0</w:t>
      </w:r>
      <w:r>
        <w:rPr>
          <w:rFonts w:hint="eastAsia" w:ascii="仿宋_GB2312" w:hAnsi="仿宋" w:eastAsia="仿宋_GB2312" w:cs="仿宋_GB2312"/>
          <w:sz w:val="32"/>
          <w:szCs w:val="32"/>
        </w:rPr>
        <w:t>辆、其他用车</w:t>
      </w:r>
      <w:r>
        <w:rPr>
          <w:rFonts w:ascii="仿宋_GB2312" w:hAnsi="仿宋" w:eastAsia="仿宋_GB2312" w:cs="仿宋_GB2312"/>
          <w:sz w:val="32"/>
          <w:szCs w:val="32"/>
        </w:rPr>
        <w:t>0</w:t>
      </w:r>
      <w:r>
        <w:rPr>
          <w:rFonts w:hint="eastAsia" w:ascii="仿宋_GB2312" w:hAnsi="仿宋" w:eastAsia="仿宋_GB2312" w:cs="仿宋_GB2312"/>
          <w:sz w:val="32"/>
          <w:szCs w:val="32"/>
        </w:rPr>
        <w:t>辆；单位价值</w:t>
      </w:r>
      <w:r>
        <w:rPr>
          <w:rFonts w:ascii="仿宋_GB2312" w:hAnsi="仿宋" w:eastAsia="仿宋_GB2312" w:cs="仿宋_GB2312"/>
          <w:sz w:val="32"/>
          <w:szCs w:val="32"/>
        </w:rPr>
        <w:t>50</w:t>
      </w:r>
      <w:r>
        <w:rPr>
          <w:rFonts w:hint="eastAsia" w:ascii="仿宋_GB2312" w:hAnsi="仿宋" w:eastAsia="仿宋_GB2312" w:cs="仿宋_GB2312"/>
          <w:sz w:val="32"/>
          <w:szCs w:val="32"/>
        </w:rPr>
        <w:t>万元以上通用设备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台（套）；单位价值</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万元以上专用设备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r>
        <w:rPr>
          <w:rFonts w:hint="eastAsia" w:ascii="仿宋" w:hAnsi="仿宋" w:eastAsia="仿宋" w:cs="仿宋"/>
          <w:sz w:val="32"/>
          <w:szCs w:val="32"/>
        </w:rPr>
        <w:t>。</w:t>
      </w:r>
    </w:p>
    <w:p>
      <w:pPr>
        <w:pStyle w:val="11"/>
        <w:ind w:firstLine="320" w:firstLineChars="100"/>
        <w:rPr>
          <w:rFonts w:hAnsi="黑体" w:cs="Times New Roman"/>
          <w:b/>
          <w:bCs/>
          <w:sz w:val="32"/>
          <w:szCs w:val="32"/>
        </w:rPr>
      </w:pPr>
      <w:r>
        <w:rPr>
          <w:rFonts w:hint="eastAsia" w:hAnsi="黑体"/>
          <w:b/>
          <w:bCs/>
          <w:sz w:val="32"/>
          <w:szCs w:val="32"/>
        </w:rPr>
        <w:t>十四、关于</w:t>
      </w:r>
      <w:r>
        <w:rPr>
          <w:rFonts w:hAnsi="黑体"/>
          <w:b/>
          <w:bCs/>
          <w:sz w:val="32"/>
          <w:szCs w:val="32"/>
        </w:rPr>
        <w:t>2020</w:t>
      </w:r>
      <w:r>
        <w:rPr>
          <w:rFonts w:hint="eastAsia" w:hAnsi="黑体"/>
          <w:b/>
          <w:bCs/>
          <w:sz w:val="32"/>
          <w:szCs w:val="32"/>
        </w:rPr>
        <w:t>年度预算绩效情况的说明</w:t>
      </w:r>
    </w:p>
    <w:p>
      <w:pPr>
        <w:pStyle w:val="11"/>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本部门预算绩效管理开展情况、绩效目标和绩效评价报告等（</w:t>
      </w:r>
    </w:p>
    <w:p>
      <w:pPr>
        <w:pStyle w:val="11"/>
        <w:rPr>
          <w:rFonts w:ascii="仿宋_GB2312" w:hAnsi="仿宋" w:eastAsia="仿宋_GB2312" w:cs="Times New Roman"/>
          <w:sz w:val="32"/>
          <w:szCs w:val="32"/>
        </w:rPr>
      </w:pPr>
      <w:r>
        <w:rPr>
          <w:rFonts w:hint="eastAsia" w:ascii="仿宋_GB2312" w:hAnsi="仿宋" w:eastAsia="仿宋_GB2312" w:cs="仿宋_GB2312"/>
          <w:sz w:val="32"/>
          <w:szCs w:val="32"/>
        </w:rPr>
        <w:t>按照财政绩效部门要求已公开或其他有关部门要求需随同部门决算一同公开的绩效信息，已作为附件公开）</w:t>
      </w:r>
    </w:p>
    <w:p>
      <w:pPr>
        <w:pStyle w:val="11"/>
        <w:rPr>
          <w:rFonts w:ascii="仿宋" w:hAnsi="仿宋" w:eastAsia="仿宋" w:cs="Times New Roman"/>
          <w:b/>
          <w:bCs/>
          <w:sz w:val="32"/>
          <w:szCs w:val="3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第四部分</w:t>
      </w:r>
      <w:r>
        <w:rPr>
          <w:rFonts w:ascii="仿宋" w:hAnsi="仿宋" w:eastAsia="仿宋_GB2312" w:cs="Times New Roman"/>
          <w:color w:val="000000"/>
          <w:sz w:val="32"/>
          <w:szCs w:val="32"/>
          <w:shd w:val="clear" w:color="auto" w:fill="FFFFFF"/>
        </w:rPr>
        <w:t> </w:t>
      </w:r>
      <w:r>
        <w:rPr>
          <w:rFonts w:hint="eastAsia" w:ascii="仿宋_GB2312" w:hAnsi="仿宋" w:eastAsia="仿宋_GB2312" w:cs="仿宋_GB2312"/>
          <w:color w:val="000000"/>
          <w:sz w:val="32"/>
          <w:szCs w:val="32"/>
          <w:shd w:val="clear" w:color="auto" w:fill="FFFFFF"/>
        </w:rPr>
        <w:t>名词解释</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财政拨款收入：指本级财政当年拨付的资金。</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其他收入：指除上述“财政拨款收入”、“上级补助收入”、“事业收入”、“经营收入”、“附属单位上缴收入”等以外的收入。</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上年结转和结余：指以前年度尚未完成、结转到本年按有关规定继续使用的资金。</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年末结转和结余资金：指本年度或以前年度预算安排、因客观条件发生变化无法按原计划实施，需要延迟到以后年度按有关规定继续使用的资金。</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科学技术支出（类）：是指用于科学技术方面的支出，包括保障机构正常运转、完成日常和特定的工作任务或事业发展目标的支出。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节能环保支出（类）：是指用于节能环保支出，包括保障机构正常运转、完成日常和特定的工作任务或事业发展目标的支出。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农林水支出（类）：是指用于农林水事务支出，包括保障机构正常运转、完成日常和特定的工作任务或事业发展目标的支出。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基本支出：指保障机构正常运转、完成支日常工作任务而发生的人员支出和公用支出。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项目支出：指在基本支出之外为完成特定行政任务和事业发展目标所发生的支出。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商品和服务支出：反映单位购买商品和服务的支出（不包括用于购置固定资产的支出、战略性和应急储备支出）。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因公出国（境）费用：反映单位公务出国</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境</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的住宿费、旅费、伙食补助费、杂费、培训费等支出。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会议费：反映会议中按规定开支的住宿费、伙食费、会议室租金、交通费、文件印刷费、医药费等。</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培训费：反映除因公出国（境）培训费以外的各类培训支出。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公务接待费：反映单位按规定开支的各类公务接待（含外宾接待）费用。</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公务用车运行维护费：反映单位按规定保留的公务用车燃料费、维修费、过桥过路费、保险费、安全奖励费用等支出。</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其他交通费用：反映单位除公务用车运行维护费以外的其他交通费用。如公务交通补贴，租车费用、出租车费用，飞机、船舶等的燃料费、维修费、保险费等。</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其他商品和服务支出：反映上述科目未包括的日常公用支出。如行政赔偿费和诉讼费、国内组织的会员费、来访费、广告宣传、其他劳务费及离休人员特需费、公用经费等。</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公务用车购置：反映公务用车车辆购置支出（含车辆购置税）。</w:t>
      </w:r>
    </w:p>
    <w:p>
      <w:pPr>
        <w:pStyle w:val="5"/>
        <w:widowControl/>
        <w:shd w:val="clear" w:color="auto" w:fill="FFFFFF"/>
        <w:spacing w:beforeAutospacing="0" w:afterAutospacing="0" w:line="33" w:lineRule="atLeast"/>
        <w:ind w:firstLine="42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shd w:val="clear" w:color="auto" w:fill="FFFFFF"/>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 w:eastAsia="仿宋_GB2312" w:cs="Times New Roman"/>
          <w:color w:val="000000"/>
          <w:kern w:val="0"/>
          <w:sz w:val="32"/>
          <w:szCs w:val="32"/>
        </w:rPr>
      </w:pPr>
    </w:p>
    <w:p>
      <w:pPr>
        <w:pStyle w:val="11"/>
        <w:jc w:val="center"/>
        <w:rPr>
          <w:rFonts w:ascii="仿宋_GB2312" w:eastAsia="仿宋_GB2312" w:cs="Times New Roman"/>
          <w:sz w:val="32"/>
          <w:szCs w:val="32"/>
        </w:rPr>
      </w:pPr>
    </w:p>
    <w:p>
      <w:pPr>
        <w:pStyle w:val="11"/>
        <w:jc w:val="center"/>
        <w:rPr>
          <w:rFonts w:ascii="仿宋_GB2312" w:eastAsia="仿宋_GB2312" w:cs="Times New Roman"/>
          <w:sz w:val="32"/>
          <w:szCs w:val="32"/>
        </w:rPr>
      </w:pPr>
    </w:p>
    <w:p>
      <w:pPr>
        <w:pStyle w:val="11"/>
        <w:jc w:val="center"/>
        <w:rPr>
          <w:rFonts w:ascii="仿宋_GB2312" w:eastAsia="仿宋_GB2312" w:cs="Times New Roman"/>
          <w:sz w:val="72"/>
          <w:szCs w:val="72"/>
        </w:rPr>
      </w:pPr>
    </w:p>
    <w:p>
      <w:pPr>
        <w:pStyle w:val="11"/>
        <w:jc w:val="center"/>
        <w:rPr>
          <w:rFonts w:ascii="仿宋_GB2312" w:eastAsia="仿宋_GB2312"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jc w:val="center"/>
        <w:rPr>
          <w:rFonts w:ascii="黑体" w:eastAsia="黑体" w:cs="Times New Roman"/>
          <w:color w:val="000000"/>
          <w:kern w:val="0"/>
          <w:sz w:val="70"/>
          <w:szCs w:val="70"/>
        </w:rPr>
      </w:pPr>
    </w:p>
    <w:p>
      <w:pPr>
        <w:spacing w:line="660" w:lineRule="exact"/>
        <w:jc w:val="center"/>
        <w:rPr>
          <w:rFonts w:cs="Times New Roman"/>
          <w:b/>
          <w:bCs/>
          <w:sz w:val="44"/>
          <w:szCs w:val="44"/>
        </w:rPr>
      </w:pPr>
      <w:r>
        <w:rPr>
          <w:rFonts w:hint="eastAsia" w:cs="宋体"/>
          <w:b/>
          <w:bCs/>
          <w:sz w:val="44"/>
          <w:szCs w:val="44"/>
        </w:rPr>
        <w:t>岳阳市生态环境局君山分局</w:t>
      </w:r>
      <w:r>
        <w:rPr>
          <w:b/>
          <w:bCs/>
          <w:sz w:val="44"/>
          <w:szCs w:val="44"/>
        </w:rPr>
        <w:t>2020</w:t>
      </w:r>
      <w:r>
        <w:rPr>
          <w:rFonts w:hint="eastAsia" w:cs="宋体"/>
          <w:b/>
          <w:bCs/>
          <w:sz w:val="44"/>
          <w:szCs w:val="44"/>
        </w:rPr>
        <w:t>年整体支出绩效评价自评报告</w:t>
      </w:r>
    </w:p>
    <w:p>
      <w:pPr>
        <w:spacing w:line="660" w:lineRule="exact"/>
        <w:jc w:val="left"/>
        <w:rPr>
          <w:rFonts w:ascii="仿宋_GB2312" w:hAnsi="仿宋_GB2312" w:eastAsia="仿宋_GB2312" w:cs="Times New Roman"/>
          <w:b/>
          <w:bCs/>
          <w:sz w:val="32"/>
          <w:szCs w:val="32"/>
        </w:rPr>
      </w:pPr>
    </w:p>
    <w:p>
      <w:pPr>
        <w:spacing w:line="660" w:lineRule="exact"/>
        <w:ind w:firstLine="627" w:firstLineChars="196"/>
        <w:rPr>
          <w:rFonts w:ascii="黑体" w:hAnsi="黑体" w:eastAsia="黑体" w:cs="Times New Roman"/>
          <w:sz w:val="32"/>
          <w:szCs w:val="32"/>
        </w:rPr>
      </w:pPr>
      <w:r>
        <w:rPr>
          <w:rFonts w:hint="eastAsia" w:ascii="黑体" w:hAnsi="黑体" w:eastAsia="黑体" w:cs="黑体"/>
          <w:sz w:val="32"/>
          <w:szCs w:val="32"/>
        </w:rPr>
        <w:t>一、部门概况</w:t>
      </w:r>
    </w:p>
    <w:p>
      <w:pPr>
        <w:spacing w:line="660" w:lineRule="exact"/>
        <w:ind w:firstLine="645"/>
        <w:rPr>
          <w:rFonts w:ascii="仿宋_GB2312" w:hAnsi="仿宋" w:eastAsia="仿宋_GB2312" w:cs="Times New Roman"/>
          <w:sz w:val="32"/>
          <w:szCs w:val="32"/>
        </w:rPr>
      </w:pPr>
      <w:r>
        <w:rPr>
          <w:rFonts w:hint="eastAsia" w:ascii="仿宋_GB2312" w:hAnsi="仿宋" w:eastAsia="仿宋_GB2312" w:cs="仿宋_GB2312"/>
          <w:sz w:val="32"/>
          <w:szCs w:val="32"/>
        </w:rPr>
        <w:t>岳阳市生态环境局君山分局为正科级行政支持类事业单位，隶属于市生态环境局。市编办核定君山分局全额拨款事业编制</w:t>
      </w:r>
      <w:r>
        <w:rPr>
          <w:rFonts w:ascii="仿宋_GB2312" w:hAnsi="仿宋" w:eastAsia="仿宋_GB2312" w:cs="仿宋_GB2312"/>
          <w:sz w:val="32"/>
          <w:szCs w:val="32"/>
        </w:rPr>
        <w:t>15</w:t>
      </w:r>
      <w:r>
        <w:rPr>
          <w:rFonts w:hint="eastAsia" w:ascii="仿宋_GB2312" w:hAnsi="仿宋" w:eastAsia="仿宋_GB2312" w:cs="仿宋_GB2312"/>
          <w:sz w:val="32"/>
          <w:szCs w:val="32"/>
        </w:rPr>
        <w:t>名，退休同志</w:t>
      </w:r>
      <w:r>
        <w:rPr>
          <w:rFonts w:ascii="仿宋_GB2312" w:hAnsi="仿宋" w:eastAsia="仿宋_GB2312" w:cs="仿宋_GB2312"/>
          <w:sz w:val="32"/>
          <w:szCs w:val="32"/>
        </w:rPr>
        <w:t>2</w:t>
      </w:r>
      <w:r>
        <w:rPr>
          <w:rFonts w:hint="eastAsia" w:ascii="仿宋_GB2312" w:hAnsi="仿宋" w:eastAsia="仿宋_GB2312" w:cs="仿宋_GB2312"/>
          <w:sz w:val="32"/>
          <w:szCs w:val="32"/>
        </w:rPr>
        <w:t>名。根据分局的整体情况，分局下设五个股室（办公室、监察大队、管理股、法制股、监察室）。分局目前共有工作人员</w:t>
      </w:r>
      <w:r>
        <w:rPr>
          <w:rFonts w:ascii="仿宋_GB2312" w:hAnsi="仿宋" w:eastAsia="仿宋_GB2312" w:cs="仿宋_GB2312"/>
          <w:sz w:val="32"/>
          <w:szCs w:val="32"/>
        </w:rPr>
        <w:t>13</w:t>
      </w:r>
      <w:r>
        <w:rPr>
          <w:rFonts w:hint="eastAsia" w:ascii="仿宋_GB2312" w:hAnsi="仿宋" w:eastAsia="仿宋_GB2312" w:cs="仿宋_GB2312"/>
          <w:sz w:val="32"/>
          <w:szCs w:val="32"/>
        </w:rPr>
        <w:t>人，其中在编人员</w:t>
      </w:r>
      <w:r>
        <w:rPr>
          <w:rFonts w:ascii="仿宋_GB2312" w:hAnsi="仿宋" w:eastAsia="仿宋_GB2312" w:cs="仿宋_GB2312"/>
          <w:sz w:val="32"/>
          <w:szCs w:val="32"/>
        </w:rPr>
        <w:t>8</w:t>
      </w:r>
      <w:r>
        <w:rPr>
          <w:rFonts w:hint="eastAsia" w:ascii="仿宋_GB2312" w:hAnsi="仿宋" w:eastAsia="仿宋_GB2312" w:cs="仿宋_GB2312"/>
          <w:sz w:val="32"/>
          <w:szCs w:val="32"/>
        </w:rPr>
        <w:t>人，借用</w:t>
      </w:r>
      <w:r>
        <w:rPr>
          <w:rFonts w:ascii="仿宋_GB2312" w:hAnsi="仿宋" w:eastAsia="仿宋_GB2312" w:cs="仿宋_GB2312"/>
          <w:sz w:val="32"/>
          <w:szCs w:val="32"/>
        </w:rPr>
        <w:t>2</w:t>
      </w:r>
      <w:r>
        <w:rPr>
          <w:rFonts w:hint="eastAsia" w:ascii="仿宋_GB2312" w:hAnsi="仿宋" w:eastAsia="仿宋_GB2312" w:cs="仿宋_GB2312"/>
          <w:sz w:val="32"/>
          <w:szCs w:val="32"/>
        </w:rPr>
        <w:t>人，临聘人员</w:t>
      </w:r>
      <w:r>
        <w:rPr>
          <w:rFonts w:ascii="仿宋_GB2312" w:hAnsi="仿宋" w:eastAsia="仿宋_GB2312" w:cs="仿宋_GB2312"/>
          <w:sz w:val="32"/>
          <w:szCs w:val="32"/>
        </w:rPr>
        <w:t>3</w:t>
      </w:r>
      <w:r>
        <w:rPr>
          <w:rFonts w:hint="eastAsia" w:ascii="仿宋_GB2312" w:hAnsi="仿宋" w:eastAsia="仿宋_GB2312" w:cs="仿宋_GB2312"/>
          <w:sz w:val="32"/>
          <w:szCs w:val="32"/>
        </w:rPr>
        <w:t>人。主要职能是贯彻落实国家有关环境保护政策，执行国家环保法律法规，负责辖区内环境规划、环境管理、环境宣传教育、环境监察等工作。工作计划是加强水体、土壤、大气污染防治，推动辖区生态环境总体改善，促进人与自然和谐共生。</w:t>
      </w:r>
    </w:p>
    <w:p>
      <w:pPr>
        <w:spacing w:line="660" w:lineRule="exact"/>
        <w:ind w:firstLine="627" w:firstLineChars="196"/>
        <w:rPr>
          <w:rFonts w:ascii="黑体" w:hAnsi="黑体" w:eastAsia="黑体" w:cs="Times New Roman"/>
          <w:sz w:val="32"/>
          <w:szCs w:val="32"/>
        </w:rPr>
      </w:pPr>
      <w:r>
        <w:rPr>
          <w:rFonts w:hint="eastAsia" w:ascii="黑体" w:hAnsi="黑体" w:eastAsia="黑体" w:cs="黑体"/>
          <w:sz w:val="32"/>
          <w:szCs w:val="32"/>
        </w:rPr>
        <w:t>二、部门整体支出管理及使用情况</w:t>
      </w:r>
    </w:p>
    <w:p>
      <w:pPr>
        <w:pStyle w:val="5"/>
        <w:widowControl/>
        <w:wordWrap w:val="0"/>
        <w:snapToGrid w:val="0"/>
        <w:spacing w:before="150" w:after="150" w:line="6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本单位</w:t>
      </w:r>
      <w:r>
        <w:rPr>
          <w:rFonts w:ascii="仿宋_GB2312" w:hAnsi="仿宋" w:eastAsia="仿宋_GB2312" w:cs="仿宋_GB2312"/>
          <w:sz w:val="32"/>
          <w:szCs w:val="32"/>
        </w:rPr>
        <w:t>2020</w:t>
      </w:r>
      <w:r>
        <w:rPr>
          <w:rFonts w:hint="eastAsia" w:ascii="仿宋_GB2312" w:hAnsi="仿宋" w:eastAsia="仿宋_GB2312" w:cs="仿宋_GB2312"/>
          <w:sz w:val="32"/>
          <w:szCs w:val="32"/>
        </w:rPr>
        <w:t>年度基本支出</w:t>
      </w:r>
      <w:r>
        <w:rPr>
          <w:rFonts w:ascii="仿宋_GB2312" w:hAnsi="仿宋" w:eastAsia="仿宋_GB2312" w:cs="仿宋_GB2312"/>
          <w:sz w:val="32"/>
          <w:szCs w:val="32"/>
        </w:rPr>
        <w:t>390.79</w:t>
      </w:r>
      <w:r>
        <w:rPr>
          <w:rFonts w:hint="eastAsia" w:ascii="仿宋_GB2312" w:hAnsi="仿宋" w:eastAsia="仿宋_GB2312" w:cs="仿宋_GB2312"/>
          <w:sz w:val="32"/>
          <w:szCs w:val="32"/>
        </w:rPr>
        <w:t>万元，其中：工资福利支出</w:t>
      </w:r>
      <w:r>
        <w:rPr>
          <w:rFonts w:ascii="仿宋_GB2312" w:hAnsi="仿宋" w:eastAsia="仿宋_GB2312" w:cs="仿宋_GB2312"/>
          <w:sz w:val="32"/>
          <w:szCs w:val="32"/>
        </w:rPr>
        <w:t>144.09</w:t>
      </w:r>
      <w:r>
        <w:rPr>
          <w:rFonts w:hint="eastAsia" w:ascii="仿宋_GB2312" w:hAnsi="仿宋" w:eastAsia="仿宋_GB2312" w:cs="仿宋_GB2312"/>
          <w:sz w:val="32"/>
          <w:szCs w:val="32"/>
        </w:rPr>
        <w:t>万元；商品服务支出</w:t>
      </w:r>
      <w:r>
        <w:rPr>
          <w:rFonts w:ascii="仿宋_GB2312" w:hAnsi="仿宋" w:eastAsia="仿宋_GB2312" w:cs="仿宋_GB2312"/>
          <w:sz w:val="32"/>
          <w:szCs w:val="32"/>
        </w:rPr>
        <w:t>246.70</w:t>
      </w:r>
      <w:r>
        <w:rPr>
          <w:rFonts w:hint="eastAsia" w:ascii="仿宋_GB2312" w:hAnsi="仿宋" w:eastAsia="仿宋_GB2312" w:cs="仿宋_GB2312"/>
          <w:sz w:val="32"/>
          <w:szCs w:val="32"/>
        </w:rPr>
        <w:t>万元；资本性支出</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pStyle w:val="5"/>
        <w:widowControl/>
        <w:wordWrap w:val="0"/>
        <w:snapToGrid w:val="0"/>
        <w:spacing w:before="150" w:after="150" w:line="6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其中：“三公”经费公务用车运行维护费</w:t>
      </w:r>
      <w:r>
        <w:rPr>
          <w:rFonts w:ascii="仿宋_GB2312" w:hAnsi="仿宋" w:eastAsia="仿宋_GB2312" w:cs="仿宋_GB2312"/>
          <w:sz w:val="32"/>
          <w:szCs w:val="32"/>
        </w:rPr>
        <w:t>6.89</w:t>
      </w:r>
      <w:r>
        <w:rPr>
          <w:rFonts w:hint="eastAsia" w:ascii="仿宋_GB2312" w:hAnsi="仿宋" w:eastAsia="仿宋_GB2312" w:cs="仿宋_GB2312"/>
          <w:sz w:val="32"/>
          <w:szCs w:val="32"/>
        </w:rPr>
        <w:t>万元较上年度</w:t>
      </w:r>
      <w:r>
        <w:rPr>
          <w:rFonts w:ascii="仿宋_GB2312" w:hAnsi="仿宋" w:eastAsia="仿宋_GB2312" w:cs="仿宋_GB2312"/>
          <w:sz w:val="32"/>
          <w:szCs w:val="32"/>
        </w:rPr>
        <w:t>6.95</w:t>
      </w:r>
      <w:r>
        <w:rPr>
          <w:rFonts w:hint="eastAsia" w:ascii="仿宋_GB2312" w:hAnsi="仿宋" w:eastAsia="仿宋_GB2312" w:cs="仿宋_GB2312"/>
          <w:sz w:val="32"/>
          <w:szCs w:val="32"/>
        </w:rPr>
        <w:t>万元减少</w:t>
      </w:r>
      <w:r>
        <w:rPr>
          <w:rFonts w:ascii="仿宋_GB2312" w:hAnsi="仿宋" w:eastAsia="仿宋_GB2312" w:cs="仿宋_GB2312"/>
          <w:sz w:val="32"/>
          <w:szCs w:val="32"/>
        </w:rPr>
        <w:t>0.06</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1.75</w:t>
      </w:r>
      <w:r>
        <w:rPr>
          <w:rFonts w:hint="eastAsia" w:ascii="仿宋_GB2312" w:hAnsi="仿宋" w:eastAsia="仿宋_GB2312" w:cs="仿宋_GB2312"/>
          <w:sz w:val="32"/>
          <w:szCs w:val="32"/>
        </w:rPr>
        <w:t>万元较上年度</w:t>
      </w:r>
      <w:r>
        <w:rPr>
          <w:rFonts w:ascii="仿宋_GB2312" w:hAnsi="仿宋" w:eastAsia="仿宋_GB2312" w:cs="仿宋_GB2312"/>
          <w:sz w:val="32"/>
          <w:szCs w:val="32"/>
        </w:rPr>
        <w:t>1.83</w:t>
      </w:r>
      <w:r>
        <w:rPr>
          <w:rFonts w:hint="eastAsia" w:ascii="仿宋_GB2312" w:hAnsi="仿宋" w:eastAsia="仿宋_GB2312" w:cs="仿宋_GB2312"/>
          <w:sz w:val="32"/>
          <w:szCs w:val="32"/>
        </w:rPr>
        <w:t>万元减少</w:t>
      </w:r>
      <w:r>
        <w:rPr>
          <w:rFonts w:ascii="仿宋_GB2312" w:hAnsi="仿宋" w:eastAsia="仿宋_GB2312" w:cs="仿宋_GB2312"/>
          <w:sz w:val="32"/>
          <w:szCs w:val="32"/>
        </w:rPr>
        <w:t>0.08</w:t>
      </w:r>
      <w:r>
        <w:rPr>
          <w:rFonts w:hint="eastAsia" w:ascii="仿宋_GB2312" w:hAnsi="仿宋" w:eastAsia="仿宋_GB2312" w:cs="仿宋_GB2312"/>
          <w:sz w:val="32"/>
          <w:szCs w:val="32"/>
        </w:rPr>
        <w:t>万元，主要是按照党中央、国务院关于过“紧日子”和坚持厉行节约反对浪费的要求，进一步加强公务接待管理，严格控制接待费用；另一方面加强公务用车管理，降低了公务用车成本。</w:t>
      </w:r>
    </w:p>
    <w:p>
      <w:pPr>
        <w:spacing w:line="660" w:lineRule="exact"/>
        <w:ind w:firstLine="627" w:firstLineChars="196"/>
        <w:rPr>
          <w:rFonts w:ascii="黑体" w:hAnsi="黑体" w:eastAsia="黑体" w:cs="Times New Roman"/>
          <w:sz w:val="32"/>
          <w:szCs w:val="32"/>
        </w:rPr>
      </w:pPr>
      <w:r>
        <w:rPr>
          <w:rFonts w:hint="eastAsia" w:ascii="黑体" w:hAnsi="黑体" w:eastAsia="黑体" w:cs="黑体"/>
          <w:sz w:val="32"/>
          <w:szCs w:val="32"/>
        </w:rPr>
        <w:t>三、部门整体支出绩效情况</w:t>
      </w:r>
    </w:p>
    <w:p>
      <w:pPr>
        <w:pStyle w:val="5"/>
        <w:widowControl/>
        <w:wordWrap w:val="0"/>
        <w:spacing w:before="150" w:after="150" w:line="660" w:lineRule="exact"/>
        <w:ind w:firstLine="1280" w:firstLineChars="4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我局积极履职，强化管理，较好地完成了年度工作目标。通过加强预算收支管理，不断建立健全内部管理制度，梳理内部管理流程，部门整体支出管理水平得到提升。根据部门整体支出绩效评价指标体系，我局</w:t>
      </w:r>
      <w:r>
        <w:rPr>
          <w:rFonts w:ascii="仿宋_GB2312" w:hAnsi="仿宋" w:eastAsia="仿宋_GB2312" w:cs="仿宋_GB2312"/>
          <w:sz w:val="32"/>
          <w:szCs w:val="32"/>
        </w:rPr>
        <w:t>2020</w:t>
      </w:r>
      <w:r>
        <w:rPr>
          <w:rFonts w:hint="eastAsia" w:ascii="仿宋_GB2312" w:hAnsi="仿宋" w:eastAsia="仿宋_GB2312" w:cs="仿宋_GB2312"/>
          <w:sz w:val="32"/>
          <w:szCs w:val="32"/>
        </w:rPr>
        <w:t>年度评价得分为</w:t>
      </w:r>
      <w:r>
        <w:rPr>
          <w:rFonts w:ascii="仿宋_GB2312" w:hAnsi="仿宋" w:eastAsia="仿宋_GB2312" w:cs="仿宋_GB2312"/>
          <w:sz w:val="32"/>
          <w:szCs w:val="32"/>
        </w:rPr>
        <w:t>99</w:t>
      </w:r>
      <w:r>
        <w:rPr>
          <w:rFonts w:hint="eastAsia" w:ascii="仿宋_GB2312" w:hAnsi="仿宋" w:eastAsia="仿宋_GB2312" w:cs="仿宋_GB2312"/>
          <w:sz w:val="32"/>
          <w:szCs w:val="32"/>
        </w:rPr>
        <w:t>分。</w:t>
      </w:r>
    </w:p>
    <w:p>
      <w:pPr>
        <w:pStyle w:val="5"/>
        <w:widowControl/>
        <w:wordWrap w:val="0"/>
        <w:spacing w:before="150" w:after="150" w:line="660" w:lineRule="exact"/>
        <w:ind w:firstLine="1280" w:firstLineChars="400"/>
        <w:rPr>
          <w:rFonts w:ascii="仿宋_GB2312" w:hAnsi="仿宋" w:eastAsia="仿宋_GB2312" w:cs="Times New Roman"/>
          <w:sz w:val="32"/>
          <w:szCs w:val="32"/>
        </w:rPr>
      </w:pPr>
      <w:r>
        <w:rPr>
          <w:rFonts w:hint="eastAsia" w:ascii="仿宋_GB2312" w:hAnsi="仿宋" w:eastAsia="仿宋_GB2312" w:cs="仿宋_GB2312"/>
          <w:sz w:val="32"/>
          <w:szCs w:val="32"/>
        </w:rPr>
        <w:t>其中基本支出包括工资福利支出、商品和服务支出以及对个人和家庭的补助。用于保障单位正常运转的日常开支，包括基本工资、对个人和家庭补助等人员经费以及办公费、印刷费、邮电费、加班餐费、劳务费、培训费、咨询费等其他局正常运转所需开支。　</w:t>
      </w:r>
    </w:p>
    <w:p>
      <w:pPr>
        <w:numPr>
          <w:ilvl w:val="0"/>
          <w:numId w:val="4"/>
        </w:numPr>
        <w:spacing w:line="660" w:lineRule="exact"/>
        <w:ind w:firstLine="627" w:firstLineChars="196"/>
        <w:rPr>
          <w:rFonts w:ascii="仿宋_GB2312" w:hAnsi="仿宋_GB2312" w:eastAsia="仿宋_GB2312" w:cs="Times New Roman"/>
          <w:sz w:val="32"/>
          <w:szCs w:val="32"/>
        </w:rPr>
      </w:pPr>
      <w:r>
        <w:rPr>
          <w:rFonts w:hint="eastAsia" w:ascii="黑体" w:hAnsi="黑体" w:eastAsia="黑体" w:cs="黑体"/>
          <w:sz w:val="32"/>
          <w:szCs w:val="32"/>
        </w:rPr>
        <w:t>存在的主要问题及改进措施和有关建议</w:t>
      </w:r>
    </w:p>
    <w:p>
      <w:pPr>
        <w:spacing w:line="660" w:lineRule="exact"/>
        <w:ind w:firstLine="645"/>
        <w:rPr>
          <w:rFonts w:ascii="仿宋_GB2312" w:hAnsi="仿宋" w:eastAsia="仿宋_GB2312" w:cs="Times New Roman"/>
          <w:sz w:val="32"/>
          <w:szCs w:val="32"/>
        </w:rPr>
      </w:pPr>
      <w:r>
        <w:rPr>
          <w:rFonts w:hint="eastAsia" w:ascii="仿宋_GB2312" w:hAnsi="仿宋" w:eastAsia="仿宋_GB2312" w:cs="仿宋_GB2312"/>
          <w:sz w:val="32"/>
          <w:szCs w:val="32"/>
        </w:rPr>
        <w:t>尽管我局的部门整体绩效评价工作取得了一定的成绩，但是也存在一些问题，需要进一步认真研究解决。</w:t>
      </w:r>
    </w:p>
    <w:p>
      <w:pPr>
        <w:numPr>
          <w:ilvl w:val="0"/>
          <w:numId w:val="5"/>
        </w:numPr>
        <w:spacing w:line="660" w:lineRule="exact"/>
        <w:ind w:firstLine="645"/>
        <w:rPr>
          <w:rFonts w:ascii="仿宋_GB2312" w:hAnsi="仿宋" w:eastAsia="仿宋_GB2312" w:cs="Times New Roman"/>
          <w:sz w:val="32"/>
          <w:szCs w:val="32"/>
        </w:rPr>
      </w:pPr>
      <w:r>
        <w:rPr>
          <w:rFonts w:hint="eastAsia" w:ascii="仿宋_GB2312" w:hAnsi="仿宋" w:eastAsia="仿宋_GB2312" w:cs="仿宋_GB2312"/>
          <w:sz w:val="32"/>
          <w:szCs w:val="32"/>
        </w:rPr>
        <w:t>预算编制的合理性有待进一步提高。</w:t>
      </w:r>
    </w:p>
    <w:p>
      <w:pPr>
        <w:numPr>
          <w:ilvl w:val="0"/>
          <w:numId w:val="5"/>
        </w:numPr>
        <w:spacing w:line="660" w:lineRule="exact"/>
        <w:ind w:firstLine="645"/>
        <w:rPr>
          <w:rFonts w:ascii="仿宋_GB2312" w:hAnsi="仿宋" w:eastAsia="仿宋_GB2312" w:cs="Times New Roman"/>
          <w:sz w:val="32"/>
          <w:szCs w:val="32"/>
        </w:rPr>
      </w:pPr>
      <w:r>
        <w:rPr>
          <w:rFonts w:hint="eastAsia" w:ascii="仿宋_GB2312" w:hAnsi="仿宋" w:eastAsia="仿宋_GB2312" w:cs="仿宋_GB2312"/>
          <w:sz w:val="32"/>
          <w:szCs w:val="32"/>
        </w:rPr>
        <w:t>对绩效评价认识不足，对整体支出绩效评价业务仍有不熟悉的地方。</w:t>
      </w:r>
    </w:p>
    <w:p>
      <w:pPr>
        <w:spacing w:line="66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建议：</w:t>
      </w:r>
    </w:p>
    <w:p>
      <w:pPr>
        <w:numPr>
          <w:ilvl w:val="0"/>
          <w:numId w:val="6"/>
        </w:numPr>
        <w:spacing w:line="66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细化预算编制工作，认真做好预算的编制。严格按照预算编制的相关制度和要求进行预算编制，优先保障固定性费用支出，进一步提高预算编制的科学性、严谨性和可控性。</w:t>
      </w:r>
    </w:p>
    <w:p>
      <w:pPr>
        <w:numPr>
          <w:ilvl w:val="0"/>
          <w:numId w:val="6"/>
        </w:numPr>
        <w:spacing w:line="66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加强财务管理，严格财务审批。在费用报账支付时，按照预算规定的费用和用途进行资金使用、审核，列报支付，财务核算杜绝超支现象的发生。</w:t>
      </w:r>
    </w:p>
    <w:p>
      <w:pPr>
        <w:numPr>
          <w:ilvl w:val="0"/>
          <w:numId w:val="6"/>
        </w:numPr>
        <w:spacing w:line="66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持续抓好“三公经费”，控制管理。严格控制“三公经费”的规模和比例，把关“三公经费”支出的审核、审批，进一步细化“三公经费”的管理，合理压缩“三公经费”的支出。</w:t>
      </w:r>
    </w:p>
    <w:p>
      <w:pPr>
        <w:spacing w:line="660" w:lineRule="exact"/>
        <w:ind w:firstLine="645"/>
        <w:rPr>
          <w:rFonts w:ascii="仿宋_GB2312" w:hAnsi="仿宋" w:eastAsia="仿宋_GB2312" w:cs="Times New Roman"/>
          <w:sz w:val="32"/>
          <w:szCs w:val="32"/>
        </w:rPr>
      </w:pPr>
    </w:p>
    <w:p>
      <w:pPr>
        <w:spacing w:line="660" w:lineRule="exact"/>
        <w:ind w:firstLine="3788" w:firstLineChars="1184"/>
        <w:rPr>
          <w:rFonts w:ascii="仿宋_GB2312" w:hAnsi="仿宋" w:eastAsia="仿宋_GB2312" w:cs="Times New Roman"/>
          <w:sz w:val="32"/>
          <w:szCs w:val="32"/>
        </w:rPr>
      </w:pPr>
    </w:p>
    <w:p>
      <w:pPr>
        <w:spacing w:line="660" w:lineRule="exact"/>
        <w:ind w:firstLine="4320" w:firstLineChars="1350"/>
        <w:jc w:val="center"/>
        <w:rPr>
          <w:rFonts w:ascii="仿宋_GB2312" w:hAnsi="仿宋" w:eastAsia="仿宋_GB2312" w:cs="Times New Roman"/>
          <w:sz w:val="32"/>
          <w:szCs w:val="32"/>
        </w:rPr>
      </w:pPr>
      <w:r>
        <w:rPr>
          <w:rFonts w:hint="eastAsia" w:ascii="仿宋_GB2312" w:hAnsi="仿宋" w:eastAsia="仿宋_GB2312" w:cs="仿宋_GB2312"/>
          <w:sz w:val="32"/>
          <w:szCs w:val="32"/>
        </w:rPr>
        <w:t>岳阳市生态环境局君山分局</w:t>
      </w:r>
    </w:p>
    <w:p>
      <w:pPr>
        <w:spacing w:line="660" w:lineRule="exact"/>
        <w:ind w:firstLine="5120" w:firstLineChars="1600"/>
        <w:jc w:val="center"/>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7</w:t>
      </w:r>
      <w:r>
        <w:rPr>
          <w:rFonts w:hint="eastAsia" w:ascii="仿宋_GB2312" w:hAnsi="仿宋" w:eastAsia="仿宋_GB2312" w:cs="仿宋_GB2312"/>
          <w:sz w:val="32"/>
          <w:szCs w:val="32"/>
        </w:rPr>
        <w:t>日</w:t>
      </w:r>
    </w:p>
    <w:p>
      <w:pPr>
        <w:spacing w:line="660" w:lineRule="exact"/>
        <w:ind w:firstLine="4748" w:firstLineChars="1484"/>
        <w:jc w:val="center"/>
        <w:rPr>
          <w:rFonts w:ascii="仿宋_GB2312" w:hAnsi="仿宋" w:eastAsia="仿宋_GB2312" w:cs="Times New Roman"/>
          <w:sz w:val="32"/>
          <w:szCs w:val="32"/>
        </w:rPr>
      </w:pPr>
    </w:p>
    <w:p>
      <w:pPr>
        <w:pStyle w:val="5"/>
        <w:widowControl/>
        <w:shd w:val="clear" w:color="auto" w:fill="FFFFFF"/>
        <w:wordWrap w:val="0"/>
        <w:spacing w:before="150" w:after="150" w:line="660" w:lineRule="exact"/>
        <w:jc w:val="center"/>
        <w:rPr>
          <w:rFonts w:ascii="仿宋_GB2312" w:hAnsi="方正小标宋简体" w:eastAsia="仿宋_GB2312" w:cs="Times New Roman"/>
          <w:sz w:val="44"/>
          <w:szCs w:val="44"/>
          <w:shd w:val="clear" w:color="auto" w:fill="FFFFFF"/>
        </w:rPr>
      </w:pPr>
    </w:p>
    <w:p>
      <w:pPr>
        <w:pStyle w:val="5"/>
        <w:widowControl/>
        <w:shd w:val="clear" w:color="auto" w:fill="FFFFFF"/>
        <w:wordWrap w:val="0"/>
        <w:spacing w:before="150" w:after="150" w:line="660" w:lineRule="exact"/>
        <w:jc w:val="center"/>
        <w:rPr>
          <w:rFonts w:ascii="方正小标宋简体" w:hAnsi="方正小标宋简体" w:eastAsia="方正小标宋简体" w:cs="Times New Roman"/>
          <w:sz w:val="44"/>
          <w:szCs w:val="44"/>
          <w:shd w:val="clear" w:color="auto" w:fill="FFFFFF"/>
        </w:rPr>
      </w:pPr>
    </w:p>
    <w:p>
      <w:pPr>
        <w:ind w:firstLine="640" w:firstLineChars="200"/>
        <w:rPr>
          <w:rFonts w:ascii="宋体" w:cs="Times New Roman"/>
          <w:b/>
          <w:bCs/>
          <w:color w:val="000000"/>
          <w:kern w:val="0"/>
          <w:sz w:val="32"/>
          <w:szCs w:val="32"/>
        </w:rPr>
      </w:pPr>
    </w:p>
    <w:p>
      <w:pPr>
        <w:ind w:firstLine="640" w:firstLineChars="200"/>
        <w:jc w:val="left"/>
        <w:rPr>
          <w:rFonts w:ascii="宋体"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1055F"/>
    <w:multiLevelType w:val="singleLevel"/>
    <w:tmpl w:val="EBB1055F"/>
    <w:lvl w:ilvl="0" w:tentative="0">
      <w:start w:val="4"/>
      <w:numFmt w:val="chineseCounting"/>
      <w:suff w:val="nothing"/>
      <w:lvlText w:val="%1、"/>
      <w:lvlJc w:val="left"/>
      <w:rPr>
        <w:rFonts w:hint="eastAsia" w:ascii="黑体" w:eastAsia="黑体"/>
      </w:rPr>
    </w:lvl>
  </w:abstractNum>
  <w:abstractNum w:abstractNumId="1">
    <w:nsid w:val="EC42FF25"/>
    <w:multiLevelType w:val="singleLevel"/>
    <w:tmpl w:val="EC42FF25"/>
    <w:lvl w:ilvl="0" w:tentative="0">
      <w:start w:val="1"/>
      <w:numFmt w:val="decimal"/>
      <w:suff w:val="nothing"/>
      <w:lvlText w:val="%1、"/>
      <w:lvlJc w:val="left"/>
    </w:lvl>
  </w:abstractNum>
  <w:abstractNum w:abstractNumId="2">
    <w:nsid w:val="FFB5E211"/>
    <w:multiLevelType w:val="singleLevel"/>
    <w:tmpl w:val="FFB5E211"/>
    <w:lvl w:ilvl="0" w:tentative="0">
      <w:start w:val="11"/>
      <w:numFmt w:val="decimal"/>
      <w:suff w:val="nothing"/>
      <w:lvlText w:val="%1、"/>
      <w:lvlJc w:val="left"/>
    </w:lvl>
  </w:abstractNum>
  <w:abstractNum w:abstractNumId="3">
    <w:nsid w:val="0B4A1870"/>
    <w:multiLevelType w:val="singleLevel"/>
    <w:tmpl w:val="0B4A1870"/>
    <w:lvl w:ilvl="0" w:tentative="0">
      <w:start w:val="2"/>
      <w:numFmt w:val="decimal"/>
      <w:suff w:val="nothing"/>
      <w:lvlText w:val="%1、"/>
      <w:lvlJc w:val="left"/>
    </w:lvl>
  </w:abstractNum>
  <w:abstractNum w:abstractNumId="4">
    <w:nsid w:val="4B562BD3"/>
    <w:multiLevelType w:val="singleLevel"/>
    <w:tmpl w:val="4B562BD3"/>
    <w:lvl w:ilvl="0" w:tentative="0">
      <w:start w:val="1"/>
      <w:numFmt w:val="decimal"/>
      <w:suff w:val="nothing"/>
      <w:lvlText w:val="%1、"/>
      <w:lvlJc w:val="left"/>
    </w:lvl>
  </w:abstractNum>
  <w:abstractNum w:abstractNumId="5">
    <w:nsid w:val="5AFCB30A"/>
    <w:multiLevelType w:val="singleLevel"/>
    <w:tmpl w:val="5AFCB30A"/>
    <w:lvl w:ilvl="0" w:tentative="0">
      <w:start w:val="5"/>
      <w:numFmt w:val="decimal"/>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0E384F"/>
    <w:rsid w:val="000E3A6D"/>
    <w:rsid w:val="000E3EB2"/>
    <w:rsid w:val="00103957"/>
    <w:rsid w:val="00111E6D"/>
    <w:rsid w:val="00152C6D"/>
    <w:rsid w:val="00157FB0"/>
    <w:rsid w:val="00161D7A"/>
    <w:rsid w:val="00162D39"/>
    <w:rsid w:val="001678BD"/>
    <w:rsid w:val="00185DB4"/>
    <w:rsid w:val="001A2AE9"/>
    <w:rsid w:val="001A67DB"/>
    <w:rsid w:val="001C3C29"/>
    <w:rsid w:val="001D4F1A"/>
    <w:rsid w:val="001D51E5"/>
    <w:rsid w:val="001D52EB"/>
    <w:rsid w:val="001E080D"/>
    <w:rsid w:val="001E53D0"/>
    <w:rsid w:val="001F0C3B"/>
    <w:rsid w:val="00202C82"/>
    <w:rsid w:val="00210B4D"/>
    <w:rsid w:val="00214427"/>
    <w:rsid w:val="00226CB7"/>
    <w:rsid w:val="00264552"/>
    <w:rsid w:val="00264EF9"/>
    <w:rsid w:val="00265724"/>
    <w:rsid w:val="0027426B"/>
    <w:rsid w:val="002D7169"/>
    <w:rsid w:val="002E0A30"/>
    <w:rsid w:val="002F0DF7"/>
    <w:rsid w:val="003003B0"/>
    <w:rsid w:val="00302B5D"/>
    <w:rsid w:val="003130C4"/>
    <w:rsid w:val="00316C4B"/>
    <w:rsid w:val="0032192B"/>
    <w:rsid w:val="003479BD"/>
    <w:rsid w:val="00352F55"/>
    <w:rsid w:val="00353197"/>
    <w:rsid w:val="0037197D"/>
    <w:rsid w:val="003768D5"/>
    <w:rsid w:val="003C47E6"/>
    <w:rsid w:val="003C4FC2"/>
    <w:rsid w:val="00416E61"/>
    <w:rsid w:val="00420D95"/>
    <w:rsid w:val="0042790C"/>
    <w:rsid w:val="004367D0"/>
    <w:rsid w:val="004506F9"/>
    <w:rsid w:val="0045103F"/>
    <w:rsid w:val="004717A2"/>
    <w:rsid w:val="00473DF3"/>
    <w:rsid w:val="00487911"/>
    <w:rsid w:val="00491741"/>
    <w:rsid w:val="004A1D7E"/>
    <w:rsid w:val="00500E5F"/>
    <w:rsid w:val="005122EF"/>
    <w:rsid w:val="0051441A"/>
    <w:rsid w:val="00515FBA"/>
    <w:rsid w:val="00517C33"/>
    <w:rsid w:val="00523644"/>
    <w:rsid w:val="0054069E"/>
    <w:rsid w:val="00541D50"/>
    <w:rsid w:val="00544866"/>
    <w:rsid w:val="005767CC"/>
    <w:rsid w:val="00584B11"/>
    <w:rsid w:val="00590D9F"/>
    <w:rsid w:val="00595D26"/>
    <w:rsid w:val="005A74E6"/>
    <w:rsid w:val="005B399C"/>
    <w:rsid w:val="005B404E"/>
    <w:rsid w:val="005B74B2"/>
    <w:rsid w:val="005C4DE8"/>
    <w:rsid w:val="005D4D55"/>
    <w:rsid w:val="005E2CFB"/>
    <w:rsid w:val="005F3D1C"/>
    <w:rsid w:val="0062378F"/>
    <w:rsid w:val="00630BD0"/>
    <w:rsid w:val="00641842"/>
    <w:rsid w:val="00651EEC"/>
    <w:rsid w:val="00652737"/>
    <w:rsid w:val="006677AE"/>
    <w:rsid w:val="00677D5E"/>
    <w:rsid w:val="00691E8C"/>
    <w:rsid w:val="006A22C4"/>
    <w:rsid w:val="006A2385"/>
    <w:rsid w:val="006A351B"/>
    <w:rsid w:val="006B0422"/>
    <w:rsid w:val="006C1B53"/>
    <w:rsid w:val="006C6EB4"/>
    <w:rsid w:val="006D7730"/>
    <w:rsid w:val="006E5284"/>
    <w:rsid w:val="006F3EB5"/>
    <w:rsid w:val="00702E34"/>
    <w:rsid w:val="00704395"/>
    <w:rsid w:val="00717006"/>
    <w:rsid w:val="00717621"/>
    <w:rsid w:val="00720FF1"/>
    <w:rsid w:val="00727A53"/>
    <w:rsid w:val="00735F76"/>
    <w:rsid w:val="00770C9A"/>
    <w:rsid w:val="00771848"/>
    <w:rsid w:val="00787B42"/>
    <w:rsid w:val="007B579B"/>
    <w:rsid w:val="007C4539"/>
    <w:rsid w:val="007C7749"/>
    <w:rsid w:val="007F3657"/>
    <w:rsid w:val="00812ED5"/>
    <w:rsid w:val="00823BED"/>
    <w:rsid w:val="008277D9"/>
    <w:rsid w:val="00832655"/>
    <w:rsid w:val="0084478C"/>
    <w:rsid w:val="0086638C"/>
    <w:rsid w:val="0089413F"/>
    <w:rsid w:val="008A3E8D"/>
    <w:rsid w:val="008B79F1"/>
    <w:rsid w:val="009237C4"/>
    <w:rsid w:val="00944C48"/>
    <w:rsid w:val="00950252"/>
    <w:rsid w:val="00962560"/>
    <w:rsid w:val="00966EDF"/>
    <w:rsid w:val="00967F5D"/>
    <w:rsid w:val="009A0F95"/>
    <w:rsid w:val="009B3ADF"/>
    <w:rsid w:val="009B5DAD"/>
    <w:rsid w:val="009C3B52"/>
    <w:rsid w:val="009D3CF7"/>
    <w:rsid w:val="009E6817"/>
    <w:rsid w:val="009E6E9A"/>
    <w:rsid w:val="009F4D61"/>
    <w:rsid w:val="00A01D2B"/>
    <w:rsid w:val="00A42218"/>
    <w:rsid w:val="00A478AA"/>
    <w:rsid w:val="00A70249"/>
    <w:rsid w:val="00A70B02"/>
    <w:rsid w:val="00A71D9F"/>
    <w:rsid w:val="00A92E9F"/>
    <w:rsid w:val="00AC02CA"/>
    <w:rsid w:val="00AF3B9E"/>
    <w:rsid w:val="00B12847"/>
    <w:rsid w:val="00B20539"/>
    <w:rsid w:val="00B3384E"/>
    <w:rsid w:val="00B33BEA"/>
    <w:rsid w:val="00B57C9F"/>
    <w:rsid w:val="00B63572"/>
    <w:rsid w:val="00B845B3"/>
    <w:rsid w:val="00B85D8B"/>
    <w:rsid w:val="00BB4A40"/>
    <w:rsid w:val="00BD4970"/>
    <w:rsid w:val="00BD6C3E"/>
    <w:rsid w:val="00BE3674"/>
    <w:rsid w:val="00C10681"/>
    <w:rsid w:val="00C3049A"/>
    <w:rsid w:val="00C31B1E"/>
    <w:rsid w:val="00C65323"/>
    <w:rsid w:val="00C77645"/>
    <w:rsid w:val="00CE04C3"/>
    <w:rsid w:val="00CE76A0"/>
    <w:rsid w:val="00D05F0E"/>
    <w:rsid w:val="00D148C6"/>
    <w:rsid w:val="00D17A8A"/>
    <w:rsid w:val="00D27C8D"/>
    <w:rsid w:val="00D415BA"/>
    <w:rsid w:val="00D644EE"/>
    <w:rsid w:val="00D7197E"/>
    <w:rsid w:val="00DD06FF"/>
    <w:rsid w:val="00DD5FE9"/>
    <w:rsid w:val="00DE398C"/>
    <w:rsid w:val="00DF3DE2"/>
    <w:rsid w:val="00DF4ABC"/>
    <w:rsid w:val="00E00C7A"/>
    <w:rsid w:val="00E37D6C"/>
    <w:rsid w:val="00E55B68"/>
    <w:rsid w:val="00E576F7"/>
    <w:rsid w:val="00E67BE6"/>
    <w:rsid w:val="00E8683C"/>
    <w:rsid w:val="00EA2B72"/>
    <w:rsid w:val="00EC1DBA"/>
    <w:rsid w:val="00ED1C0B"/>
    <w:rsid w:val="00ED5BFF"/>
    <w:rsid w:val="00F00D1B"/>
    <w:rsid w:val="00F02B98"/>
    <w:rsid w:val="00F25261"/>
    <w:rsid w:val="00F74360"/>
    <w:rsid w:val="00FB462F"/>
    <w:rsid w:val="00FE16FA"/>
    <w:rsid w:val="00FE328A"/>
    <w:rsid w:val="00FE6269"/>
    <w:rsid w:val="01310A93"/>
    <w:rsid w:val="033A16B4"/>
    <w:rsid w:val="03B93F50"/>
    <w:rsid w:val="045C7599"/>
    <w:rsid w:val="0484524C"/>
    <w:rsid w:val="04A67F0C"/>
    <w:rsid w:val="067F18CF"/>
    <w:rsid w:val="073960E9"/>
    <w:rsid w:val="08414320"/>
    <w:rsid w:val="08661689"/>
    <w:rsid w:val="08CD0AEB"/>
    <w:rsid w:val="09A13702"/>
    <w:rsid w:val="09C45774"/>
    <w:rsid w:val="09D44AB8"/>
    <w:rsid w:val="0B1A42A1"/>
    <w:rsid w:val="0B82535B"/>
    <w:rsid w:val="0C996642"/>
    <w:rsid w:val="0CF30D1D"/>
    <w:rsid w:val="0D7247CA"/>
    <w:rsid w:val="0D757E32"/>
    <w:rsid w:val="0E785562"/>
    <w:rsid w:val="0E7D0B2F"/>
    <w:rsid w:val="0EAC6700"/>
    <w:rsid w:val="0F9434F9"/>
    <w:rsid w:val="11426C84"/>
    <w:rsid w:val="122A6A50"/>
    <w:rsid w:val="129E2F01"/>
    <w:rsid w:val="13FC42CD"/>
    <w:rsid w:val="14015EC5"/>
    <w:rsid w:val="14034A79"/>
    <w:rsid w:val="143B7386"/>
    <w:rsid w:val="14833F81"/>
    <w:rsid w:val="14C64266"/>
    <w:rsid w:val="15233C15"/>
    <w:rsid w:val="15DB6DD8"/>
    <w:rsid w:val="15F17596"/>
    <w:rsid w:val="16463FC6"/>
    <w:rsid w:val="164D038D"/>
    <w:rsid w:val="16F76741"/>
    <w:rsid w:val="17204BAB"/>
    <w:rsid w:val="17214251"/>
    <w:rsid w:val="17531FE8"/>
    <w:rsid w:val="197572CE"/>
    <w:rsid w:val="19865D87"/>
    <w:rsid w:val="1A4A472C"/>
    <w:rsid w:val="1B9262FE"/>
    <w:rsid w:val="1C506C15"/>
    <w:rsid w:val="1CC139FB"/>
    <w:rsid w:val="1FEB068A"/>
    <w:rsid w:val="20951406"/>
    <w:rsid w:val="20A606B4"/>
    <w:rsid w:val="212B5C15"/>
    <w:rsid w:val="22137D52"/>
    <w:rsid w:val="22B804F8"/>
    <w:rsid w:val="24AE2933"/>
    <w:rsid w:val="25117346"/>
    <w:rsid w:val="258B6ADB"/>
    <w:rsid w:val="26390707"/>
    <w:rsid w:val="27E76F18"/>
    <w:rsid w:val="296C64D2"/>
    <w:rsid w:val="2A2D7527"/>
    <w:rsid w:val="2B54003D"/>
    <w:rsid w:val="2BFA30C7"/>
    <w:rsid w:val="2D072CB7"/>
    <w:rsid w:val="2EDC2517"/>
    <w:rsid w:val="2FEE35AF"/>
    <w:rsid w:val="301B5272"/>
    <w:rsid w:val="326C618C"/>
    <w:rsid w:val="32B55869"/>
    <w:rsid w:val="335D0C90"/>
    <w:rsid w:val="3530259E"/>
    <w:rsid w:val="35A016E8"/>
    <w:rsid w:val="3635041D"/>
    <w:rsid w:val="36351124"/>
    <w:rsid w:val="36616A90"/>
    <w:rsid w:val="36897040"/>
    <w:rsid w:val="3691126C"/>
    <w:rsid w:val="36F8638E"/>
    <w:rsid w:val="372D79C8"/>
    <w:rsid w:val="37A95756"/>
    <w:rsid w:val="37D54595"/>
    <w:rsid w:val="386B7A1C"/>
    <w:rsid w:val="39BD2977"/>
    <w:rsid w:val="39FA1367"/>
    <w:rsid w:val="3A1160FF"/>
    <w:rsid w:val="3C15461D"/>
    <w:rsid w:val="3C4B7B0F"/>
    <w:rsid w:val="3C5D014A"/>
    <w:rsid w:val="3CE81B68"/>
    <w:rsid w:val="3E693B97"/>
    <w:rsid w:val="412870BF"/>
    <w:rsid w:val="41D42D26"/>
    <w:rsid w:val="422A4BB7"/>
    <w:rsid w:val="42514FB4"/>
    <w:rsid w:val="42613F4A"/>
    <w:rsid w:val="43553891"/>
    <w:rsid w:val="43FB79D9"/>
    <w:rsid w:val="45AC3B6A"/>
    <w:rsid w:val="45BB54E5"/>
    <w:rsid w:val="46D3062A"/>
    <w:rsid w:val="476872D3"/>
    <w:rsid w:val="48435917"/>
    <w:rsid w:val="48546470"/>
    <w:rsid w:val="489245D3"/>
    <w:rsid w:val="4AFE5EF2"/>
    <w:rsid w:val="4B6B6814"/>
    <w:rsid w:val="4E432F43"/>
    <w:rsid w:val="4FA34A02"/>
    <w:rsid w:val="4FA86A47"/>
    <w:rsid w:val="507F0214"/>
    <w:rsid w:val="50EF74E0"/>
    <w:rsid w:val="51630B80"/>
    <w:rsid w:val="51F04095"/>
    <w:rsid w:val="5292759E"/>
    <w:rsid w:val="53857742"/>
    <w:rsid w:val="53EB1675"/>
    <w:rsid w:val="5412649A"/>
    <w:rsid w:val="544C35F1"/>
    <w:rsid w:val="54AC4E4A"/>
    <w:rsid w:val="55546FFA"/>
    <w:rsid w:val="558B01B3"/>
    <w:rsid w:val="56392D9D"/>
    <w:rsid w:val="57A8578F"/>
    <w:rsid w:val="58333538"/>
    <w:rsid w:val="58943760"/>
    <w:rsid w:val="591F75F5"/>
    <w:rsid w:val="5971471D"/>
    <w:rsid w:val="5AD770F2"/>
    <w:rsid w:val="5BAF6C35"/>
    <w:rsid w:val="5BE91EF0"/>
    <w:rsid w:val="5C324289"/>
    <w:rsid w:val="5C5A77EF"/>
    <w:rsid w:val="5C6E1730"/>
    <w:rsid w:val="5EBC2F7D"/>
    <w:rsid w:val="5FA649C3"/>
    <w:rsid w:val="608F7035"/>
    <w:rsid w:val="60E24836"/>
    <w:rsid w:val="61337211"/>
    <w:rsid w:val="62322610"/>
    <w:rsid w:val="626131A1"/>
    <w:rsid w:val="640E28DE"/>
    <w:rsid w:val="642119D6"/>
    <w:rsid w:val="65B11419"/>
    <w:rsid w:val="666D6159"/>
    <w:rsid w:val="6843739D"/>
    <w:rsid w:val="68784240"/>
    <w:rsid w:val="69372274"/>
    <w:rsid w:val="6A034E50"/>
    <w:rsid w:val="6A6F6B18"/>
    <w:rsid w:val="6AEC0293"/>
    <w:rsid w:val="6AF711A2"/>
    <w:rsid w:val="6B2908FB"/>
    <w:rsid w:val="6B7127D1"/>
    <w:rsid w:val="6C27340F"/>
    <w:rsid w:val="6CC97836"/>
    <w:rsid w:val="6E3F7AF4"/>
    <w:rsid w:val="6E633B62"/>
    <w:rsid w:val="6F4909EB"/>
    <w:rsid w:val="6FC4753A"/>
    <w:rsid w:val="707C19DA"/>
    <w:rsid w:val="719119C0"/>
    <w:rsid w:val="7268171A"/>
    <w:rsid w:val="7486704C"/>
    <w:rsid w:val="76E17ABF"/>
    <w:rsid w:val="77780230"/>
    <w:rsid w:val="78516E85"/>
    <w:rsid w:val="78BB2DC9"/>
    <w:rsid w:val="79852E79"/>
    <w:rsid w:val="7A756AEB"/>
    <w:rsid w:val="7D135B34"/>
    <w:rsid w:val="7F2B04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szCs w:val="24"/>
    </w:rPr>
  </w:style>
  <w:style w:type="character" w:customStyle="1" w:styleId="8">
    <w:name w:val="Balloon Text Char"/>
    <w:basedOn w:val="7"/>
    <w:link w:val="2"/>
    <w:semiHidden/>
    <w:qFormat/>
    <w:locked/>
    <w:uiPriority w:val="99"/>
    <w:rPr>
      <w:sz w:val="18"/>
      <w:szCs w:val="18"/>
    </w:rPr>
  </w:style>
  <w:style w:type="character" w:customStyle="1" w:styleId="9">
    <w:name w:val="Footer Char"/>
    <w:basedOn w:val="7"/>
    <w:link w:val="3"/>
    <w:qFormat/>
    <w:locked/>
    <w:uiPriority w:val="99"/>
    <w:rPr>
      <w:sz w:val="18"/>
      <w:szCs w:val="18"/>
    </w:rPr>
  </w:style>
  <w:style w:type="character" w:customStyle="1" w:styleId="10">
    <w:name w:val="Header Char"/>
    <w:basedOn w:val="7"/>
    <w:link w:val="4"/>
    <w:qFormat/>
    <w:locked/>
    <w:uiPriority w:val="99"/>
    <w:rPr>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6704</Words>
  <Characters>7206</Characters>
  <Lines>0</Lines>
  <Paragraphs>0</Paragraphs>
  <TotalTime>8</TotalTime>
  <ScaleCrop>false</ScaleCrop>
  <LinksUpToDate>false</LinksUpToDate>
  <CharactersWithSpaces>7210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2022-04-25T06:05:05Z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CDBA297C0F094F2D8B88FE87CDC52361</vt:lpwstr>
  </property>
  <property fmtid="{D5CDD505-2E9C-101B-9397-08002B2CF9AE}" pid="4" name="commondata">
    <vt:lpwstr>eyJoZGlkIjoiNjMzNDgxMjhhODc3NjM5NTgxM2Q5NjE1NjM1ZWIxYjUifQ==</vt:lpwstr>
  </property>
</Properties>
</file>