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480" w:lineRule="exact"/>
        <w:textAlignment w:val="top"/>
        <w:rPr>
          <w:rFonts w:eastAsia="黑体"/>
          <w:b/>
          <w:kern w:val="2"/>
          <w:sz w:val="36"/>
          <w:szCs w:val="22"/>
        </w:rPr>
      </w:pPr>
    </w:p>
    <w:p>
      <w:pPr>
        <w:pStyle w:val="8"/>
        <w:spacing w:line="480" w:lineRule="exact"/>
        <w:textAlignment w:val="top"/>
        <w:rPr>
          <w:rFonts w:eastAsia="黑体"/>
          <w:b/>
          <w:kern w:val="2"/>
          <w:sz w:val="36"/>
          <w:szCs w:val="22"/>
        </w:rPr>
      </w:pPr>
    </w:p>
    <w:p>
      <w:pPr>
        <w:pStyle w:val="8"/>
        <w:spacing w:line="480" w:lineRule="exact"/>
        <w:textAlignment w:val="top"/>
        <w:rPr>
          <w:rFonts w:eastAsia="黑体"/>
          <w:b/>
          <w:kern w:val="2"/>
          <w:sz w:val="36"/>
          <w:szCs w:val="22"/>
        </w:rPr>
      </w:pPr>
    </w:p>
    <w:p>
      <w:pPr>
        <w:pStyle w:val="8"/>
        <w:spacing w:line="480" w:lineRule="exact"/>
        <w:textAlignment w:val="top"/>
        <w:rPr>
          <w:rFonts w:eastAsia="黑体"/>
          <w:b/>
          <w:kern w:val="2"/>
          <w:sz w:val="36"/>
          <w:szCs w:val="22"/>
        </w:rPr>
      </w:pPr>
    </w:p>
    <w:p>
      <w:pPr>
        <w:pStyle w:val="8"/>
        <w:spacing w:line="480" w:lineRule="exact"/>
        <w:textAlignment w:val="top"/>
        <w:rPr>
          <w:rFonts w:eastAsia="黑体"/>
          <w:b/>
          <w:kern w:val="2"/>
          <w:sz w:val="36"/>
          <w:szCs w:val="22"/>
        </w:rPr>
      </w:pPr>
    </w:p>
    <w:p>
      <w:pPr>
        <w:pStyle w:val="8"/>
        <w:spacing w:line="480" w:lineRule="exact"/>
        <w:jc w:val="right"/>
        <w:textAlignment w:val="top"/>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岳环评 [20</w:t>
      </w:r>
      <w:r>
        <w:rPr>
          <w:rFonts w:hint="eastAsia" w:ascii="仿宋" w:hAnsi="仿宋" w:eastAsia="仿宋" w:cs="仿宋_GB2312"/>
          <w:sz w:val="32"/>
          <w:szCs w:val="32"/>
          <w:lang w:val="en-US" w:eastAsia="zh-CN"/>
        </w:rPr>
        <w:t>21</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37</w:t>
      </w:r>
      <w:r>
        <w:rPr>
          <w:rFonts w:hint="eastAsia" w:ascii="仿宋" w:hAnsi="仿宋" w:eastAsia="仿宋" w:cs="仿宋_GB2312"/>
          <w:sz w:val="32"/>
          <w:szCs w:val="32"/>
          <w:lang w:eastAsia="zh-CN"/>
        </w:rPr>
        <w:t>号</w:t>
      </w:r>
    </w:p>
    <w:p>
      <w:pPr>
        <w:pStyle w:val="8"/>
        <w:spacing w:line="480" w:lineRule="exact"/>
        <w:jc w:val="center"/>
        <w:textAlignment w:val="top"/>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关于湖南顺屹工程机械有限公司年产塔机配套结构件12000套建设项目环境影响报告书的批复</w:t>
      </w:r>
    </w:p>
    <w:p>
      <w:pPr>
        <w:pStyle w:val="8"/>
        <w:spacing w:line="480" w:lineRule="exact"/>
        <w:jc w:val="center"/>
        <w:textAlignment w:val="top"/>
        <w:rPr>
          <w:rFonts w:hint="eastAsia" w:ascii="黑体" w:hAnsi="黑体" w:eastAsia="黑体" w:cs="黑体"/>
          <w:b/>
          <w:bCs/>
          <w:sz w:val="36"/>
          <w:szCs w:val="36"/>
          <w:lang w:eastAsia="zh-CN"/>
        </w:rPr>
      </w:pPr>
    </w:p>
    <w:p>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湖南顺屹工程机械有限公司：</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你公司《关于申请</w:t>
      </w:r>
      <w:r>
        <w:rPr>
          <w:rFonts w:hint="eastAsia" w:ascii="仿宋" w:hAnsi="仿宋" w:eastAsia="仿宋" w:cs="仿宋"/>
          <w:sz w:val="32"/>
          <w:szCs w:val="32"/>
          <w:lang w:val="en-US" w:eastAsia="zh-CN"/>
        </w:rPr>
        <w:t>批复&lt;</w:t>
      </w:r>
      <w:r>
        <w:rPr>
          <w:rFonts w:hint="eastAsia" w:ascii="仿宋" w:hAnsi="仿宋" w:eastAsia="仿宋" w:cs="仿宋"/>
          <w:sz w:val="32"/>
          <w:szCs w:val="32"/>
          <w:lang w:eastAsia="zh-CN"/>
        </w:rPr>
        <w:t>湖南顺屹工程机械有限公司年产塔机配套结构件12000套建设项目</w:t>
      </w:r>
      <w:r>
        <w:rPr>
          <w:rFonts w:hint="eastAsia" w:ascii="仿宋" w:hAnsi="仿宋" w:eastAsia="仿宋" w:cs="仿宋"/>
          <w:sz w:val="32"/>
          <w:szCs w:val="32"/>
          <w:lang w:val="en-US" w:eastAsia="zh-CN"/>
        </w:rPr>
        <w:t>环境影响报告书&gt;</w:t>
      </w:r>
      <w:r>
        <w:rPr>
          <w:rFonts w:hint="eastAsia" w:ascii="仿宋" w:hAnsi="仿宋" w:eastAsia="仿宋" w:cs="仿宋"/>
          <w:sz w:val="32"/>
          <w:szCs w:val="32"/>
          <w:lang w:eastAsia="zh-CN"/>
        </w:rPr>
        <w:t>的报告》、岳阳市生态环境局汨罗分局的预审意见及有关附件收悉。经研究，批复如下：</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一、湖南顺屹工程机械有限公司位于汨罗高新技术产业开发区弼时片区塾塘路与陶家湾路交汇处东北角，根据项目环评</w:t>
      </w:r>
      <w:r>
        <w:rPr>
          <w:rFonts w:hint="default" w:ascii="仿宋" w:hAnsi="仿宋" w:eastAsia="仿宋" w:cs="仿宋"/>
          <w:sz w:val="32"/>
          <w:szCs w:val="32"/>
          <w:lang w:val="en-US" w:eastAsia="zh-CN"/>
        </w:rPr>
        <w:t>及</w:t>
      </w:r>
      <w:r>
        <w:rPr>
          <w:rFonts w:hint="eastAsia" w:ascii="仿宋" w:hAnsi="仿宋" w:eastAsia="仿宋" w:cs="仿宋"/>
          <w:sz w:val="32"/>
          <w:szCs w:val="32"/>
          <w:lang w:eastAsia="zh-CN"/>
        </w:rPr>
        <w:t>公司提供的其他资料，</w:t>
      </w:r>
      <w:r>
        <w:rPr>
          <w:rFonts w:hint="default" w:ascii="仿宋" w:hAnsi="仿宋" w:eastAsia="仿宋" w:cs="仿宋"/>
          <w:sz w:val="32"/>
          <w:szCs w:val="32"/>
          <w:lang w:val="en-US" w:eastAsia="zh-CN"/>
        </w:rPr>
        <w:t>项</w:t>
      </w:r>
      <w:r>
        <w:rPr>
          <w:rFonts w:hint="eastAsia" w:ascii="仿宋" w:hAnsi="仿宋" w:eastAsia="仿宋" w:cs="仿宋"/>
          <w:sz w:val="32"/>
          <w:szCs w:val="32"/>
          <w:lang w:val="en-US" w:eastAsia="zh-CN"/>
        </w:rPr>
        <w:t>目</w:t>
      </w:r>
      <w:r>
        <w:rPr>
          <w:rFonts w:hint="eastAsia" w:ascii="仿宋" w:hAnsi="仿宋" w:eastAsia="仿宋" w:cs="仿宋"/>
          <w:sz w:val="32"/>
          <w:szCs w:val="32"/>
          <w:lang w:eastAsia="zh-CN"/>
        </w:rPr>
        <w:t>拟投资</w:t>
      </w:r>
      <w:r>
        <w:rPr>
          <w:rFonts w:hint="eastAsia" w:ascii="仿宋" w:hAnsi="仿宋" w:eastAsia="仿宋" w:cs="仿宋"/>
          <w:sz w:val="32"/>
          <w:szCs w:val="32"/>
          <w:lang w:val="en-US" w:eastAsia="zh-CN"/>
        </w:rPr>
        <w:t>5000</w:t>
      </w:r>
      <w:r>
        <w:rPr>
          <w:rFonts w:hint="eastAsia" w:ascii="仿宋" w:hAnsi="仿宋" w:eastAsia="仿宋" w:cs="仿宋"/>
          <w:sz w:val="32"/>
          <w:szCs w:val="32"/>
          <w:lang w:eastAsia="zh-CN"/>
        </w:rPr>
        <w:t>万元，占地面积</w:t>
      </w:r>
      <w:r>
        <w:rPr>
          <w:rFonts w:hint="eastAsia" w:ascii="仿宋" w:hAnsi="仿宋" w:eastAsia="仿宋" w:cs="仿宋"/>
          <w:sz w:val="32"/>
          <w:szCs w:val="32"/>
          <w:lang w:val="en-US" w:eastAsia="zh-CN"/>
        </w:rPr>
        <w:t>16799</w:t>
      </w:r>
      <w:r>
        <w:rPr>
          <w:rFonts w:hint="eastAsia" w:ascii="仿宋" w:hAnsi="仿宋" w:eastAsia="仿宋" w:cs="仿宋"/>
          <w:sz w:val="32"/>
          <w:szCs w:val="32"/>
          <w:lang w:eastAsia="zh-CN"/>
        </w:rPr>
        <w:t>m</w:t>
      </w:r>
      <w:r>
        <w:rPr>
          <w:rFonts w:hint="eastAsia" w:ascii="仿宋" w:hAnsi="仿宋" w:eastAsia="仿宋" w:cs="仿宋"/>
          <w:sz w:val="32"/>
          <w:szCs w:val="32"/>
          <w:vertAlign w:val="superscript"/>
          <w:lang w:eastAsia="zh-CN"/>
        </w:rPr>
        <w:t>2</w:t>
      </w:r>
      <w:r>
        <w:rPr>
          <w:rFonts w:hint="eastAsia" w:ascii="仿宋" w:hAnsi="仿宋" w:eastAsia="仿宋" w:cs="仿宋"/>
          <w:sz w:val="32"/>
          <w:szCs w:val="32"/>
          <w:lang w:eastAsia="zh-CN"/>
        </w:rPr>
        <w:t>，建筑面积</w:t>
      </w:r>
      <w:r>
        <w:rPr>
          <w:rFonts w:hint="eastAsia" w:ascii="仿宋" w:hAnsi="仿宋" w:eastAsia="仿宋" w:cs="仿宋"/>
          <w:sz w:val="32"/>
          <w:szCs w:val="32"/>
          <w:lang w:val="en-US" w:eastAsia="zh-CN"/>
        </w:rPr>
        <w:t>11546</w:t>
      </w:r>
      <w:r>
        <w:rPr>
          <w:rFonts w:hint="eastAsia" w:ascii="仿宋" w:hAnsi="仿宋" w:eastAsia="仿宋" w:cs="仿宋"/>
          <w:sz w:val="32"/>
          <w:szCs w:val="32"/>
          <w:lang w:eastAsia="zh-CN"/>
        </w:rPr>
        <w:t>m</w:t>
      </w:r>
      <w:r>
        <w:rPr>
          <w:rFonts w:hint="eastAsia" w:ascii="仿宋" w:hAnsi="仿宋" w:eastAsia="仿宋" w:cs="仿宋"/>
          <w:sz w:val="32"/>
          <w:szCs w:val="32"/>
          <w:vertAlign w:val="superscript"/>
          <w:lang w:eastAsia="zh-CN"/>
        </w:rPr>
        <w:t>2</w:t>
      </w:r>
      <w:r>
        <w:rPr>
          <w:rFonts w:hint="eastAsia" w:ascii="仿宋" w:hAnsi="仿宋" w:eastAsia="仿宋" w:cs="仿宋"/>
          <w:sz w:val="32"/>
          <w:szCs w:val="32"/>
          <w:lang w:eastAsia="zh-CN"/>
        </w:rPr>
        <w:t>。利用铁构件、盐酸、锌锭、氯化锌、氯化铵、无铬钝化液、脱脂剂、硅烷化药剂、电泳漆、油漆等为原辅材料，通过下料、机加工、酸洗、漂洗、助镀、热浸镀锌、钝化、自然风干、脱脂、硅烷化、电泳、喷漆、烘干固化等工序生产塔机配套结构件；主要建设内容为：新建1栋1F生产车间、1栋1</w:t>
      </w:r>
      <w:bookmarkStart w:id="0" w:name="_GoBack"/>
      <w:bookmarkEnd w:id="0"/>
      <w:r>
        <w:rPr>
          <w:rFonts w:hint="eastAsia" w:ascii="仿宋" w:hAnsi="仿宋" w:eastAsia="仿宋" w:cs="仿宋"/>
          <w:sz w:val="32"/>
          <w:szCs w:val="32"/>
          <w:lang w:eastAsia="zh-CN"/>
        </w:rPr>
        <w:t>F门卫室、1栋4F综合楼及废气废水处理设施和给排水、供配电、绿化、道路等基础设施。根据湖南德顺环境服务有限公司编制的《湖南顺屹工程机械有限公司年产塔机配套结构件12000套建设项目环境影响报告书（报批稿）》基本内容、结论、专家评审意见、岳阳市生态环境局汨罗分局预审意见，综合考虑，</w:t>
      </w:r>
      <w:r>
        <w:rPr>
          <w:rFonts w:hint="eastAsia" w:ascii="仿宋" w:hAnsi="仿宋" w:eastAsia="仿宋"/>
          <w:sz w:val="32"/>
          <w:szCs w:val="32"/>
        </w:rPr>
        <w:t>我局原则同意你公司环境影响报告书中</w:t>
      </w:r>
      <w:r>
        <w:rPr>
          <w:rFonts w:hint="eastAsia" w:ascii="仿宋" w:hAnsi="仿宋" w:eastAsia="仿宋"/>
          <w:sz w:val="32"/>
          <w:szCs w:val="32"/>
          <w:lang w:eastAsia="zh-CN"/>
        </w:rPr>
        <w:t>所</w:t>
      </w:r>
      <w:r>
        <w:rPr>
          <w:rFonts w:hint="default" w:ascii="仿宋" w:hAnsi="仿宋" w:eastAsia="仿宋"/>
          <w:sz w:val="32"/>
          <w:szCs w:val="32"/>
          <w:lang w:val="en-US" w:eastAsia="zh-CN"/>
        </w:rPr>
        <w:t>列</w:t>
      </w:r>
      <w:r>
        <w:rPr>
          <w:rFonts w:hint="eastAsia" w:ascii="仿宋" w:hAnsi="仿宋" w:eastAsia="仿宋"/>
          <w:sz w:val="32"/>
          <w:szCs w:val="32"/>
          <w:lang w:val="en-US" w:eastAsia="zh-CN"/>
        </w:rPr>
        <w:t>建设</w:t>
      </w:r>
      <w:r>
        <w:rPr>
          <w:rFonts w:hint="default" w:ascii="仿宋" w:hAnsi="仿宋" w:eastAsia="仿宋"/>
          <w:sz w:val="32"/>
          <w:szCs w:val="32"/>
          <w:lang w:val="en-US" w:eastAsia="zh-CN"/>
        </w:rPr>
        <w:t>内</w:t>
      </w:r>
      <w:r>
        <w:rPr>
          <w:rFonts w:hint="eastAsia" w:ascii="仿宋" w:hAnsi="仿宋" w:eastAsia="仿宋"/>
          <w:sz w:val="32"/>
          <w:szCs w:val="32"/>
          <w:lang w:val="en-US" w:eastAsia="zh-CN"/>
        </w:rPr>
        <w:t>容</w:t>
      </w:r>
      <w:r>
        <w:rPr>
          <w:rFonts w:hint="eastAsia" w:ascii="仿宋" w:hAnsi="仿宋" w:eastAsia="仿宋"/>
          <w:sz w:val="32"/>
          <w:szCs w:val="32"/>
        </w:rPr>
        <w:t>的环境影响评价结论和环境保护对策措施</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sectPr>
          <w:footerReference r:id="rId3" w:type="default"/>
          <w:pgSz w:w="11906" w:h="16838"/>
          <w:pgMar w:top="1440" w:right="1576" w:bottom="1440" w:left="1633"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二、认真落实专家及环境影响报告书中提出的各项污染防治措施，并应着重注意以下问题：</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w:t>
      </w:r>
      <w:r>
        <w:rPr>
          <w:rFonts w:hint="eastAsia" w:ascii="仿宋" w:hAnsi="仿宋" w:eastAsia="仿宋"/>
          <w:sz w:val="32"/>
          <w:szCs w:val="32"/>
        </w:rPr>
        <w:t>施工期污染防治。采取设置围挡、物料遮盖、定期洒水等措施控制扬尘；通过选用低噪声设备，控制施工时间等措施控制施工噪声影响；建筑垃圾运至</w:t>
      </w:r>
      <w:r>
        <w:rPr>
          <w:rFonts w:hint="eastAsia" w:ascii="仿宋" w:hAnsi="仿宋" w:eastAsia="仿宋"/>
          <w:sz w:val="32"/>
          <w:szCs w:val="32"/>
          <w:lang w:val="en-US" w:eastAsia="zh-CN"/>
        </w:rPr>
        <w:t>指定</w:t>
      </w:r>
      <w:r>
        <w:rPr>
          <w:rFonts w:hint="eastAsia" w:ascii="仿宋" w:hAnsi="仿宋" w:eastAsia="仿宋"/>
          <w:sz w:val="32"/>
          <w:szCs w:val="32"/>
        </w:rPr>
        <w:t>场所处置；施工废水应尽量回用，生活污水排入园区污水管</w:t>
      </w:r>
      <w:r>
        <w:rPr>
          <w:rFonts w:hint="eastAsia" w:ascii="仿宋" w:hAnsi="仿宋" w:eastAsia="仿宋"/>
          <w:sz w:val="32"/>
          <w:szCs w:val="32"/>
          <w:lang w:val="en-US" w:eastAsia="zh-CN"/>
        </w:rPr>
        <w:t>网</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2、废水污染防治工作。严格按照“雨污分流、清污分流、污污分流”的要求，规范设计厂区雨水及污水管网。项目生产废水经厂区内设污水处理站</w:t>
      </w:r>
      <w:r>
        <w:rPr>
          <w:rFonts w:hint="eastAsia" w:ascii="仿宋" w:hAnsi="仿宋" w:eastAsia="仿宋" w:cs="仿宋"/>
          <w:sz w:val="32"/>
          <w:szCs w:val="32"/>
          <w:lang w:val="en-US" w:eastAsia="zh-CN"/>
        </w:rPr>
        <w:t>处理后回用于生产</w:t>
      </w:r>
      <w:r>
        <w:rPr>
          <w:rFonts w:hint="eastAsia" w:ascii="仿宋" w:hAnsi="仿宋" w:eastAsia="仿宋" w:cs="仿宋"/>
          <w:sz w:val="32"/>
          <w:szCs w:val="32"/>
          <w:lang w:eastAsia="zh-CN"/>
        </w:rPr>
        <w:t>，不外排；生活污水经处理，满足《污水综合排放标准》（GB8978-1996）三级排放标准要求后，经园区管网排入长沙经开区汨罗产业园污水处理厂处理。</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按照分区防控的原则落实报告书提出地下水污染防治措施，做好</w:t>
      </w:r>
      <w:r>
        <w:rPr>
          <w:rFonts w:hint="eastAsia" w:ascii="仿宋" w:hAnsi="仿宋" w:eastAsia="仿宋" w:cs="仿宋"/>
          <w:sz w:val="32"/>
          <w:szCs w:val="32"/>
          <w:lang w:val="en-US" w:eastAsia="zh-CN"/>
        </w:rPr>
        <w:t>生产</w:t>
      </w:r>
      <w:r>
        <w:rPr>
          <w:rFonts w:hint="eastAsia" w:ascii="仿宋" w:hAnsi="仿宋" w:eastAsia="仿宋" w:cs="仿宋"/>
          <w:sz w:val="32"/>
          <w:szCs w:val="32"/>
          <w:lang w:eastAsia="zh-CN"/>
        </w:rPr>
        <w:t>车间等区域的防腐、防渗工作，加强涉污区域的生产管理，避免由于地面破损等造成废水下渗污染地下水体；根据《环境影响评价技术导则地下水环境》(HJ610-2016)要求，跟踪监测地下水质情况，确保地下水环境安全。</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、废气污染防治工作。严格控制项目废气的污染，采用密闭生产装置，加强日常监管，最大限度减少生产区的废气无组织排放，确保厂界</w:t>
      </w:r>
      <w:r>
        <w:rPr>
          <w:rFonts w:hint="eastAsia" w:ascii="仿宋" w:hAnsi="仿宋" w:eastAsia="仿宋" w:cs="仿宋"/>
          <w:sz w:val="32"/>
          <w:szCs w:val="32"/>
          <w:lang w:val="en-US" w:eastAsia="zh-CN"/>
        </w:rPr>
        <w:t>VOCs、二甲苯满足湖南省地方标准《表面涂装（汽车制造及维修）挥发性有机物、镍排放标准》（DB43/1356-2017）表3中无组织监控点浓度限值，颗粒物、氯化氢满足《大气污染物综合排放标准》（GB16297-1996）表2无组织排放监控浓度限值，氨执行《恶臭污染物排放标准》（GB14554-93）无组织排放监控浓度限值，厂区内非甲烷总烃满足《挥发性有机物无组织排放控制标准》（GB37822-2019）附录A表A.1排放浓度限值要求；酸洗工序产生的氯化氢经处理后，满足《大气污染物综合排放标准》（GB16297-1996）中二级排放标准限值，通过15m高1#排气筒排放；热镀锌工序天然气燃烧废气、中的颗粒物、二氧化硫、氮氧化物满足《锅炉大气污染物排放标准》（GB13271-2014）表3中燃气锅炉特别排放限值，通过15m高2#排气筒排放；热镀锌工序产生的锌烟经处理后，尘中锌（以PM</w:t>
      </w:r>
      <w:r>
        <w:rPr>
          <w:rFonts w:hint="eastAsia" w:ascii="仿宋" w:hAnsi="仿宋" w:eastAsia="仿宋" w:cs="仿宋"/>
          <w:sz w:val="32"/>
          <w:szCs w:val="32"/>
          <w:vertAlign w:val="subscript"/>
          <w:lang w:val="en-US" w:eastAsia="zh-CN"/>
        </w:rPr>
        <w:t>10</w:t>
      </w:r>
      <w:r>
        <w:rPr>
          <w:rFonts w:hint="eastAsia" w:ascii="仿宋" w:hAnsi="仿宋" w:eastAsia="仿宋" w:cs="仿宋"/>
          <w:sz w:val="32"/>
          <w:szCs w:val="32"/>
          <w:lang w:val="en-US" w:eastAsia="zh-CN"/>
        </w:rPr>
        <w:t>计）、氯化氢满足《大气污染物综合排放标准》（GB16297-1996）中二级排放标准限值，氨满足《恶臭污染物排放标准》（GB14554-93）要求限值，通过15m高3#排气筒排放；电泳及喷涂工序废气、喷漆产生的喷漆废气、电泳烘道及喷涂烘干炉进出口废气、电泳漆挥发废气经处理，颗粒物、二氧化硫、氮氧化物满足《湖南省工业炉窑大气污染综合治理实施方案》中规定的排放限值要求，VOCs、二甲苯满足湖南省地方标准《表面涂装（汽车制造及维修）挥发性有机物、镍排放标准》（DB43/1356-2017）中表1中汽车制造（乘用车）类浓度限值，通过15m高4#排气筒排放</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活性炭浓缩脱附废气、电泳烘道及喷涂烘干炉中的烘干废气循环利用，不外排。</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噪声污染防治工作。采用低噪声设备，对产生噪声的设备和工序进行合理布局，对主要的声源设备泵、各类风机等采取隔声、减震等措施，确保厂界噪声达到《工业企业厂界环境噪声排放标准》(GB12348-2008)中的3类标准要求。</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固体废物防治工作。按“无害化、减量化、资源化”原则，做好固体废物的分类收集和综合利用，并建立固体废物产生、储存、处置管理台账；酸洗更换废酸、酸洗槽槽渣、助镀槽槽渣、助镀剂再生沉渣、热镀锌产生的锌渣锌灰、除尘系统收集的锌尘、脱脂剂废液、脱脂槽槽渣、硅烷化废液、硅烷化槽渣、漆渣、污泥泥饼、废润滑油、废包装桶、废活性炭等属危险废物，须严格按《危险废物贮存污染控制标准》(GB18597-2001)及2013年修改单要求设置危险废物暂存</w:t>
      </w:r>
      <w:r>
        <w:rPr>
          <w:rFonts w:hint="eastAsia" w:ascii="仿宋" w:hAnsi="仿宋" w:eastAsia="仿宋" w:cs="仿宋"/>
          <w:sz w:val="32"/>
          <w:szCs w:val="32"/>
          <w:lang w:val="en-US" w:eastAsia="zh-CN"/>
        </w:rPr>
        <w:t>间</w:t>
      </w:r>
      <w:r>
        <w:rPr>
          <w:rFonts w:hint="eastAsia" w:ascii="仿宋" w:hAnsi="仿宋" w:eastAsia="仿宋" w:cs="仿宋"/>
          <w:sz w:val="32"/>
          <w:szCs w:val="32"/>
          <w:lang w:eastAsia="zh-CN"/>
        </w:rPr>
        <w:t>，送有资质的单位处理，并做好转移联单工作；金属边角料、焊渣等属一般固体废物，须严格按《</w:t>
      </w:r>
      <w:r>
        <w:rPr>
          <w:rFonts w:hint="default" w:ascii="仿宋" w:hAnsi="仿宋" w:eastAsia="仿宋" w:cs="仿宋"/>
          <w:sz w:val="32"/>
          <w:szCs w:val="32"/>
          <w:lang w:eastAsia="zh-CN"/>
        </w:rPr>
        <w:t>一般工业固体废物贮存和填埋污染控制标准</w:t>
      </w:r>
      <w:r>
        <w:rPr>
          <w:rFonts w:hint="eastAsia" w:ascii="仿宋" w:hAnsi="仿宋" w:eastAsia="仿宋" w:cs="仿宋"/>
          <w:sz w:val="32"/>
          <w:szCs w:val="32"/>
          <w:lang w:eastAsia="zh-CN"/>
        </w:rPr>
        <w:t>》(GB18599-20</w:t>
      </w:r>
      <w:r>
        <w:rPr>
          <w:rFonts w:hint="eastAsia" w:ascii="仿宋" w:hAnsi="仿宋" w:eastAsia="仿宋" w:cs="仿宋"/>
          <w:sz w:val="32"/>
          <w:szCs w:val="32"/>
          <w:lang w:val="en-US" w:eastAsia="zh-CN"/>
        </w:rPr>
        <w:t>20</w:t>
      </w:r>
      <w:r>
        <w:rPr>
          <w:rFonts w:hint="eastAsia" w:ascii="仿宋" w:hAnsi="仿宋" w:eastAsia="仿宋" w:cs="仿宋"/>
          <w:sz w:val="32"/>
          <w:szCs w:val="32"/>
          <w:lang w:eastAsia="zh-CN"/>
        </w:rPr>
        <w:t>)要求设置暂存场，送相关单位妥善处理；生活垃圾经收集后交环卫部门处置。</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5、加强营运期风险防范。落实各项风险防范措施，防止风险事故的发生。加强生产系统和环保设备维护和管理；严格按照《突发环境事件应急管理办法》编制风险事故应急预案，储备风险救助物资并组织演练，杜绝环境风险事故发生。</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6、加强环境管理，建立健全污染防治设施运行管理台帐，设专门的环保机构及环保人员，确保各项污染防治设施的正常运行，各类污染物稳定达标排放。</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7、核定你公司的总量指标为：VOCs≤</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0.</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t/a，SO</w:t>
      </w:r>
      <w:r>
        <w:rPr>
          <w:rFonts w:hint="eastAsia" w:ascii="仿宋" w:hAnsi="仿宋" w:eastAsia="仿宋" w:cs="仿宋"/>
          <w:sz w:val="32"/>
          <w:szCs w:val="32"/>
          <w:vertAlign w:val="subscript"/>
          <w:lang w:eastAsia="zh-CN"/>
        </w:rPr>
        <w:t>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0.9</w:t>
      </w:r>
      <w:r>
        <w:rPr>
          <w:rFonts w:hint="eastAsia" w:ascii="仿宋" w:hAnsi="仿宋" w:eastAsia="仿宋" w:cs="仿宋"/>
          <w:sz w:val="32"/>
          <w:szCs w:val="32"/>
          <w:lang w:eastAsia="zh-CN"/>
        </w:rPr>
        <w:t>t/a，NO</w:t>
      </w:r>
      <w:r>
        <w:rPr>
          <w:rFonts w:hint="eastAsia" w:ascii="仿宋" w:hAnsi="仿宋" w:eastAsia="仿宋" w:cs="仿宋"/>
          <w:sz w:val="32"/>
          <w:szCs w:val="32"/>
          <w:vertAlign w:val="subscript"/>
          <w:lang w:eastAsia="zh-CN"/>
        </w:rPr>
        <w:t>X</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4.1</w:t>
      </w:r>
      <w:r>
        <w:rPr>
          <w:rFonts w:hint="eastAsia" w:ascii="仿宋" w:hAnsi="仿宋" w:eastAsia="仿宋" w:cs="仿宋"/>
          <w:sz w:val="32"/>
          <w:szCs w:val="32"/>
          <w:lang w:eastAsia="zh-CN"/>
        </w:rPr>
        <w:t>t/a，COD</w:t>
      </w:r>
      <w:r>
        <w:rPr>
          <w:rFonts w:hint="eastAsia" w:ascii="仿宋" w:hAnsi="仿宋" w:eastAsia="仿宋" w:cs="仿宋"/>
          <w:sz w:val="32"/>
          <w:szCs w:val="32"/>
          <w:vertAlign w:val="subscript"/>
          <w:lang w:eastAsia="zh-CN"/>
        </w:rPr>
        <w:t>cr</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0.2</w:t>
      </w:r>
      <w:r>
        <w:rPr>
          <w:rFonts w:hint="eastAsia" w:ascii="仿宋" w:hAnsi="仿宋" w:eastAsia="仿宋" w:cs="仿宋"/>
          <w:sz w:val="32"/>
          <w:szCs w:val="32"/>
          <w:lang w:eastAsia="zh-CN"/>
        </w:rPr>
        <w:t>t/a，NH</w:t>
      </w:r>
      <w:r>
        <w:rPr>
          <w:rFonts w:hint="eastAsia" w:ascii="仿宋" w:hAnsi="仿宋" w:eastAsia="仿宋" w:cs="仿宋"/>
          <w:sz w:val="32"/>
          <w:szCs w:val="32"/>
          <w:vertAlign w:val="subscript"/>
          <w:lang w:eastAsia="zh-CN"/>
        </w:rPr>
        <w:t>3</w:t>
      </w:r>
      <w:r>
        <w:rPr>
          <w:rFonts w:hint="eastAsia" w:ascii="仿宋" w:hAnsi="仿宋" w:eastAsia="仿宋" w:cs="仿宋"/>
          <w:sz w:val="32"/>
          <w:szCs w:val="32"/>
          <w:lang w:eastAsia="zh-CN"/>
        </w:rPr>
        <w:t>-N≤</w:t>
      </w:r>
      <w:r>
        <w:rPr>
          <w:rFonts w:hint="eastAsia" w:ascii="仿宋" w:hAnsi="仿宋" w:eastAsia="仿宋" w:cs="仿宋"/>
          <w:sz w:val="32"/>
          <w:szCs w:val="32"/>
          <w:lang w:val="en-US" w:eastAsia="zh-CN"/>
        </w:rPr>
        <w:t>0.1</w:t>
      </w:r>
      <w:r>
        <w:rPr>
          <w:rFonts w:hint="eastAsia" w:ascii="仿宋" w:hAnsi="仿宋" w:eastAsia="仿宋" w:cs="仿宋"/>
          <w:sz w:val="32"/>
          <w:szCs w:val="32"/>
          <w:lang w:eastAsia="zh-CN"/>
        </w:rPr>
        <w:t>t/a。</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三、你公司应收到本批复后15个工作日内，将批复及批准的环评报告文件送岳阳市生态环境局汨罗分局、汨罗市高新技术产业开发区管委会、湖南德顺环境服务有限公司。</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四、请岳阳市生态环境局汨罗分局负责项目建设和运营期的日常环境监管。</w:t>
      </w:r>
    </w:p>
    <w:p>
      <w:pPr>
        <w:bidi w:val="0"/>
        <w:spacing w:line="480" w:lineRule="exact"/>
        <w:rPr>
          <w:rFonts w:hint="eastAsia" w:ascii="Calibri" w:hAnsi="Calibri" w:eastAsia="宋体" w:cs="宋体"/>
          <w:kern w:val="2"/>
          <w:sz w:val="21"/>
          <w:szCs w:val="24"/>
          <w:lang w:val="en-US" w:eastAsia="zh-CN" w:bidi="ar-SA"/>
        </w:rPr>
      </w:pPr>
    </w:p>
    <w:p>
      <w:pPr>
        <w:bidi w:val="0"/>
        <w:spacing w:line="480" w:lineRule="exact"/>
        <w:rPr>
          <w:rFonts w:hint="eastAsia"/>
          <w:lang w:val="en-US" w:eastAsia="zh-CN"/>
        </w:rPr>
      </w:pPr>
    </w:p>
    <w:p>
      <w:pPr>
        <w:bidi w:val="0"/>
        <w:spacing w:line="480" w:lineRule="exact"/>
        <w:rPr>
          <w:rFonts w:hint="eastAsia"/>
          <w:lang w:val="en-US" w:eastAsia="zh-CN"/>
        </w:rPr>
      </w:pPr>
    </w:p>
    <w:p>
      <w:pPr>
        <w:bidi w:val="0"/>
        <w:spacing w:line="480" w:lineRule="exact"/>
        <w:rPr>
          <w:rFonts w:hint="eastAsia"/>
          <w:lang w:val="en-US" w:eastAsia="zh-CN"/>
        </w:rPr>
      </w:pPr>
    </w:p>
    <w:p>
      <w:pPr>
        <w:tabs>
          <w:tab w:val="left" w:pos="1868"/>
        </w:tabs>
        <w:bidi w:val="0"/>
        <w:spacing w:line="480" w:lineRule="exact"/>
        <w:jc w:val="left"/>
        <w:rPr>
          <w:rFonts w:hint="eastAsia" w:ascii="仿宋" w:hAnsi="仿宋" w:eastAsia="仿宋" w:cs="仿宋"/>
          <w:sz w:val="32"/>
          <w:szCs w:val="32"/>
          <w:lang w:eastAsia="zh-CN"/>
        </w:rPr>
      </w:pPr>
      <w:r>
        <w:rPr>
          <w:rFonts w:hint="eastAsia"/>
          <w:lang w:val="en-US" w:eastAsia="zh-CN"/>
        </w:rPr>
        <w:tab/>
      </w:r>
      <w:r>
        <w:rPr>
          <w:rFonts w:hint="eastAsia"/>
          <w:lang w:val="en-US" w:eastAsia="zh-CN"/>
        </w:rPr>
        <w:t xml:space="preserve">                                </w:t>
      </w:r>
      <w:r>
        <w:rPr>
          <w:rFonts w:hint="eastAsia" w:ascii="仿宋" w:hAnsi="仿宋" w:eastAsia="仿宋" w:cs="仿宋"/>
          <w:sz w:val="32"/>
          <w:szCs w:val="32"/>
          <w:lang w:eastAsia="zh-CN"/>
        </w:rPr>
        <w:t>岳阳市生态环境局</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b/>
          <w:bCs/>
          <w:szCs w:val="36"/>
          <w:lang w:eastAsia="zh-CN"/>
        </w:rPr>
      </w:pPr>
      <w:r>
        <w:rPr>
          <w:rFonts w:hint="eastAsia" w:ascii="仿宋" w:hAnsi="仿宋" w:eastAsia="仿宋" w:cs="仿宋"/>
          <w:sz w:val="32"/>
          <w:szCs w:val="32"/>
          <w:lang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21</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13</w:t>
      </w:r>
      <w:r>
        <w:rPr>
          <w:rFonts w:hint="eastAsia" w:ascii="仿宋" w:hAnsi="仿宋" w:eastAsia="仿宋" w:cs="仿宋"/>
          <w:sz w:val="32"/>
          <w:szCs w:val="32"/>
          <w:lang w:eastAsia="zh-CN"/>
        </w:rPr>
        <w:t>日</w:t>
      </w:r>
    </w:p>
    <w:sectPr>
      <w:footerReference r:id="rId4" w:type="default"/>
      <w:pgSz w:w="11906" w:h="16838"/>
      <w:pgMar w:top="1440" w:right="1576" w:bottom="1440" w:left="1633" w:header="851" w:footer="992" w:gutter="0"/>
      <w:pgBorders>
        <w:top w:val="none" w:sz="0" w:space="0"/>
        <w:left w:val="none" w:sz="0" w:space="0"/>
        <w:bottom w:val="none" w:sz="0" w:space="0"/>
        <w:right w:val="none" w:sz="0" w:space="0"/>
      </w:pgBorders>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 w:val="clear" w:pos="8306"/>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 w:val="clear" w:pos="8306"/>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revisionView w:markup="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468EA"/>
    <w:rsid w:val="296240B0"/>
    <w:rsid w:val="2A315EA6"/>
    <w:rsid w:val="45B1437E"/>
    <w:rsid w:val="75935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character" w:default="1" w:styleId="7">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WPS Plain"/>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2299</Words>
  <Characters>2564</Characters>
  <Paragraphs>31</Paragraphs>
  <TotalTime>2</TotalTime>
  <ScaleCrop>false</ScaleCrop>
  <LinksUpToDate>false</LinksUpToDate>
  <CharactersWithSpaces>2633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2021-03-29T11:01:00Z</dcterms:created>
  <dc:creator>Administrator</dc:creator>
  <cp:lastModifiedBy>王志勤</cp:lastModifiedBy>
  <cp:lastPrinted>2021-07-15T09:03:34Z</cp:lastPrinted>
  <dcterms:modified xsi:type="dcterms:W3CDTF">2021-07-15T09:06:59Z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2925F9FA274C411D9202A16057A39E82</vt:lpwstr>
  </property>
</Properties>
</file>