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57883707"/>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bookmarkEnd w:id="0"/>
    <w:p>
      <w:pPr>
        <w:adjustRightInd w:val="0"/>
        <w:snapToGrid w:val="0"/>
        <w:jc w:val="center"/>
        <w:outlineLvl w:val="0"/>
        <w:rPr>
          <w:rFonts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Lines="80"/>
        <w:jc w:val="center"/>
        <w:rPr>
          <w:rFonts w:ascii="楷体_GB2312" w:eastAsia="楷体_GB2312"/>
          <w:bCs/>
          <w:sz w:val="48"/>
          <w:szCs w:val="48"/>
        </w:rPr>
      </w:pPr>
      <w:r>
        <w:rPr>
          <w:rFonts w:hint="eastAsia" w:ascii="楷体_GB2312" w:eastAsia="楷体_GB2312"/>
          <w:bCs/>
          <w:sz w:val="48"/>
          <w:szCs w:val="48"/>
        </w:rPr>
        <w:t>（生态影响类）</w:t>
      </w:r>
    </w:p>
    <w:p>
      <w:pPr>
        <w:adjustRightInd w:val="0"/>
        <w:snapToGrid w:val="0"/>
        <w:spacing w:line="288" w:lineRule="auto"/>
        <w:jc w:val="center"/>
        <w:outlineLvl w:val="0"/>
        <w:rPr>
          <w:rFonts w:ascii="华文仿宋" w:hAnsi="华文仿宋" w:eastAsia="华文仿宋" w:cs="华文仿宋"/>
          <w:color w:val="000000"/>
          <w:kern w:val="44"/>
          <w:sz w:val="44"/>
          <w:szCs w:val="44"/>
        </w:rPr>
      </w:pPr>
      <w:bookmarkStart w:id="1" w:name="_Hlk57883728"/>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bookmarkEnd w:id="1"/>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 xml:space="preserve">项目名称： </w:t>
      </w:r>
      <w:r>
        <w:rPr>
          <w:rFonts w:hint="eastAsia" w:ascii="仿宋_GB2312" w:eastAsia="仿宋_GB2312"/>
          <w:sz w:val="36"/>
          <w:szCs w:val="36"/>
          <w:u w:val="single"/>
        </w:rPr>
        <w:t>金茂·岳茂苑</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岳阳和茂置业有限公司</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2021年6月</w:t>
      </w:r>
    </w:p>
    <w:p>
      <w:pPr>
        <w:adjustRightInd w:val="0"/>
        <w:snapToGrid w:val="0"/>
        <w:spacing w:line="288" w:lineRule="auto"/>
        <w:ind w:firstLine="1040"/>
        <w:rPr>
          <w:rFonts w:ascii="仿宋_GB2312" w:eastAsia="仿宋_GB2312"/>
          <w:sz w:val="36"/>
          <w:szCs w:val="36"/>
          <w:u w:val="single"/>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p>
      <w:pPr>
        <w:pStyle w:val="15"/>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18"/>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62"/>
        <w:gridCol w:w="2043"/>
        <w:gridCol w:w="2223"/>
        <w:gridCol w:w="27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建设项目名称</w:t>
            </w:r>
          </w:p>
        </w:tc>
        <w:tc>
          <w:tcPr>
            <w:tcW w:w="6977" w:type="dxa"/>
            <w:gridSpan w:val="3"/>
            <w:vAlign w:val="center"/>
          </w:tcPr>
          <w:p>
            <w:pPr>
              <w:adjustRightInd w:val="0"/>
              <w:snapToGrid w:val="0"/>
              <w:jc w:val="center"/>
              <w:rPr>
                <w:rFonts w:ascii="宋体" w:hAnsi="宋体" w:cs="宋体"/>
                <w:sz w:val="24"/>
              </w:rPr>
            </w:pPr>
            <w:r>
              <w:rPr>
                <w:rFonts w:hint="eastAsia" w:ascii="宋体" w:hAnsi="宋体" w:cs="宋体"/>
                <w:sz w:val="24"/>
              </w:rPr>
              <w:t>金茂·岳茂苑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项目代码</w:t>
            </w:r>
          </w:p>
        </w:tc>
        <w:tc>
          <w:tcPr>
            <w:tcW w:w="6977" w:type="dxa"/>
            <w:gridSpan w:val="3"/>
            <w:vAlign w:val="center"/>
          </w:tcPr>
          <w:p>
            <w:pPr>
              <w:adjustRightInd w:val="0"/>
              <w:snapToGrid w:val="0"/>
              <w:jc w:val="center"/>
              <w:rPr>
                <w:rFonts w:ascii="宋体" w:hAnsi="宋体" w:cs="宋体"/>
                <w:sz w:val="24"/>
              </w:rPr>
            </w:pPr>
            <w:r>
              <w:rPr>
                <w:sz w:val="24"/>
              </w:rPr>
              <w:t>2019-430602-70-03-017129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建设单位联系人</w:t>
            </w:r>
          </w:p>
        </w:tc>
        <w:tc>
          <w:tcPr>
            <w:tcW w:w="2043" w:type="dxa"/>
            <w:vAlign w:val="center"/>
          </w:tcPr>
          <w:p>
            <w:pPr>
              <w:adjustRightInd w:val="0"/>
              <w:snapToGrid w:val="0"/>
              <w:jc w:val="center"/>
              <w:rPr>
                <w:rFonts w:ascii="宋体" w:hAnsi="宋体" w:cs="宋体"/>
                <w:sz w:val="24"/>
              </w:rPr>
            </w:pPr>
            <w:r>
              <w:rPr>
                <w:rFonts w:hint="eastAsia" w:ascii="宋体" w:hAnsi="宋体" w:cs="宋体"/>
                <w:sz w:val="24"/>
              </w:rPr>
              <w:t>曾明</w:t>
            </w:r>
          </w:p>
        </w:tc>
        <w:tc>
          <w:tcPr>
            <w:tcW w:w="2223" w:type="dxa"/>
            <w:vAlign w:val="center"/>
          </w:tcPr>
          <w:p>
            <w:pPr>
              <w:adjustRightInd w:val="0"/>
              <w:snapToGrid w:val="0"/>
              <w:jc w:val="center"/>
              <w:rPr>
                <w:rFonts w:ascii="宋体" w:hAnsi="宋体" w:cs="宋体"/>
                <w:sz w:val="24"/>
              </w:rPr>
            </w:pPr>
            <w:r>
              <w:rPr>
                <w:rFonts w:hint="eastAsia" w:ascii="宋体" w:hAnsi="宋体" w:cs="宋体"/>
                <w:sz w:val="24"/>
              </w:rPr>
              <w:t>联系方式</w:t>
            </w:r>
          </w:p>
        </w:tc>
        <w:tc>
          <w:tcPr>
            <w:tcW w:w="2711" w:type="dxa"/>
            <w:vAlign w:val="center"/>
          </w:tcPr>
          <w:p>
            <w:pPr>
              <w:adjustRightInd w:val="0"/>
              <w:snapToGrid w:val="0"/>
              <w:jc w:val="center"/>
              <w:rPr>
                <w:rFonts w:ascii="宋体" w:hAnsi="宋体" w:cs="宋体"/>
                <w:sz w:val="24"/>
              </w:rPr>
            </w:pPr>
            <w:r>
              <w:rPr>
                <w:sz w:val="24"/>
              </w:rPr>
              <w:t>13077111108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建设地点</w:t>
            </w:r>
          </w:p>
        </w:tc>
        <w:tc>
          <w:tcPr>
            <w:tcW w:w="6977" w:type="dxa"/>
            <w:gridSpan w:val="3"/>
            <w:vAlign w:val="center"/>
          </w:tcPr>
          <w:p>
            <w:pPr>
              <w:adjustRightInd w:val="0"/>
              <w:snapToGrid w:val="0"/>
              <w:jc w:val="center"/>
              <w:rPr>
                <w:rFonts w:ascii="宋体" w:hAnsi="宋体" w:cs="宋体"/>
                <w:sz w:val="24"/>
              </w:rPr>
            </w:pPr>
            <w:r>
              <w:rPr>
                <w:rFonts w:hint="eastAsia" w:ascii="宋体" w:hAnsi="宋体" w:cs="宋体"/>
                <w:sz w:val="24"/>
                <w:u w:val="single"/>
              </w:rPr>
              <w:t>湖南</w:t>
            </w:r>
            <w:r>
              <w:rPr>
                <w:rFonts w:hint="eastAsia" w:ascii="宋体" w:hAnsi="宋体" w:cs="宋体"/>
                <w:sz w:val="24"/>
              </w:rPr>
              <w:t>省</w:t>
            </w:r>
            <w:r>
              <w:rPr>
                <w:rFonts w:hint="eastAsia" w:ascii="宋体" w:hAnsi="宋体" w:cs="宋体"/>
                <w:sz w:val="24"/>
                <w:u w:val="single"/>
              </w:rPr>
              <w:t>岳阳</w:t>
            </w:r>
            <w:r>
              <w:rPr>
                <w:rFonts w:hint="eastAsia" w:ascii="宋体" w:hAnsi="宋体" w:cs="宋体"/>
                <w:sz w:val="24"/>
              </w:rPr>
              <w:t>市</w:t>
            </w:r>
            <w:r>
              <w:rPr>
                <w:rFonts w:hint="eastAsia" w:ascii="宋体" w:hAnsi="宋体" w:cs="宋体"/>
                <w:sz w:val="24"/>
                <w:u w:val="single"/>
              </w:rPr>
              <w:t>岳阳楼</w:t>
            </w:r>
            <w:r>
              <w:rPr>
                <w:rFonts w:hint="eastAsia" w:ascii="宋体" w:hAnsi="宋体" w:cs="宋体"/>
                <w:sz w:val="24"/>
              </w:rPr>
              <w:t>区</w:t>
            </w:r>
            <w:r>
              <w:rPr>
                <w:rFonts w:hint="eastAsia" w:ascii="宋体" w:hAnsi="宋体" w:cs="宋体"/>
                <w:sz w:val="24"/>
                <w:u w:val="single"/>
              </w:rPr>
              <w:t>沿湖大道与九华山交界处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地理坐标</w:t>
            </w:r>
          </w:p>
        </w:tc>
        <w:tc>
          <w:tcPr>
            <w:tcW w:w="6977" w:type="dxa"/>
            <w:gridSpan w:val="3"/>
            <w:vAlign w:val="center"/>
          </w:tcPr>
          <w:p>
            <w:pPr>
              <w:adjustRightInd w:val="0"/>
              <w:snapToGrid w:val="0"/>
              <w:jc w:val="center"/>
              <w:rPr>
                <w:rFonts w:hint="eastAsia" w:eastAsia="宋体"/>
                <w:sz w:val="24"/>
                <w:u w:val="single"/>
                <w:lang w:val="en-US" w:eastAsia="zh-CN"/>
              </w:rPr>
            </w:pPr>
            <w:r>
              <w:rPr>
                <w:sz w:val="24"/>
              </w:rPr>
              <w:t>02#地块</w:t>
            </w:r>
            <w:r>
              <w:rPr>
                <w:sz w:val="24"/>
                <w:u w:val="single"/>
              </w:rPr>
              <w:t>：113</w:t>
            </w:r>
            <w:r>
              <w:rPr>
                <w:sz w:val="24"/>
              </w:rPr>
              <w:t>度</w:t>
            </w:r>
            <w:r>
              <w:rPr>
                <w:sz w:val="24"/>
                <w:u w:val="single"/>
              </w:rPr>
              <w:t>5</w:t>
            </w:r>
            <w:r>
              <w:rPr>
                <w:sz w:val="24"/>
              </w:rPr>
              <w:t>分</w:t>
            </w:r>
            <w:r>
              <w:rPr>
                <w:sz w:val="24"/>
                <w:u w:val="single"/>
              </w:rPr>
              <w:t>3</w:t>
            </w:r>
            <w:r>
              <w:rPr>
                <w:rFonts w:hint="eastAsia"/>
                <w:sz w:val="24"/>
                <w:u w:val="single"/>
                <w:lang w:val="en-US" w:eastAsia="zh-CN"/>
              </w:rPr>
              <w:t>6.095</w:t>
            </w:r>
            <w:r>
              <w:rPr>
                <w:sz w:val="24"/>
              </w:rPr>
              <w:t>秒，</w:t>
            </w:r>
            <w:r>
              <w:rPr>
                <w:sz w:val="24"/>
                <w:u w:val="single"/>
              </w:rPr>
              <w:t>29</w:t>
            </w:r>
            <w:r>
              <w:rPr>
                <w:sz w:val="24"/>
              </w:rPr>
              <w:t>度</w:t>
            </w:r>
            <w:r>
              <w:rPr>
                <w:sz w:val="24"/>
                <w:u w:val="single"/>
              </w:rPr>
              <w:t>23</w:t>
            </w:r>
            <w:r>
              <w:rPr>
                <w:sz w:val="24"/>
              </w:rPr>
              <w:t>分</w:t>
            </w:r>
            <w:r>
              <w:rPr>
                <w:rFonts w:hint="eastAsia"/>
                <w:sz w:val="24"/>
                <w:u w:val="single"/>
                <w:lang w:val="en-US" w:eastAsia="zh-CN"/>
              </w:rPr>
              <w:t>35.969</w:t>
            </w:r>
            <w:r>
              <w:rPr>
                <w:rFonts w:hint="eastAsia"/>
                <w:sz w:val="24"/>
                <w:u w:val="single"/>
                <w:lang w:eastAsia="zh-CN"/>
              </w:rPr>
              <w:t>秒</w:t>
            </w:r>
          </w:p>
          <w:p>
            <w:pPr>
              <w:adjustRightInd w:val="0"/>
              <w:snapToGrid w:val="0"/>
              <w:jc w:val="center"/>
              <w:rPr>
                <w:sz w:val="24"/>
              </w:rPr>
            </w:pPr>
            <w:r>
              <w:rPr>
                <w:sz w:val="24"/>
              </w:rPr>
              <w:t>03#地块：</w:t>
            </w:r>
            <w:r>
              <w:rPr>
                <w:sz w:val="24"/>
                <w:u w:val="single"/>
              </w:rPr>
              <w:t>113</w:t>
            </w:r>
            <w:r>
              <w:rPr>
                <w:sz w:val="24"/>
              </w:rPr>
              <w:t>度</w:t>
            </w:r>
            <w:r>
              <w:rPr>
                <w:sz w:val="24"/>
                <w:u w:val="single"/>
              </w:rPr>
              <w:t>5</w:t>
            </w:r>
            <w:r>
              <w:rPr>
                <w:sz w:val="24"/>
              </w:rPr>
              <w:t>分</w:t>
            </w:r>
            <w:r>
              <w:rPr>
                <w:rFonts w:hint="eastAsia"/>
                <w:sz w:val="24"/>
                <w:u w:val="single"/>
                <w:lang w:val="en-US" w:eastAsia="zh-CN"/>
              </w:rPr>
              <w:t>43.279</w:t>
            </w:r>
            <w:r>
              <w:rPr>
                <w:sz w:val="24"/>
              </w:rPr>
              <w:t>秒，</w:t>
            </w:r>
            <w:r>
              <w:rPr>
                <w:sz w:val="24"/>
                <w:u w:val="single"/>
              </w:rPr>
              <w:t>29</w:t>
            </w:r>
            <w:r>
              <w:rPr>
                <w:sz w:val="24"/>
              </w:rPr>
              <w:t>度</w:t>
            </w:r>
            <w:r>
              <w:rPr>
                <w:sz w:val="24"/>
                <w:u w:val="single"/>
              </w:rPr>
              <w:t>23</w:t>
            </w:r>
            <w:r>
              <w:rPr>
                <w:sz w:val="24"/>
              </w:rPr>
              <w:t>分</w:t>
            </w:r>
            <w:r>
              <w:rPr>
                <w:sz w:val="24"/>
                <w:u w:val="single"/>
              </w:rPr>
              <w:t>36</w:t>
            </w:r>
            <w:r>
              <w:rPr>
                <w:rFonts w:hint="eastAsia"/>
                <w:sz w:val="24"/>
                <w:u w:val="single"/>
                <w:lang w:val="en-US" w:eastAsia="zh-CN"/>
              </w:rPr>
              <w:t>.780</w:t>
            </w:r>
            <w:r>
              <w:rPr>
                <w:sz w:val="24"/>
              </w:rPr>
              <w:t>秒</w:t>
            </w:r>
          </w:p>
          <w:p>
            <w:pPr>
              <w:adjustRightInd w:val="0"/>
              <w:snapToGrid w:val="0"/>
              <w:jc w:val="center"/>
              <w:rPr>
                <w:rFonts w:ascii="宋体" w:hAnsi="宋体" w:cs="宋体"/>
                <w:sz w:val="24"/>
              </w:rPr>
            </w:pPr>
            <w:r>
              <w:rPr>
                <w:sz w:val="24"/>
              </w:rPr>
              <w:t>04#地块：</w:t>
            </w:r>
            <w:r>
              <w:rPr>
                <w:sz w:val="24"/>
                <w:u w:val="single"/>
              </w:rPr>
              <w:t>113</w:t>
            </w:r>
            <w:r>
              <w:rPr>
                <w:sz w:val="24"/>
              </w:rPr>
              <w:t>度</w:t>
            </w:r>
            <w:r>
              <w:rPr>
                <w:sz w:val="24"/>
                <w:u w:val="single"/>
              </w:rPr>
              <w:t>5</w:t>
            </w:r>
            <w:r>
              <w:rPr>
                <w:sz w:val="24"/>
              </w:rPr>
              <w:t>分</w:t>
            </w:r>
            <w:r>
              <w:rPr>
                <w:rFonts w:hint="eastAsia"/>
                <w:sz w:val="24"/>
                <w:u w:val="single"/>
                <w:lang w:val="en-US" w:eastAsia="zh-CN"/>
              </w:rPr>
              <w:t>41.850</w:t>
            </w:r>
            <w:r>
              <w:rPr>
                <w:sz w:val="24"/>
              </w:rPr>
              <w:t>秒，</w:t>
            </w:r>
            <w:r>
              <w:rPr>
                <w:sz w:val="24"/>
                <w:u w:val="single"/>
              </w:rPr>
              <w:t>29</w:t>
            </w:r>
            <w:r>
              <w:rPr>
                <w:sz w:val="24"/>
              </w:rPr>
              <w:t>度</w:t>
            </w:r>
            <w:r>
              <w:rPr>
                <w:sz w:val="24"/>
                <w:u w:val="single"/>
              </w:rPr>
              <w:t>23</w:t>
            </w:r>
            <w:r>
              <w:rPr>
                <w:sz w:val="24"/>
              </w:rPr>
              <w:t>分</w:t>
            </w:r>
            <w:r>
              <w:rPr>
                <w:rFonts w:hint="eastAsia"/>
                <w:sz w:val="24"/>
                <w:u w:val="single"/>
                <w:lang w:val="en-US" w:eastAsia="zh-CN"/>
              </w:rPr>
              <w:t>39.599</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建设项目</w:t>
            </w:r>
          </w:p>
          <w:p>
            <w:pPr>
              <w:adjustRightInd w:val="0"/>
              <w:snapToGrid w:val="0"/>
              <w:jc w:val="center"/>
              <w:rPr>
                <w:rFonts w:ascii="宋体" w:hAnsi="宋体" w:cs="宋体"/>
                <w:sz w:val="24"/>
              </w:rPr>
            </w:pPr>
            <w:r>
              <w:rPr>
                <w:rFonts w:hint="eastAsia" w:ascii="宋体" w:hAnsi="宋体" w:cs="宋体"/>
                <w:sz w:val="24"/>
              </w:rPr>
              <w:t>行业类别</w:t>
            </w:r>
          </w:p>
        </w:tc>
        <w:tc>
          <w:tcPr>
            <w:tcW w:w="2043" w:type="dxa"/>
            <w:vAlign w:val="center"/>
          </w:tcPr>
          <w:p>
            <w:pPr>
              <w:adjustRightInd w:val="0"/>
              <w:snapToGrid w:val="0"/>
              <w:jc w:val="center"/>
              <w:rPr>
                <w:sz w:val="24"/>
              </w:rPr>
            </w:pPr>
            <w:r>
              <w:rPr>
                <w:sz w:val="24"/>
              </w:rPr>
              <w:t>四十四、房地产业</w:t>
            </w:r>
          </w:p>
          <w:p>
            <w:pPr>
              <w:adjustRightInd w:val="0"/>
              <w:snapToGrid w:val="0"/>
              <w:jc w:val="center"/>
              <w:rPr>
                <w:rFonts w:ascii="宋体" w:hAnsi="宋体" w:cs="宋体"/>
                <w:sz w:val="24"/>
              </w:rPr>
            </w:pPr>
            <w:r>
              <w:rPr>
                <w:sz w:val="24"/>
              </w:rPr>
              <w:t>97、房地产开发、商业综合体、宾馆、酒店、办公用房、标准厂房等</w:t>
            </w:r>
            <w:r>
              <w:rPr>
                <w:rFonts w:hint="eastAsia"/>
                <w:sz w:val="24"/>
              </w:rPr>
              <w:t>-涉及环境敏感区的</w:t>
            </w:r>
          </w:p>
        </w:tc>
        <w:tc>
          <w:tcPr>
            <w:tcW w:w="2223" w:type="dxa"/>
            <w:vAlign w:val="center"/>
          </w:tcPr>
          <w:p>
            <w:pPr>
              <w:adjustRightInd w:val="0"/>
              <w:snapToGrid w:val="0"/>
              <w:jc w:val="center"/>
              <w:rPr>
                <w:rFonts w:ascii="宋体" w:hAnsi="宋体" w:cs="宋体"/>
                <w:sz w:val="24"/>
              </w:rPr>
            </w:pPr>
            <w:r>
              <w:rPr>
                <w:rFonts w:hint="eastAsia" w:ascii="宋体" w:hAnsi="宋体" w:cs="宋体"/>
                <w:sz w:val="24"/>
              </w:rPr>
              <w:t>用地（用海）面积（</w:t>
            </w:r>
            <w:r>
              <w:rPr>
                <w:rFonts w:ascii="宋体" w:hAnsi="宋体" w:cs="宋体"/>
                <w:sz w:val="24"/>
              </w:rPr>
              <w:t>m</w:t>
            </w:r>
            <w:r>
              <w:rPr>
                <w:rFonts w:ascii="宋体" w:hAnsi="宋体" w:cs="宋体"/>
                <w:sz w:val="24"/>
                <w:vertAlign w:val="superscript"/>
              </w:rPr>
              <w:t>2</w:t>
            </w:r>
            <w:r>
              <w:rPr>
                <w:rFonts w:hint="eastAsia" w:ascii="宋体" w:hAnsi="宋体" w:cs="宋体"/>
                <w:sz w:val="24"/>
              </w:rPr>
              <w:t>）</w:t>
            </w:r>
            <w:r>
              <w:rPr>
                <w:rFonts w:ascii="宋体" w:hAnsi="宋体" w:cs="宋体"/>
                <w:sz w:val="24"/>
              </w:rPr>
              <w:t>/</w:t>
            </w:r>
            <w:r>
              <w:rPr>
                <w:rFonts w:hint="eastAsia" w:ascii="宋体" w:hAnsi="宋体" w:cs="宋体"/>
                <w:sz w:val="24"/>
              </w:rPr>
              <w:t>长度（</w:t>
            </w:r>
            <w:r>
              <w:rPr>
                <w:rFonts w:ascii="宋体" w:hAnsi="宋体" w:cs="宋体"/>
                <w:sz w:val="24"/>
              </w:rPr>
              <w:t>km</w:t>
            </w:r>
            <w:r>
              <w:rPr>
                <w:rFonts w:hint="eastAsia" w:ascii="宋体" w:hAnsi="宋体" w:cs="宋体"/>
                <w:sz w:val="24"/>
              </w:rPr>
              <w:t>）</w:t>
            </w:r>
          </w:p>
        </w:tc>
        <w:tc>
          <w:tcPr>
            <w:tcW w:w="2711" w:type="dxa"/>
            <w:vAlign w:val="center"/>
          </w:tcPr>
          <w:p>
            <w:pPr>
              <w:adjustRightInd w:val="0"/>
              <w:snapToGrid w:val="0"/>
              <w:jc w:val="center"/>
              <w:rPr>
                <w:sz w:val="24"/>
              </w:rPr>
            </w:pPr>
            <w:r>
              <w:rPr>
                <w:sz w:val="24"/>
              </w:rPr>
              <w:t>110638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建设性质</w:t>
            </w:r>
          </w:p>
        </w:tc>
        <w:tc>
          <w:tcPr>
            <w:tcW w:w="2043" w:type="dxa"/>
            <w:vAlign w:val="center"/>
          </w:tcPr>
          <w:p>
            <w:pPr>
              <w:adjustRightInd w:val="0"/>
              <w:snapToGrid w:val="0"/>
              <w:jc w:val="left"/>
              <w:rPr>
                <w:rFonts w:ascii="宋体" w:hAnsi="宋体" w:cs="宋体"/>
                <w:sz w:val="24"/>
              </w:rPr>
            </w:pPr>
            <w:r>
              <w:rPr>
                <w:rFonts w:hint="eastAsia" w:ascii="宋体" w:hAnsi="宋体" w:cs="宋体"/>
                <w:sz w:val="24"/>
              </w:rPr>
              <w:sym w:font="Wingdings 2" w:char="0052"/>
            </w:r>
            <w:r>
              <w:rPr>
                <w:rFonts w:hint="eastAsia" w:ascii="宋体" w:hAnsi="宋体" w:cs="宋体"/>
                <w:sz w:val="24"/>
              </w:rPr>
              <w:t>新建（迁建）</w:t>
            </w:r>
          </w:p>
          <w:p>
            <w:pPr>
              <w:adjustRightInd w:val="0"/>
              <w:snapToGrid w:val="0"/>
              <w:jc w:val="left"/>
              <w:rPr>
                <w:rFonts w:ascii="宋体" w:hAnsi="宋体" w:cs="宋体"/>
                <w:sz w:val="24"/>
              </w:rPr>
            </w:pPr>
            <w:r>
              <w:rPr>
                <w:rFonts w:hint="eastAsia" w:ascii="宋体" w:hAnsi="宋体" w:cs="宋体"/>
                <w:sz w:val="24"/>
              </w:rPr>
              <w:sym w:font="Wingdings 2" w:char="00A3"/>
            </w:r>
            <w:r>
              <w:rPr>
                <w:rFonts w:hint="eastAsia" w:ascii="宋体" w:hAnsi="宋体" w:cs="宋体"/>
                <w:sz w:val="24"/>
              </w:rPr>
              <w:t>改建</w:t>
            </w:r>
          </w:p>
          <w:p>
            <w:pPr>
              <w:adjustRightInd w:val="0"/>
              <w:snapToGrid w:val="0"/>
              <w:jc w:val="left"/>
              <w:rPr>
                <w:rFonts w:ascii="宋体" w:hAnsi="宋体" w:cs="宋体"/>
                <w:sz w:val="24"/>
              </w:rPr>
            </w:pPr>
            <w:r>
              <w:rPr>
                <w:rFonts w:hint="eastAsia" w:ascii="宋体" w:hAnsi="宋体" w:cs="宋体"/>
                <w:sz w:val="24"/>
              </w:rPr>
              <w:sym w:font="Wingdings 2" w:char="00A3"/>
            </w:r>
            <w:r>
              <w:rPr>
                <w:rFonts w:hint="eastAsia" w:ascii="宋体" w:hAnsi="宋体" w:cs="宋体"/>
                <w:sz w:val="24"/>
              </w:rPr>
              <w:t>扩建</w:t>
            </w:r>
          </w:p>
          <w:p>
            <w:pPr>
              <w:adjustRightInd w:val="0"/>
              <w:snapToGrid w:val="0"/>
              <w:jc w:val="left"/>
              <w:rPr>
                <w:rFonts w:ascii="宋体" w:hAnsi="宋体" w:cs="宋体"/>
                <w:sz w:val="24"/>
              </w:rPr>
            </w:pPr>
            <w:r>
              <w:rPr>
                <w:rFonts w:hint="eastAsia" w:ascii="宋体" w:hAnsi="宋体" w:cs="宋体"/>
                <w:sz w:val="24"/>
              </w:rPr>
              <w:sym w:font="Wingdings 2" w:char="00A3"/>
            </w:r>
            <w:r>
              <w:rPr>
                <w:rFonts w:hint="eastAsia" w:ascii="宋体" w:hAnsi="宋体" w:cs="宋体"/>
                <w:sz w:val="24"/>
              </w:rPr>
              <w:t>技术改造</w:t>
            </w:r>
          </w:p>
        </w:tc>
        <w:tc>
          <w:tcPr>
            <w:tcW w:w="2223" w:type="dxa"/>
            <w:vAlign w:val="center"/>
          </w:tcPr>
          <w:p>
            <w:pPr>
              <w:adjustRightInd w:val="0"/>
              <w:snapToGrid w:val="0"/>
              <w:jc w:val="center"/>
              <w:rPr>
                <w:rFonts w:ascii="宋体" w:hAnsi="宋体" w:cs="宋体"/>
                <w:sz w:val="24"/>
              </w:rPr>
            </w:pPr>
            <w:r>
              <w:rPr>
                <w:rFonts w:hint="eastAsia" w:ascii="宋体" w:hAnsi="宋体" w:cs="宋体"/>
                <w:sz w:val="24"/>
              </w:rPr>
              <w:t>建设项目</w:t>
            </w:r>
          </w:p>
          <w:p>
            <w:pPr>
              <w:adjustRightInd w:val="0"/>
              <w:snapToGrid w:val="0"/>
              <w:jc w:val="center"/>
              <w:rPr>
                <w:rFonts w:ascii="宋体" w:hAnsi="宋体" w:cs="宋体"/>
                <w:sz w:val="24"/>
              </w:rPr>
            </w:pPr>
            <w:r>
              <w:rPr>
                <w:rFonts w:hint="eastAsia" w:ascii="宋体" w:hAnsi="宋体" w:cs="宋体"/>
                <w:sz w:val="24"/>
              </w:rPr>
              <w:t>申报情形</w:t>
            </w:r>
          </w:p>
        </w:tc>
        <w:tc>
          <w:tcPr>
            <w:tcW w:w="2711" w:type="dxa"/>
            <w:vAlign w:val="center"/>
          </w:tcPr>
          <w:p>
            <w:pPr>
              <w:adjustRightInd w:val="0"/>
              <w:snapToGrid w:val="0"/>
              <w:jc w:val="left"/>
              <w:rPr>
                <w:rFonts w:ascii="宋体" w:hAnsi="宋体" w:cs="宋体"/>
                <w:sz w:val="24"/>
              </w:rPr>
            </w:pPr>
            <w:r>
              <w:rPr>
                <w:rFonts w:hint="eastAsia" w:ascii="宋体" w:hAnsi="宋体" w:cs="宋体"/>
                <w:sz w:val="24"/>
              </w:rPr>
              <w:sym w:font="Wingdings 2" w:char="0052"/>
            </w:r>
            <w:r>
              <w:rPr>
                <w:rFonts w:hint="eastAsia" w:ascii="宋体" w:hAnsi="宋体" w:cs="宋体"/>
                <w:sz w:val="24"/>
              </w:rPr>
              <w:t>首次申报项目</w:t>
            </w:r>
          </w:p>
          <w:p>
            <w:pPr>
              <w:adjustRightInd w:val="0"/>
              <w:snapToGrid w:val="0"/>
              <w:jc w:val="left"/>
              <w:rPr>
                <w:rFonts w:ascii="宋体" w:hAnsi="宋体" w:cs="宋体"/>
                <w:sz w:val="24"/>
              </w:rPr>
            </w:pPr>
            <w:r>
              <w:rPr>
                <w:rFonts w:hint="eastAsia" w:ascii="宋体" w:hAnsi="宋体" w:cs="宋体"/>
                <w:sz w:val="24"/>
              </w:rPr>
              <w:t>□不予批准后再次申报项目</w:t>
            </w:r>
          </w:p>
          <w:p>
            <w:pPr>
              <w:adjustRightInd w:val="0"/>
              <w:snapToGrid w:val="0"/>
              <w:jc w:val="left"/>
              <w:rPr>
                <w:rFonts w:ascii="宋体" w:hAnsi="宋体" w:cs="宋体"/>
                <w:sz w:val="24"/>
              </w:rPr>
            </w:pPr>
            <w:r>
              <w:rPr>
                <w:rFonts w:hint="eastAsia" w:ascii="宋体" w:hAnsi="宋体" w:cs="宋体"/>
                <w:sz w:val="24"/>
              </w:rPr>
              <w:t>□超五年重新审核项目</w:t>
            </w:r>
          </w:p>
          <w:p>
            <w:pPr>
              <w:adjustRightInd w:val="0"/>
              <w:snapToGrid w:val="0"/>
              <w:rPr>
                <w:rFonts w:ascii="宋体" w:hAnsi="宋体" w:cs="宋体"/>
                <w:sz w:val="24"/>
              </w:rPr>
            </w:pPr>
            <w:r>
              <w:rPr>
                <w:rFonts w:hint="eastAsia" w:ascii="宋体" w:hAnsi="宋体" w:cs="宋体"/>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项目审批（核准</w:t>
            </w:r>
            <w:r>
              <w:rPr>
                <w:rFonts w:ascii="宋体" w:hAnsi="宋体" w:cs="宋体"/>
                <w:sz w:val="24"/>
              </w:rPr>
              <w:t>/</w:t>
            </w:r>
          </w:p>
          <w:p>
            <w:pPr>
              <w:adjustRightInd w:val="0"/>
              <w:snapToGrid w:val="0"/>
              <w:jc w:val="center"/>
              <w:rPr>
                <w:rFonts w:ascii="宋体" w:hAnsi="宋体" w:cs="宋体"/>
                <w:sz w:val="24"/>
              </w:rPr>
            </w:pPr>
            <w:r>
              <w:rPr>
                <w:rFonts w:hint="eastAsia" w:ascii="宋体" w:hAnsi="宋体" w:cs="宋体"/>
                <w:sz w:val="24"/>
              </w:rPr>
              <w:t>备案）部门（选填）</w:t>
            </w:r>
          </w:p>
        </w:tc>
        <w:tc>
          <w:tcPr>
            <w:tcW w:w="2043" w:type="dxa"/>
            <w:vAlign w:val="center"/>
          </w:tcPr>
          <w:p>
            <w:pPr>
              <w:adjustRightInd w:val="0"/>
              <w:snapToGrid w:val="0"/>
              <w:jc w:val="center"/>
              <w:rPr>
                <w:rFonts w:ascii="宋体" w:hAnsi="宋体" w:cs="宋体"/>
                <w:sz w:val="24"/>
              </w:rPr>
            </w:pPr>
            <w:r>
              <w:rPr>
                <w:rFonts w:hint="eastAsia"/>
                <w:sz w:val="24"/>
              </w:rPr>
              <w:t>岳阳市发展和改革委员会</w:t>
            </w:r>
          </w:p>
        </w:tc>
        <w:tc>
          <w:tcPr>
            <w:tcW w:w="2223" w:type="dxa"/>
            <w:vAlign w:val="center"/>
          </w:tcPr>
          <w:p>
            <w:pPr>
              <w:adjustRightInd w:val="0"/>
              <w:snapToGrid w:val="0"/>
              <w:jc w:val="center"/>
              <w:rPr>
                <w:rFonts w:ascii="宋体" w:hAnsi="宋体" w:cs="宋体"/>
                <w:sz w:val="24"/>
              </w:rPr>
            </w:pPr>
            <w:r>
              <w:rPr>
                <w:rFonts w:hint="eastAsia" w:ascii="宋体" w:hAnsi="宋体" w:cs="宋体"/>
                <w:sz w:val="24"/>
              </w:rPr>
              <w:t>项目审批（核准</w:t>
            </w:r>
            <w:r>
              <w:rPr>
                <w:rFonts w:ascii="宋体" w:hAnsi="宋体" w:cs="宋体"/>
                <w:sz w:val="24"/>
              </w:rPr>
              <w:t>/</w:t>
            </w:r>
          </w:p>
          <w:p>
            <w:pPr>
              <w:adjustRightInd w:val="0"/>
              <w:snapToGrid w:val="0"/>
              <w:jc w:val="center"/>
              <w:rPr>
                <w:rFonts w:ascii="宋体" w:hAnsi="宋体" w:cs="宋体"/>
                <w:sz w:val="24"/>
              </w:rPr>
            </w:pPr>
            <w:r>
              <w:rPr>
                <w:rFonts w:hint="eastAsia" w:ascii="宋体" w:hAnsi="宋体" w:cs="宋体"/>
                <w:sz w:val="24"/>
              </w:rPr>
              <w:t>备案）文号（选填）</w:t>
            </w:r>
          </w:p>
        </w:tc>
        <w:tc>
          <w:tcPr>
            <w:tcW w:w="2711" w:type="dxa"/>
            <w:vAlign w:val="center"/>
          </w:tcPr>
          <w:p>
            <w:pPr>
              <w:adjustRightInd w:val="0"/>
              <w:snapToGrid w:val="0"/>
              <w:jc w:val="center"/>
              <w:rPr>
                <w:rFonts w:ascii="宋体" w:hAnsi="宋体" w:cs="宋体"/>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总投资（万元）</w:t>
            </w:r>
          </w:p>
        </w:tc>
        <w:tc>
          <w:tcPr>
            <w:tcW w:w="2043" w:type="dxa"/>
            <w:vAlign w:val="center"/>
          </w:tcPr>
          <w:p>
            <w:pPr>
              <w:adjustRightInd w:val="0"/>
              <w:snapToGrid w:val="0"/>
              <w:jc w:val="center"/>
              <w:rPr>
                <w:sz w:val="24"/>
              </w:rPr>
            </w:pPr>
            <w:r>
              <w:rPr>
                <w:sz w:val="24"/>
              </w:rPr>
              <w:t>110000</w:t>
            </w:r>
          </w:p>
        </w:tc>
        <w:tc>
          <w:tcPr>
            <w:tcW w:w="2223" w:type="dxa"/>
            <w:tcMar>
              <w:top w:w="16" w:type="dxa"/>
              <w:left w:w="16" w:type="dxa"/>
              <w:right w:w="16" w:type="dxa"/>
            </w:tcMar>
            <w:vAlign w:val="center"/>
          </w:tcPr>
          <w:p>
            <w:pPr>
              <w:adjustRightInd w:val="0"/>
              <w:snapToGrid w:val="0"/>
              <w:jc w:val="center"/>
              <w:rPr>
                <w:sz w:val="24"/>
              </w:rPr>
            </w:pPr>
            <w:r>
              <w:rPr>
                <w:sz w:val="24"/>
              </w:rPr>
              <w:t>环保投资（万元）</w:t>
            </w:r>
          </w:p>
        </w:tc>
        <w:tc>
          <w:tcPr>
            <w:tcW w:w="2711" w:type="dxa"/>
            <w:vAlign w:val="center"/>
          </w:tcPr>
          <w:p>
            <w:pPr>
              <w:adjustRightInd w:val="0"/>
              <w:snapToGrid w:val="0"/>
              <w:jc w:val="center"/>
              <w:rPr>
                <w:rFonts w:hint="eastAsia" w:eastAsia="宋体"/>
                <w:sz w:val="24"/>
                <w:lang w:eastAsia="zh-CN"/>
              </w:rPr>
            </w:pPr>
            <w:r>
              <w:rPr>
                <w:sz w:val="24"/>
              </w:rPr>
              <w:t>70</w:t>
            </w:r>
            <w:r>
              <w:rPr>
                <w:rFonts w:hint="eastAsia"/>
                <w:sz w:val="24"/>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环保投资占比（</w:t>
            </w:r>
            <w:r>
              <w:rPr>
                <w:rFonts w:ascii="宋体" w:hAnsi="宋体" w:cs="宋体"/>
                <w:sz w:val="24"/>
              </w:rPr>
              <w:t>%</w:t>
            </w:r>
            <w:r>
              <w:rPr>
                <w:rFonts w:hint="eastAsia" w:ascii="宋体" w:hAnsi="宋体" w:cs="宋体"/>
                <w:sz w:val="24"/>
              </w:rPr>
              <w:t>）</w:t>
            </w:r>
          </w:p>
        </w:tc>
        <w:tc>
          <w:tcPr>
            <w:tcW w:w="2043" w:type="dxa"/>
            <w:vAlign w:val="center"/>
          </w:tcPr>
          <w:p>
            <w:pPr>
              <w:adjustRightInd w:val="0"/>
              <w:snapToGrid w:val="0"/>
              <w:jc w:val="center"/>
              <w:rPr>
                <w:sz w:val="24"/>
              </w:rPr>
            </w:pPr>
            <w:r>
              <w:rPr>
                <w:sz w:val="24"/>
              </w:rPr>
              <w:t>0.64</w:t>
            </w:r>
          </w:p>
        </w:tc>
        <w:tc>
          <w:tcPr>
            <w:tcW w:w="2223" w:type="dxa"/>
            <w:tcMar>
              <w:top w:w="16" w:type="dxa"/>
              <w:left w:w="16" w:type="dxa"/>
              <w:right w:w="16" w:type="dxa"/>
            </w:tcMar>
            <w:vAlign w:val="center"/>
          </w:tcPr>
          <w:p>
            <w:pPr>
              <w:adjustRightInd w:val="0"/>
              <w:snapToGrid w:val="0"/>
              <w:jc w:val="center"/>
              <w:rPr>
                <w:sz w:val="24"/>
              </w:rPr>
            </w:pPr>
            <w:r>
              <w:rPr>
                <w:sz w:val="24"/>
              </w:rPr>
              <w:t>施工工期</w:t>
            </w:r>
          </w:p>
        </w:tc>
        <w:tc>
          <w:tcPr>
            <w:tcW w:w="2711" w:type="dxa"/>
            <w:vAlign w:val="center"/>
          </w:tcPr>
          <w:p>
            <w:pPr>
              <w:adjustRightInd w:val="0"/>
              <w:snapToGrid w:val="0"/>
              <w:jc w:val="center"/>
              <w:rPr>
                <w:sz w:val="24"/>
              </w:rPr>
            </w:pPr>
            <w:r>
              <w:rPr>
                <w:rFonts w:hint="eastAsia"/>
                <w:sz w:val="24"/>
              </w:rPr>
              <w:t>60个月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062" w:type="dxa"/>
            <w:tcMar>
              <w:top w:w="16" w:type="dxa"/>
              <w:left w:w="16" w:type="dxa"/>
              <w:right w:w="16" w:type="dxa"/>
            </w:tcMar>
            <w:vAlign w:val="center"/>
          </w:tcPr>
          <w:p>
            <w:pPr>
              <w:adjustRightInd w:val="0"/>
              <w:snapToGrid w:val="0"/>
              <w:jc w:val="center"/>
              <w:rPr>
                <w:rFonts w:ascii="宋体" w:hAnsi="宋体" w:cs="宋体"/>
                <w:sz w:val="24"/>
              </w:rPr>
            </w:pPr>
            <w:r>
              <w:rPr>
                <w:rFonts w:hint="eastAsia" w:ascii="宋体" w:hAnsi="宋体" w:cs="宋体"/>
                <w:sz w:val="24"/>
              </w:rPr>
              <w:t>是否开工建设</w:t>
            </w:r>
          </w:p>
        </w:tc>
        <w:tc>
          <w:tcPr>
            <w:tcW w:w="6977" w:type="dxa"/>
            <w:gridSpan w:val="3"/>
            <w:vAlign w:val="center"/>
          </w:tcPr>
          <w:p>
            <w:pPr>
              <w:adjustRightInd w:val="0"/>
              <w:snapToGrid w:val="0"/>
              <w:ind w:firstLine="105"/>
              <w:jc w:val="left"/>
              <w:rPr>
                <w:rFonts w:ascii="宋体" w:hAnsi="宋体" w:cs="宋体"/>
                <w:sz w:val="24"/>
              </w:rPr>
            </w:pPr>
            <w:r>
              <w:rPr>
                <w:rFonts w:hint="eastAsia" w:ascii="宋体" w:hAnsi="宋体" w:cs="宋体"/>
                <w:sz w:val="24"/>
              </w:rPr>
              <w:sym w:font="Wingdings 2" w:char="00A3"/>
            </w:r>
            <w:r>
              <w:rPr>
                <w:rFonts w:hint="eastAsia" w:ascii="宋体" w:hAnsi="宋体" w:cs="宋体"/>
                <w:sz w:val="24"/>
              </w:rPr>
              <w:t>否</w:t>
            </w:r>
          </w:p>
          <w:p>
            <w:pPr>
              <w:adjustRightInd w:val="0"/>
              <w:snapToGrid w:val="0"/>
              <w:ind w:firstLine="92"/>
              <w:jc w:val="left"/>
              <w:rPr>
                <w:rFonts w:ascii="宋体" w:hAnsi="宋体" w:cs="宋体"/>
                <w:sz w:val="24"/>
              </w:rPr>
            </w:pPr>
            <w:r>
              <w:rPr>
                <w:rFonts w:hint="eastAsia" w:ascii="宋体" w:hAnsi="宋体" w:cs="宋体"/>
                <w:sz w:val="24"/>
              </w:rPr>
              <w:sym w:font="Wingdings 2" w:char="0052"/>
            </w:r>
            <w:r>
              <w:rPr>
                <w:rFonts w:hint="eastAsia" w:ascii="宋体" w:hAnsi="宋体" w:cs="宋体"/>
                <w:sz w:val="24"/>
              </w:rPr>
              <w:t>是：</w:t>
            </w:r>
            <w:r>
              <w:rPr>
                <w:rFonts w:hint="eastAsia"/>
                <w:sz w:val="24"/>
                <w:u w:val="single"/>
              </w:rPr>
              <w:t>已经开工建设，</w:t>
            </w:r>
            <w:r>
              <w:rPr>
                <w:rFonts w:hint="eastAsia"/>
                <w:sz w:val="24"/>
                <w:u w:val="single"/>
                <w:lang w:val="en-US"/>
              </w:rPr>
              <w:t>02#</w:t>
            </w:r>
            <w:r>
              <w:rPr>
                <w:rFonts w:hint="eastAsia"/>
                <w:sz w:val="24"/>
                <w:u w:val="single"/>
                <w:lang w:val="en-US" w:eastAsia="zh-CN"/>
              </w:rPr>
              <w:t>地块主体工程已建成部分</w:t>
            </w:r>
            <w:r>
              <w:rPr>
                <w:rFonts w:hint="eastAsia"/>
                <w:sz w:val="24"/>
                <w:u w:val="single"/>
                <w:lang w:val="en-US"/>
              </w:rPr>
              <w:t>、03#地块主体工程已基本建成，</w:t>
            </w:r>
            <w:r>
              <w:rPr>
                <w:rFonts w:hint="eastAsia"/>
                <w:sz w:val="24"/>
                <w:u w:val="single"/>
                <w:lang w:val="en-US" w:eastAsia="zh-CN"/>
              </w:rPr>
              <w:t>02#、03#地块</w:t>
            </w:r>
            <w:r>
              <w:rPr>
                <w:rFonts w:hint="eastAsia"/>
                <w:sz w:val="24"/>
                <w:u w:val="single"/>
                <w:lang w:val="en-US"/>
              </w:rPr>
              <w:t>抹灰、外墙涂料等配套工程实施中</w:t>
            </w:r>
            <w:r>
              <w:rPr>
                <w:rFonts w:hint="eastAsia"/>
                <w:sz w:val="24"/>
                <w:u w:val="single"/>
                <w:lang w:val="en-US" w:eastAsia="zh-CN"/>
              </w:rPr>
              <w:t>，</w:t>
            </w:r>
            <w:r>
              <w:rPr>
                <w:rFonts w:hint="eastAsia"/>
                <w:sz w:val="24"/>
                <w:u w:val="single"/>
                <w:lang w:val="en-US"/>
              </w:rPr>
              <w:t>04#地块处于土方开挖阶段</w:t>
            </w:r>
            <w:r>
              <w:rPr>
                <w:rFonts w:hint="eastAsia"/>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062" w:type="dxa"/>
            <w:tcMar>
              <w:top w:w="16" w:type="dxa"/>
              <w:left w:w="16" w:type="dxa"/>
              <w:right w:w="16" w:type="dxa"/>
            </w:tcMar>
            <w:vAlign w:val="center"/>
          </w:tcPr>
          <w:p>
            <w:pPr>
              <w:autoSpaceDE w:val="0"/>
              <w:autoSpaceDN w:val="0"/>
              <w:adjustRightInd w:val="0"/>
              <w:snapToGrid w:val="0"/>
              <w:jc w:val="center"/>
              <w:rPr>
                <w:rFonts w:ascii="宋体" w:hAnsi="宋体" w:cs="宋体"/>
                <w:kern w:val="0"/>
                <w:sz w:val="24"/>
              </w:rPr>
            </w:pPr>
            <w:r>
              <w:rPr>
                <w:rFonts w:hint="eastAsia" w:ascii="宋体" w:hAnsi="宋体" w:cs="宋体"/>
                <w:kern w:val="0"/>
                <w:sz w:val="24"/>
              </w:rPr>
              <w:t>专项评价设置情况</w:t>
            </w:r>
          </w:p>
        </w:tc>
        <w:tc>
          <w:tcPr>
            <w:tcW w:w="6977" w:type="dxa"/>
            <w:gridSpan w:val="3"/>
            <w:tcMar>
              <w:top w:w="16" w:type="dxa"/>
              <w:left w:w="16" w:type="dxa"/>
              <w:right w:w="16" w:type="dxa"/>
            </w:tcMar>
            <w:vAlign w:val="center"/>
          </w:tcPr>
          <w:p>
            <w:pPr>
              <w:autoSpaceDE w:val="0"/>
              <w:autoSpaceDN w:val="0"/>
              <w:adjustRightInd w:val="0"/>
              <w:snapToGrid w:val="0"/>
              <w:rPr>
                <w:rFonts w:ascii="宋体" w:hAnsi="宋体" w:cs="宋体"/>
                <w:kern w:val="0"/>
                <w:sz w:val="24"/>
              </w:rPr>
            </w:pPr>
          </w:p>
          <w:tbl>
            <w:tblPr>
              <w:tblStyle w:val="18"/>
              <w:tblW w:w="6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5"/>
              <w:gridCol w:w="4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5" w:type="dxa"/>
                </w:tcPr>
                <w:p>
                  <w:pPr>
                    <w:autoSpaceDE w:val="0"/>
                    <w:autoSpaceDN w:val="0"/>
                    <w:adjustRightInd w:val="0"/>
                    <w:snapToGrid w:val="0"/>
                    <w:jc w:val="center"/>
                    <w:rPr>
                      <w:b/>
                      <w:bCs/>
                      <w:kern w:val="0"/>
                      <w:sz w:val="24"/>
                    </w:rPr>
                  </w:pPr>
                  <w:r>
                    <w:rPr>
                      <w:b/>
                      <w:bCs/>
                      <w:kern w:val="0"/>
                      <w:sz w:val="24"/>
                    </w:rPr>
                    <w:t>专项评价名称</w:t>
                  </w:r>
                </w:p>
              </w:tc>
              <w:tc>
                <w:tcPr>
                  <w:tcW w:w="4930" w:type="dxa"/>
                </w:tcPr>
                <w:p>
                  <w:pPr>
                    <w:autoSpaceDE w:val="0"/>
                    <w:autoSpaceDN w:val="0"/>
                    <w:adjustRightInd w:val="0"/>
                    <w:snapToGrid w:val="0"/>
                    <w:jc w:val="center"/>
                    <w:rPr>
                      <w:b/>
                      <w:bCs/>
                      <w:kern w:val="0"/>
                      <w:sz w:val="24"/>
                    </w:rPr>
                  </w:pPr>
                  <w:r>
                    <w:rPr>
                      <w:b/>
                      <w:bCs/>
                      <w:kern w:val="0"/>
                      <w:sz w:val="24"/>
                    </w:rPr>
                    <w:t>设置理由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5" w:type="dxa"/>
                </w:tcPr>
                <w:p>
                  <w:pPr>
                    <w:autoSpaceDE w:val="0"/>
                    <w:autoSpaceDN w:val="0"/>
                    <w:adjustRightInd w:val="0"/>
                    <w:snapToGrid w:val="0"/>
                    <w:jc w:val="center"/>
                    <w:rPr>
                      <w:kern w:val="0"/>
                      <w:sz w:val="24"/>
                    </w:rPr>
                  </w:pPr>
                  <w:r>
                    <w:rPr>
                      <w:rFonts w:hint="eastAsia"/>
                      <w:sz w:val="24"/>
                    </w:rPr>
                    <w:t>金茂·岳茂苑</w:t>
                  </w:r>
                  <w:r>
                    <w:rPr>
                      <w:kern w:val="0"/>
                      <w:sz w:val="24"/>
                    </w:rPr>
                    <w:t>生态</w:t>
                  </w:r>
                  <w:r>
                    <w:rPr>
                      <w:rFonts w:hint="eastAsia"/>
                      <w:kern w:val="0"/>
                      <w:sz w:val="24"/>
                    </w:rPr>
                    <w:t>专项评价</w:t>
                  </w:r>
                </w:p>
              </w:tc>
              <w:tc>
                <w:tcPr>
                  <w:tcW w:w="4930" w:type="dxa"/>
                </w:tcPr>
                <w:p>
                  <w:pPr>
                    <w:autoSpaceDE w:val="0"/>
                    <w:autoSpaceDN w:val="0"/>
                    <w:adjustRightInd w:val="0"/>
                    <w:snapToGrid w:val="0"/>
                    <w:jc w:val="center"/>
                    <w:rPr>
                      <w:kern w:val="0"/>
                      <w:sz w:val="24"/>
                    </w:rPr>
                  </w:pPr>
                  <w:r>
                    <w:rPr>
                      <w:rFonts w:hint="eastAsia"/>
                      <w:kern w:val="0"/>
                      <w:sz w:val="24"/>
                    </w:rPr>
                    <w:t>建设项目环境影响范围</w:t>
                  </w:r>
                  <w:r>
                    <w:rPr>
                      <w:kern w:val="0"/>
                      <w:sz w:val="24"/>
                    </w:rPr>
                    <w:t>涉及环境敏感区</w:t>
                  </w:r>
                  <w:r>
                    <w:rPr>
                      <w:rFonts w:hint="eastAsia"/>
                      <w:kern w:val="0"/>
                      <w:sz w:val="24"/>
                    </w:rPr>
                    <w:t>（岳阳楼--洞庭湖风景名胜区中的岳阳楼景区）</w:t>
                  </w:r>
                </w:p>
              </w:tc>
            </w:tr>
          </w:tbl>
          <w:p/>
          <w:p>
            <w:pPr>
              <w:autoSpaceDE w:val="0"/>
              <w:autoSpaceDN w:val="0"/>
              <w:adjustRightInd w:val="0"/>
              <w:snapToGrid w:val="0"/>
              <w:rPr>
                <w:rFonts w:ascii="宋体" w:hAnsi="宋体" w:cs="宋体"/>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062" w:type="dxa"/>
            <w:tcMar>
              <w:top w:w="16" w:type="dxa"/>
              <w:left w:w="16" w:type="dxa"/>
              <w:right w:w="16" w:type="dxa"/>
            </w:tcMar>
            <w:vAlign w:val="center"/>
          </w:tcPr>
          <w:p>
            <w:pPr>
              <w:autoSpaceDE w:val="0"/>
              <w:autoSpaceDN w:val="0"/>
              <w:adjustRightInd w:val="0"/>
              <w:snapToGrid w:val="0"/>
              <w:jc w:val="center"/>
              <w:rPr>
                <w:rFonts w:ascii="宋体" w:hAnsi="宋体" w:cs="宋体"/>
                <w:kern w:val="0"/>
                <w:sz w:val="24"/>
              </w:rPr>
            </w:pPr>
            <w:r>
              <w:rPr>
                <w:rFonts w:hint="eastAsia" w:ascii="宋体" w:hAnsi="宋体" w:cs="宋体"/>
                <w:sz w:val="24"/>
              </w:rPr>
              <w:t>规划情况</w:t>
            </w:r>
          </w:p>
        </w:tc>
        <w:tc>
          <w:tcPr>
            <w:tcW w:w="6977" w:type="dxa"/>
            <w:gridSpan w:val="3"/>
            <w:tcMar>
              <w:top w:w="16" w:type="dxa"/>
              <w:left w:w="16" w:type="dxa"/>
              <w:right w:w="16" w:type="dxa"/>
            </w:tcMar>
            <w:vAlign w:val="center"/>
          </w:tcPr>
          <w:p>
            <w:pPr>
              <w:autoSpaceDE w:val="0"/>
              <w:autoSpaceDN w:val="0"/>
              <w:adjustRightInd w:val="0"/>
              <w:snapToGrid w:val="0"/>
              <w:jc w:val="center"/>
              <w:rPr>
                <w:rFonts w:ascii="宋体" w:hAnsi="宋体" w:cs="宋体"/>
                <w:kern w:val="0"/>
                <w:sz w:val="24"/>
              </w:rPr>
            </w:pPr>
            <w:r>
              <w:rPr>
                <w:rFonts w:hint="eastAsia"/>
                <w:kern w:val="0"/>
                <w:sz w:val="24"/>
              </w:rPr>
              <w:t>《岳阳楼-洞庭湖风景名胜区总体规划》（2012-2025）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062" w:type="dxa"/>
            <w:tcMar>
              <w:top w:w="16" w:type="dxa"/>
              <w:left w:w="16" w:type="dxa"/>
              <w:right w:w="16" w:type="dxa"/>
            </w:tcMar>
            <w:vAlign w:val="center"/>
          </w:tcPr>
          <w:p>
            <w:pPr>
              <w:autoSpaceDE w:val="0"/>
              <w:autoSpaceDN w:val="0"/>
              <w:adjustRightInd w:val="0"/>
              <w:snapToGrid w:val="0"/>
              <w:jc w:val="center"/>
              <w:rPr>
                <w:rFonts w:ascii="宋体" w:hAnsi="宋体" w:cs="宋体"/>
                <w:sz w:val="24"/>
              </w:rPr>
            </w:pPr>
            <w:r>
              <w:rPr>
                <w:rFonts w:hint="eastAsia" w:ascii="宋体" w:hAnsi="宋体" w:cs="宋体"/>
                <w:sz w:val="24"/>
              </w:rPr>
              <w:t>规划环境影响</w:t>
            </w:r>
          </w:p>
          <w:p>
            <w:pPr>
              <w:autoSpaceDE w:val="0"/>
              <w:autoSpaceDN w:val="0"/>
              <w:adjustRightInd w:val="0"/>
              <w:snapToGrid w:val="0"/>
              <w:jc w:val="center"/>
              <w:rPr>
                <w:rFonts w:ascii="宋体" w:hAnsi="宋体" w:cs="宋体"/>
                <w:kern w:val="0"/>
                <w:sz w:val="24"/>
              </w:rPr>
            </w:pPr>
            <w:r>
              <w:rPr>
                <w:rFonts w:hint="eastAsia" w:ascii="宋体" w:hAnsi="宋体" w:cs="宋体"/>
                <w:sz w:val="24"/>
              </w:rPr>
              <w:t>评价情况</w:t>
            </w:r>
          </w:p>
        </w:tc>
        <w:tc>
          <w:tcPr>
            <w:tcW w:w="6977" w:type="dxa"/>
            <w:gridSpan w:val="3"/>
            <w:tcMar>
              <w:top w:w="16" w:type="dxa"/>
              <w:left w:w="16" w:type="dxa"/>
              <w:right w:w="16" w:type="dxa"/>
            </w:tcMar>
            <w:vAlign w:val="center"/>
          </w:tcPr>
          <w:p>
            <w:pPr>
              <w:adjustRightInd w:val="0"/>
              <w:snapToGrid w:val="0"/>
              <w:jc w:val="center"/>
              <w:rPr>
                <w:rFonts w:ascii="宋体" w:hAnsi="宋体" w:cs="宋体"/>
                <w:kern w:val="0"/>
                <w:sz w:val="24"/>
              </w:rPr>
            </w:pPr>
            <w:r>
              <w:rPr>
                <w:rFonts w:hint="eastAsia"/>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14" w:hRule="atLeast"/>
        </w:trPr>
        <w:tc>
          <w:tcPr>
            <w:tcW w:w="2062" w:type="dxa"/>
            <w:tcMar>
              <w:top w:w="16" w:type="dxa"/>
              <w:left w:w="16" w:type="dxa"/>
              <w:right w:w="16" w:type="dxa"/>
            </w:tcMar>
            <w:vAlign w:val="center"/>
          </w:tcPr>
          <w:p>
            <w:pPr>
              <w:autoSpaceDE w:val="0"/>
              <w:autoSpaceDN w:val="0"/>
              <w:adjustRightInd w:val="0"/>
              <w:snapToGrid w:val="0"/>
              <w:jc w:val="center"/>
              <w:rPr>
                <w:rFonts w:ascii="宋体" w:hAnsi="宋体" w:cs="宋体"/>
                <w:kern w:val="0"/>
                <w:sz w:val="24"/>
              </w:rPr>
            </w:pPr>
            <w:r>
              <w:rPr>
                <w:rFonts w:hint="eastAsia" w:ascii="宋体" w:hAnsi="宋体" w:cs="宋体"/>
                <w:kern w:val="0"/>
                <w:sz w:val="24"/>
              </w:rPr>
              <w:t>规划及</w:t>
            </w:r>
            <w:r>
              <w:rPr>
                <w:rFonts w:hint="eastAsia" w:ascii="宋体" w:hAnsi="宋体" w:cs="宋体"/>
                <w:sz w:val="24"/>
              </w:rPr>
              <w:t>规划环境影响评价</w:t>
            </w:r>
            <w:r>
              <w:rPr>
                <w:rFonts w:hint="eastAsia" w:ascii="宋体" w:hAnsi="宋体" w:cs="宋体"/>
                <w:kern w:val="0"/>
                <w:sz w:val="24"/>
              </w:rPr>
              <w:t>符合性分析</w:t>
            </w:r>
          </w:p>
        </w:tc>
        <w:tc>
          <w:tcPr>
            <w:tcW w:w="6977" w:type="dxa"/>
            <w:gridSpan w:val="3"/>
            <w:tcMar>
              <w:top w:w="16" w:type="dxa"/>
              <w:left w:w="16" w:type="dxa"/>
              <w:right w:w="16" w:type="dxa"/>
            </w:tcMar>
            <w:vAlign w:val="center"/>
          </w:tcPr>
          <w:p>
            <w:pPr>
              <w:spacing w:line="360" w:lineRule="auto"/>
              <w:ind w:firstLine="482" w:firstLineChars="200"/>
              <w:rPr>
                <w:b/>
                <w:bCs/>
                <w:sz w:val="24"/>
              </w:rPr>
            </w:pPr>
            <w:r>
              <w:rPr>
                <w:rFonts w:hint="eastAsia"/>
                <w:b/>
                <w:bCs/>
                <w:sz w:val="24"/>
              </w:rPr>
              <w:t>一、</w:t>
            </w:r>
            <w:r>
              <w:rPr>
                <w:b/>
                <w:bCs/>
                <w:sz w:val="24"/>
              </w:rPr>
              <w:t>《岳阳楼—洞庭湖风景名胜区总体规划（修编）》（2012-2025年）相符性分析</w:t>
            </w:r>
          </w:p>
          <w:p>
            <w:pPr>
              <w:pStyle w:val="26"/>
              <w:spacing w:line="240" w:lineRule="auto"/>
              <w:ind w:firstLine="0" w:firstLineChars="0"/>
              <w:jc w:val="center"/>
              <w:rPr>
                <w:rFonts w:hint="default" w:ascii="宋体" w:hAnsi="宋体" w:cs="宋体"/>
              </w:rPr>
            </w:pPr>
            <w:r>
              <w:rPr>
                <w:b/>
                <w:bCs/>
                <w:sz w:val="21"/>
                <w:szCs w:val="18"/>
                <w:u w:val="none"/>
              </w:rPr>
              <w:t>表1-1本项目与风景名胜区总体规划相符分析表</w:t>
            </w:r>
          </w:p>
          <w:tbl>
            <w:tblPr>
              <w:tblStyle w:val="18"/>
              <w:tblW w:w="6648" w:type="dxa"/>
              <w:tblInd w:w="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649"/>
              <w:gridCol w:w="2776"/>
              <w:gridCol w:w="2345"/>
              <w:gridCol w:w="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Align w:val="center"/>
                </w:tcPr>
                <w:p>
                  <w:pPr>
                    <w:pStyle w:val="27"/>
                    <w:ind w:firstLine="0"/>
                    <w:jc w:val="center"/>
                    <w:rPr>
                      <w:snapToGrid w:val="0"/>
                      <w:sz w:val="21"/>
                      <w:szCs w:val="21"/>
                    </w:rPr>
                  </w:pPr>
                  <w:r>
                    <w:rPr>
                      <w:snapToGrid w:val="0"/>
                      <w:sz w:val="21"/>
                      <w:szCs w:val="21"/>
                    </w:rPr>
                    <w:t>序号</w:t>
                  </w:r>
                </w:p>
              </w:tc>
              <w:tc>
                <w:tcPr>
                  <w:tcW w:w="3425" w:type="dxa"/>
                  <w:gridSpan w:val="2"/>
                  <w:vAlign w:val="center"/>
                </w:tcPr>
                <w:p>
                  <w:pPr>
                    <w:pStyle w:val="27"/>
                    <w:ind w:firstLine="0"/>
                    <w:jc w:val="center"/>
                    <w:rPr>
                      <w:snapToGrid w:val="0"/>
                      <w:sz w:val="21"/>
                      <w:szCs w:val="21"/>
                    </w:rPr>
                  </w:pPr>
                  <w:r>
                    <w:rPr>
                      <w:snapToGrid w:val="0"/>
                      <w:sz w:val="21"/>
                      <w:szCs w:val="21"/>
                    </w:rPr>
                    <w:t>保护规划内容</w:t>
                  </w:r>
                </w:p>
              </w:tc>
              <w:tc>
                <w:tcPr>
                  <w:tcW w:w="2345" w:type="dxa"/>
                  <w:vAlign w:val="center"/>
                </w:tcPr>
                <w:p>
                  <w:pPr>
                    <w:pStyle w:val="27"/>
                    <w:ind w:firstLine="0"/>
                    <w:jc w:val="center"/>
                    <w:rPr>
                      <w:snapToGrid w:val="0"/>
                      <w:sz w:val="21"/>
                      <w:szCs w:val="21"/>
                    </w:rPr>
                  </w:pPr>
                  <w:r>
                    <w:rPr>
                      <w:snapToGrid w:val="0"/>
                      <w:sz w:val="21"/>
                      <w:szCs w:val="21"/>
                    </w:rPr>
                    <w:t>相符性分析</w:t>
                  </w:r>
                </w:p>
              </w:tc>
              <w:tc>
                <w:tcPr>
                  <w:tcW w:w="437" w:type="dxa"/>
                  <w:vAlign w:val="center"/>
                </w:tcPr>
                <w:p>
                  <w:pPr>
                    <w:pStyle w:val="27"/>
                    <w:ind w:firstLine="0"/>
                    <w:jc w:val="center"/>
                    <w:rPr>
                      <w:snapToGrid w:val="0"/>
                      <w:sz w:val="21"/>
                      <w:szCs w:val="21"/>
                    </w:rPr>
                  </w:pPr>
                  <w:r>
                    <w:rPr>
                      <w:snapToGrid w:val="0"/>
                      <w:sz w:val="21"/>
                      <w:szCs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41" w:type="dxa"/>
                  <w:vAlign w:val="center"/>
                </w:tcPr>
                <w:p>
                  <w:pPr>
                    <w:pStyle w:val="27"/>
                    <w:ind w:firstLine="0"/>
                    <w:jc w:val="center"/>
                    <w:rPr>
                      <w:snapToGrid w:val="0"/>
                      <w:sz w:val="21"/>
                      <w:szCs w:val="21"/>
                    </w:rPr>
                  </w:pPr>
                  <w:r>
                    <w:rPr>
                      <w:rFonts w:hint="eastAsia"/>
                      <w:snapToGrid w:val="0"/>
                      <w:sz w:val="21"/>
                      <w:szCs w:val="21"/>
                    </w:rPr>
                    <w:t>1</w:t>
                  </w:r>
                </w:p>
              </w:tc>
              <w:tc>
                <w:tcPr>
                  <w:tcW w:w="649" w:type="dxa"/>
                  <w:vAlign w:val="center"/>
                </w:tcPr>
                <w:p>
                  <w:pPr>
                    <w:pStyle w:val="27"/>
                    <w:ind w:firstLine="0"/>
                    <w:jc w:val="center"/>
                    <w:rPr>
                      <w:snapToGrid w:val="0"/>
                      <w:sz w:val="21"/>
                      <w:szCs w:val="21"/>
                    </w:rPr>
                  </w:pPr>
                  <w:r>
                    <w:rPr>
                      <w:snapToGrid w:val="0"/>
                      <w:sz w:val="21"/>
                      <w:szCs w:val="21"/>
                    </w:rPr>
                    <w:t>风景区的总体保护规定</w:t>
                  </w:r>
                </w:p>
              </w:tc>
              <w:tc>
                <w:tcPr>
                  <w:tcW w:w="2776" w:type="dxa"/>
                  <w:vAlign w:val="center"/>
                </w:tcPr>
                <w:p>
                  <w:pPr>
                    <w:pStyle w:val="27"/>
                    <w:ind w:firstLine="0"/>
                    <w:rPr>
                      <w:snapToGrid w:val="0"/>
                      <w:sz w:val="21"/>
                      <w:szCs w:val="21"/>
                    </w:rPr>
                  </w:pPr>
                  <w:r>
                    <w:rPr>
                      <w:rFonts w:hint="eastAsia"/>
                      <w:snapToGrid w:val="0"/>
                      <w:sz w:val="21"/>
                      <w:szCs w:val="21"/>
                    </w:rPr>
                    <w:t>1、严格保护风景区内的景点景物，严格保护风景区内的自然地形地貌、林草植被、水体岸线、野生动物及其生态景观环境。</w:t>
                  </w:r>
                </w:p>
                <w:p>
                  <w:pPr>
                    <w:pStyle w:val="27"/>
                    <w:ind w:firstLine="0"/>
                    <w:rPr>
                      <w:snapToGrid w:val="0"/>
                      <w:sz w:val="21"/>
                      <w:szCs w:val="21"/>
                    </w:rPr>
                  </w:pPr>
                  <w:r>
                    <w:rPr>
                      <w:rFonts w:hint="eastAsia"/>
                      <w:snapToGrid w:val="0"/>
                      <w:sz w:val="21"/>
                      <w:szCs w:val="21"/>
                    </w:rPr>
                    <w:t>2、禁止在风景区内开山、采石、开矿、开荒、修坟立碑等破坏景观、植被和地形地貌的活动。</w:t>
                  </w:r>
                </w:p>
                <w:p>
                  <w:pPr>
                    <w:pStyle w:val="27"/>
                    <w:ind w:firstLine="0"/>
                    <w:rPr>
                      <w:snapToGrid w:val="0"/>
                      <w:sz w:val="21"/>
                      <w:szCs w:val="21"/>
                    </w:rPr>
                  </w:pPr>
                  <w:r>
                    <w:rPr>
                      <w:rFonts w:hint="eastAsia"/>
                      <w:snapToGrid w:val="0"/>
                      <w:sz w:val="21"/>
                      <w:szCs w:val="21"/>
                    </w:rPr>
                    <w:t>3、禁止在风景区内修建储存爆炸性、易燃性、放射性、毒害性、腐蚀性物品的设施。</w:t>
                  </w:r>
                </w:p>
                <w:p>
                  <w:pPr>
                    <w:pStyle w:val="27"/>
                    <w:ind w:firstLine="0"/>
                    <w:rPr>
                      <w:snapToGrid w:val="0"/>
                      <w:sz w:val="21"/>
                      <w:szCs w:val="21"/>
                    </w:rPr>
                  </w:pPr>
                  <w:r>
                    <w:rPr>
                      <w:rFonts w:hint="eastAsia"/>
                      <w:snapToGrid w:val="0"/>
                      <w:sz w:val="21"/>
                      <w:szCs w:val="21"/>
                    </w:rPr>
                    <w:t>4、禁止在风景区内设立各类开发区、旅游度假区、工厂和进行房地产开发。已经违规操作的，应限期撤销。</w:t>
                  </w:r>
                </w:p>
                <w:p>
                  <w:pPr>
                    <w:pStyle w:val="27"/>
                    <w:ind w:firstLine="0"/>
                    <w:rPr>
                      <w:snapToGrid w:val="0"/>
                      <w:sz w:val="21"/>
                      <w:szCs w:val="21"/>
                    </w:rPr>
                  </w:pPr>
                  <w:r>
                    <w:rPr>
                      <w:rFonts w:hint="eastAsia"/>
                      <w:snapToGrid w:val="0"/>
                      <w:sz w:val="21"/>
                      <w:szCs w:val="21"/>
                    </w:rPr>
                    <w:t>5、在风景区内修建缆车、索道、城市干道、过境铁路、高速公路等重大建设工程，项目的选址方案必须报国务院建设行政主管部门核准。其他所有建设行为与各类活动必须经风景区管理机构审核同意后，依照有关法律、法规的规定报有关主管部门批准或办理审批手续。</w:t>
                  </w:r>
                </w:p>
                <w:p>
                  <w:pPr>
                    <w:pStyle w:val="27"/>
                    <w:ind w:firstLine="0"/>
                    <w:rPr>
                      <w:snapToGrid w:val="0"/>
                      <w:sz w:val="21"/>
                      <w:szCs w:val="21"/>
                    </w:rPr>
                  </w:pPr>
                  <w:r>
                    <w:rPr>
                      <w:rFonts w:hint="eastAsia"/>
                      <w:snapToGrid w:val="0"/>
                      <w:sz w:val="21"/>
                      <w:szCs w:val="21"/>
                    </w:rPr>
                    <w:t>6、全面治理风景区现有水土流失，加强对开发建设活动的监管，风景名胜区内道路交通、旅游服务及基础设施建设项目除符合总体规划外，还必须严格执行水土保持方案审批制度，减少地貌植被破坏和可能造成的水土流失，有效保护生态环境和风景名胜资源。</w:t>
                  </w:r>
                </w:p>
                <w:p>
                  <w:pPr>
                    <w:pStyle w:val="27"/>
                    <w:ind w:firstLine="0"/>
                    <w:rPr>
                      <w:snapToGrid w:val="0"/>
                      <w:sz w:val="21"/>
                      <w:szCs w:val="21"/>
                    </w:rPr>
                  </w:pPr>
                  <w:r>
                    <w:rPr>
                      <w:rFonts w:hint="eastAsia"/>
                      <w:snapToGrid w:val="0"/>
                      <w:sz w:val="21"/>
                      <w:szCs w:val="21"/>
                    </w:rPr>
                    <w:t>7、严格控制风景区的建设用地规模。对于外围保护地带，与城市关联紧密的风景区外围保护地带须加强城市规划管理力度，城市相关规划与设计须注意充实天际线的处理，形成景区的良好景观面。</w:t>
                  </w:r>
                </w:p>
              </w:tc>
              <w:tc>
                <w:tcPr>
                  <w:tcW w:w="2345" w:type="dxa"/>
                  <w:vAlign w:val="center"/>
                </w:tcPr>
                <w:p>
                  <w:pPr>
                    <w:pStyle w:val="27"/>
                    <w:ind w:firstLine="0"/>
                    <w:rPr>
                      <w:snapToGrid w:val="0"/>
                      <w:sz w:val="21"/>
                      <w:szCs w:val="21"/>
                    </w:rPr>
                  </w:pPr>
                  <w:r>
                    <w:rPr>
                      <w:rFonts w:hint="eastAsia"/>
                      <w:snapToGrid w:val="0"/>
                      <w:sz w:val="21"/>
                      <w:szCs w:val="21"/>
                    </w:rPr>
                    <w:t>1和2、本项目严格保护风景区内的景点景物，严格保护风景区内的自然地形地貌、林草植被、水体岸线、野生动物及其生态景观环境，不会在风景区内进行破坏景观、植被和地形地貌的活动。</w:t>
                  </w:r>
                </w:p>
                <w:p>
                  <w:pPr>
                    <w:pStyle w:val="27"/>
                    <w:ind w:firstLine="0"/>
                    <w:rPr>
                      <w:snapToGrid w:val="0"/>
                      <w:sz w:val="21"/>
                      <w:szCs w:val="21"/>
                    </w:rPr>
                  </w:pPr>
                  <w:r>
                    <w:rPr>
                      <w:rFonts w:hint="eastAsia"/>
                      <w:snapToGrid w:val="0"/>
                      <w:sz w:val="21"/>
                      <w:szCs w:val="21"/>
                    </w:rPr>
                    <w:t>3、本项目不在风景区内修建储存爆炸性、易燃性、放射性、毒害性、腐蚀性物品的设施。</w:t>
                  </w:r>
                </w:p>
                <w:p>
                  <w:pPr>
                    <w:pStyle w:val="27"/>
                    <w:ind w:firstLine="0"/>
                    <w:rPr>
                      <w:snapToGrid w:val="0"/>
                      <w:sz w:val="21"/>
                      <w:szCs w:val="21"/>
                    </w:rPr>
                  </w:pPr>
                  <w:r>
                    <w:rPr>
                      <w:rFonts w:hint="eastAsia"/>
                      <w:snapToGrid w:val="0"/>
                      <w:sz w:val="21"/>
                      <w:szCs w:val="21"/>
                    </w:rPr>
                    <w:t>4、本项目选址地位于岳阳楼景区规划的外围保护地带范围，不在岳阳楼景区范围内且已按规定程序上报审批，不属于违规建设。</w:t>
                  </w:r>
                </w:p>
                <w:p>
                  <w:pPr>
                    <w:pStyle w:val="27"/>
                    <w:ind w:firstLine="0"/>
                    <w:rPr>
                      <w:snapToGrid w:val="0"/>
                      <w:sz w:val="21"/>
                      <w:szCs w:val="21"/>
                    </w:rPr>
                  </w:pPr>
                  <w:r>
                    <w:rPr>
                      <w:rFonts w:hint="eastAsia"/>
                      <w:snapToGrid w:val="0"/>
                      <w:sz w:val="21"/>
                      <w:szCs w:val="21"/>
                    </w:rPr>
                    <w:t>5、本项目不在风景区内修建缆车、索道、城市干道、过境铁路、高速公路等重大建设工程。</w:t>
                  </w:r>
                </w:p>
                <w:p>
                  <w:pPr>
                    <w:pStyle w:val="27"/>
                    <w:ind w:firstLine="0"/>
                    <w:rPr>
                      <w:snapToGrid w:val="0"/>
                      <w:sz w:val="21"/>
                      <w:szCs w:val="21"/>
                    </w:rPr>
                  </w:pPr>
                  <w:r>
                    <w:rPr>
                      <w:rFonts w:hint="eastAsia"/>
                      <w:snapToGrid w:val="0"/>
                      <w:sz w:val="21"/>
                      <w:szCs w:val="21"/>
                    </w:rPr>
                    <w:t>6、本项目建设期间尽可能的减少地貌植被破坏和可能造成的水土流失。</w:t>
                  </w:r>
                </w:p>
                <w:p>
                  <w:pPr>
                    <w:pStyle w:val="27"/>
                    <w:ind w:firstLine="0"/>
                    <w:rPr>
                      <w:snapToGrid w:val="0"/>
                      <w:color w:val="0000FF"/>
                      <w:sz w:val="21"/>
                      <w:szCs w:val="21"/>
                    </w:rPr>
                  </w:pPr>
                  <w:r>
                    <w:rPr>
                      <w:rFonts w:hint="eastAsia"/>
                      <w:snapToGrid w:val="0"/>
                      <w:sz w:val="21"/>
                      <w:szCs w:val="21"/>
                    </w:rPr>
                    <w:t>7、本项目以九华山为起点，形成24m/60m/100m的西低东高城市天际线。</w:t>
                  </w:r>
                </w:p>
              </w:tc>
              <w:tc>
                <w:tcPr>
                  <w:tcW w:w="437" w:type="dxa"/>
                  <w:vAlign w:val="center"/>
                </w:tcPr>
                <w:p>
                  <w:pPr>
                    <w:pStyle w:val="27"/>
                    <w:ind w:firstLine="0"/>
                    <w:jc w:val="center"/>
                    <w:rPr>
                      <w:snapToGrid w:val="0"/>
                      <w:sz w:val="21"/>
                      <w:szCs w:val="21"/>
                    </w:rPr>
                  </w:pPr>
                  <w:r>
                    <w:rPr>
                      <w:rFonts w:hint="eastAsia"/>
                      <w:snapToGrid w:val="0"/>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41" w:type="dxa"/>
                  <w:vAlign w:val="center"/>
                </w:tcPr>
                <w:p>
                  <w:pPr>
                    <w:pStyle w:val="27"/>
                    <w:ind w:firstLine="0"/>
                    <w:jc w:val="center"/>
                    <w:rPr>
                      <w:snapToGrid w:val="0"/>
                      <w:sz w:val="21"/>
                      <w:szCs w:val="21"/>
                    </w:rPr>
                  </w:pPr>
                  <w:r>
                    <w:rPr>
                      <w:rFonts w:hint="eastAsia"/>
                      <w:snapToGrid w:val="0"/>
                      <w:sz w:val="21"/>
                      <w:szCs w:val="21"/>
                    </w:rPr>
                    <w:t>2</w:t>
                  </w:r>
                </w:p>
              </w:tc>
              <w:tc>
                <w:tcPr>
                  <w:tcW w:w="649" w:type="dxa"/>
                  <w:vAlign w:val="center"/>
                </w:tcPr>
                <w:p>
                  <w:pPr>
                    <w:pStyle w:val="27"/>
                    <w:ind w:firstLine="0"/>
                    <w:jc w:val="center"/>
                    <w:rPr>
                      <w:snapToGrid w:val="0"/>
                      <w:sz w:val="21"/>
                      <w:szCs w:val="21"/>
                    </w:rPr>
                  </w:pPr>
                  <w:r>
                    <w:rPr>
                      <w:rFonts w:hint="eastAsia"/>
                      <w:snapToGrid w:val="0"/>
                      <w:sz w:val="21"/>
                      <w:szCs w:val="21"/>
                    </w:rPr>
                    <w:t>外围保护地带的区划与保护规定</w:t>
                  </w:r>
                </w:p>
              </w:tc>
              <w:tc>
                <w:tcPr>
                  <w:tcW w:w="2776" w:type="dxa"/>
                  <w:vAlign w:val="center"/>
                </w:tcPr>
                <w:p>
                  <w:pPr>
                    <w:pStyle w:val="27"/>
                    <w:numPr>
                      <w:ilvl w:val="0"/>
                      <w:numId w:val="1"/>
                    </w:numPr>
                    <w:ind w:firstLine="0"/>
                    <w:rPr>
                      <w:snapToGrid w:val="0"/>
                      <w:sz w:val="21"/>
                      <w:szCs w:val="21"/>
                    </w:rPr>
                  </w:pPr>
                  <w:r>
                    <w:rPr>
                      <w:rFonts w:hint="eastAsia"/>
                      <w:snapToGrid w:val="0"/>
                      <w:sz w:val="21"/>
                      <w:szCs w:val="21"/>
                    </w:rPr>
                    <w:t>岳阳楼、南湖、君山外围保护地带为联系在一起的整体，可作为东洞庭湖东部景观与生态保护地带，规划要求保护洞庭湖景观空间的完整性，保护水体环境、生物生存环境，保护洞庭湖水质。在外围保护地带内建设大型桥梁、跨湖道路、高压走廊等大型构筑物与建筑物应进行专家论证。</w:t>
                  </w:r>
                </w:p>
                <w:p>
                  <w:pPr>
                    <w:pStyle w:val="27"/>
                    <w:numPr>
                      <w:ilvl w:val="0"/>
                      <w:numId w:val="1"/>
                    </w:numPr>
                    <w:ind w:firstLine="0"/>
                    <w:rPr>
                      <w:snapToGrid w:val="0"/>
                      <w:sz w:val="21"/>
                      <w:szCs w:val="21"/>
                    </w:rPr>
                  </w:pPr>
                  <w:r>
                    <w:rPr>
                      <w:rFonts w:hint="eastAsia"/>
                      <w:snapToGrid w:val="0"/>
                      <w:sz w:val="21"/>
                      <w:szCs w:val="21"/>
                    </w:rPr>
                    <w:t>与城市关联紧密的各景区外围保护地带用地须加强城市规划管理力度，城市相关规划与设计须注意充实天际线的处理，形成景区的良好景观面。</w:t>
                  </w:r>
                </w:p>
                <w:p>
                  <w:pPr>
                    <w:pStyle w:val="27"/>
                    <w:numPr>
                      <w:ilvl w:val="0"/>
                      <w:numId w:val="1"/>
                    </w:numPr>
                    <w:ind w:firstLine="0"/>
                    <w:rPr>
                      <w:snapToGrid w:val="0"/>
                      <w:sz w:val="21"/>
                      <w:szCs w:val="21"/>
                    </w:rPr>
                  </w:pPr>
                  <w:r>
                    <w:rPr>
                      <w:rFonts w:hint="eastAsia"/>
                      <w:snapToGrid w:val="0"/>
                      <w:sz w:val="21"/>
                      <w:szCs w:val="21"/>
                    </w:rPr>
                    <w:t>除本条第二款第二项中对南湖景区外围保护地带的具体限制外，风景区其他外围保护地带范围内距离景区界线150米以内的建筑以6层（限高21米）以下为主，建筑风格宜为湘北民居风格，色彩淡雅，容积率不大于1.5，绿地率不低于35%。</w:t>
                  </w:r>
                </w:p>
                <w:p>
                  <w:pPr>
                    <w:pStyle w:val="27"/>
                    <w:numPr>
                      <w:ilvl w:val="0"/>
                      <w:numId w:val="1"/>
                    </w:numPr>
                    <w:ind w:firstLine="0"/>
                    <w:rPr>
                      <w:snapToGrid w:val="0"/>
                      <w:sz w:val="21"/>
                      <w:szCs w:val="21"/>
                    </w:rPr>
                  </w:pPr>
                  <w:r>
                    <w:rPr>
                      <w:rFonts w:hint="eastAsia"/>
                      <w:snapToGrid w:val="0"/>
                      <w:sz w:val="21"/>
                      <w:szCs w:val="21"/>
                    </w:rPr>
                    <w:t>风景区外围保护地带的山地应加强绿化与植被抚育，不得开山采石破坏山体，对已破坏的山体宜采取措施</w:t>
                  </w:r>
                </w:p>
                <w:p>
                  <w:pPr>
                    <w:pStyle w:val="27"/>
                    <w:numPr>
                      <w:ilvl w:val="0"/>
                      <w:numId w:val="1"/>
                    </w:numPr>
                    <w:ind w:firstLine="0"/>
                    <w:rPr>
                      <w:snapToGrid w:val="0"/>
                      <w:sz w:val="21"/>
                      <w:szCs w:val="21"/>
                    </w:rPr>
                  </w:pPr>
                  <w:r>
                    <w:rPr>
                      <w:rFonts w:hint="eastAsia"/>
                      <w:snapToGrid w:val="0"/>
                      <w:sz w:val="21"/>
                      <w:szCs w:val="21"/>
                    </w:rPr>
                    <w:t>外围保护地带的现状农业用地应保持其农耕生产，限制建设活动。</w:t>
                  </w:r>
                </w:p>
                <w:p>
                  <w:pPr>
                    <w:pStyle w:val="27"/>
                    <w:ind w:firstLine="0"/>
                    <w:rPr>
                      <w:snapToGrid w:val="0"/>
                      <w:sz w:val="21"/>
                      <w:szCs w:val="21"/>
                    </w:rPr>
                  </w:pPr>
                  <w:r>
                    <w:rPr>
                      <w:rFonts w:hint="eastAsia"/>
                      <w:snapToGrid w:val="0"/>
                      <w:sz w:val="21"/>
                      <w:szCs w:val="21"/>
                    </w:rPr>
                    <w:t>6、外围保护地带内不得进行破坏景观、污染环境的工程建设与生产活动。</w:t>
                  </w:r>
                </w:p>
              </w:tc>
              <w:tc>
                <w:tcPr>
                  <w:tcW w:w="2345" w:type="dxa"/>
                  <w:vAlign w:val="center"/>
                </w:tcPr>
                <w:p>
                  <w:pPr>
                    <w:pStyle w:val="27"/>
                    <w:ind w:firstLine="0"/>
                    <w:rPr>
                      <w:snapToGrid w:val="0"/>
                      <w:sz w:val="21"/>
                      <w:szCs w:val="21"/>
                    </w:rPr>
                  </w:pPr>
                  <w:r>
                    <w:rPr>
                      <w:rFonts w:hint="eastAsia"/>
                      <w:snapToGrid w:val="0"/>
                      <w:sz w:val="21"/>
                      <w:szCs w:val="21"/>
                    </w:rPr>
                    <w:t>1、根据附件5，本项目三个地块均已获得国土证和湖南省建设工程规划许可证。</w:t>
                  </w:r>
                </w:p>
                <w:p>
                  <w:pPr>
                    <w:pStyle w:val="27"/>
                    <w:ind w:firstLine="0"/>
                    <w:rPr>
                      <w:snapToGrid w:val="0"/>
                      <w:sz w:val="21"/>
                      <w:szCs w:val="21"/>
                    </w:rPr>
                  </w:pPr>
                  <w:r>
                    <w:rPr>
                      <w:rFonts w:hint="eastAsia"/>
                      <w:snapToGrid w:val="0"/>
                      <w:sz w:val="21"/>
                      <w:szCs w:val="21"/>
                    </w:rPr>
                    <w:t>2、本项目设计方案已规划好天际线。</w:t>
                  </w:r>
                </w:p>
                <w:p>
                  <w:pPr>
                    <w:pStyle w:val="27"/>
                    <w:ind w:firstLine="0"/>
                    <w:rPr>
                      <w:snapToGrid w:val="0"/>
                      <w:sz w:val="21"/>
                      <w:szCs w:val="21"/>
                    </w:rPr>
                  </w:pPr>
                  <w:r>
                    <w:rPr>
                      <w:rFonts w:hint="eastAsia"/>
                      <w:snapToGrid w:val="0"/>
                      <w:sz w:val="21"/>
                      <w:szCs w:val="21"/>
                    </w:rPr>
                    <w:t>3、根据国有建设用地使用权出让合同（附件4），2号、3号、4号宗地的建筑限高均为100m；绿地率均为35.01%。</w:t>
                  </w:r>
                </w:p>
                <w:p>
                  <w:pPr>
                    <w:pStyle w:val="27"/>
                    <w:ind w:firstLine="0"/>
                    <w:rPr>
                      <w:snapToGrid w:val="0"/>
                      <w:sz w:val="21"/>
                      <w:szCs w:val="21"/>
                    </w:rPr>
                  </w:pPr>
                  <w:r>
                    <w:rPr>
                      <w:rFonts w:hint="eastAsia"/>
                      <w:snapToGrid w:val="0"/>
                      <w:sz w:val="21"/>
                      <w:szCs w:val="21"/>
                    </w:rPr>
                    <w:t>4</w:t>
                  </w:r>
                  <w:r>
                    <w:rPr>
                      <w:rFonts w:hint="eastAsia"/>
                      <w:snapToGrid w:val="0"/>
                      <w:color w:val="FF0000"/>
                      <w:sz w:val="21"/>
                      <w:szCs w:val="21"/>
                    </w:rPr>
                    <w:t>、</w:t>
                  </w:r>
                  <w:r>
                    <w:rPr>
                      <w:rFonts w:hint="eastAsia"/>
                      <w:snapToGrid w:val="0"/>
                      <w:sz w:val="21"/>
                      <w:szCs w:val="21"/>
                    </w:rPr>
                    <w:t>本项目建设不会破坏山体，仅需对地块内原有居民进行征拆，经过现场勘察，已征拆完毕，本项目已开工建设，02#地块主体工程</w:t>
                  </w:r>
                  <w:r>
                    <w:rPr>
                      <w:rFonts w:hint="eastAsia"/>
                      <w:snapToGrid w:val="0"/>
                      <w:sz w:val="21"/>
                      <w:szCs w:val="21"/>
                      <w:lang w:eastAsia="zh-CN"/>
                    </w:rPr>
                    <w:t>已建成部分</w:t>
                  </w:r>
                  <w:r>
                    <w:rPr>
                      <w:rFonts w:hint="eastAsia"/>
                      <w:snapToGrid w:val="0"/>
                      <w:sz w:val="21"/>
                      <w:szCs w:val="21"/>
                    </w:rPr>
                    <w:t>、03#地块主体工程已基本建成，02#、03#地块抹灰、外墙涂料等配套工程实施中，04#地块处于土方开挖阶段。</w:t>
                  </w:r>
                </w:p>
                <w:p>
                  <w:pPr>
                    <w:pStyle w:val="27"/>
                    <w:ind w:firstLine="0"/>
                    <w:rPr>
                      <w:snapToGrid w:val="0"/>
                      <w:sz w:val="21"/>
                      <w:szCs w:val="21"/>
                    </w:rPr>
                  </w:pPr>
                  <w:r>
                    <w:rPr>
                      <w:rFonts w:hint="eastAsia"/>
                      <w:snapToGrid w:val="0"/>
                      <w:sz w:val="21"/>
                      <w:szCs w:val="21"/>
                    </w:rPr>
                    <w:t>5、本项目用地属于住宅用地，不涉及农业用地。</w:t>
                  </w:r>
                </w:p>
                <w:p>
                  <w:pPr>
                    <w:pStyle w:val="27"/>
                    <w:ind w:firstLine="0"/>
                    <w:rPr>
                      <w:snapToGrid w:val="0"/>
                      <w:sz w:val="21"/>
                      <w:szCs w:val="21"/>
                    </w:rPr>
                  </w:pPr>
                  <w:r>
                    <w:rPr>
                      <w:rFonts w:hint="eastAsia"/>
                      <w:snapToGrid w:val="0"/>
                      <w:sz w:val="21"/>
                      <w:szCs w:val="21"/>
                    </w:rPr>
                    <w:t>6、本项目为房地产开发，不会破坏景观，本项目建设后绿化率为35.01%，绿化植被为当地绿色植物，与周围景观协调。</w:t>
                  </w:r>
                </w:p>
              </w:tc>
              <w:tc>
                <w:tcPr>
                  <w:tcW w:w="437" w:type="dxa"/>
                  <w:vAlign w:val="center"/>
                </w:tcPr>
                <w:p>
                  <w:pPr>
                    <w:pStyle w:val="27"/>
                    <w:ind w:firstLine="0"/>
                    <w:jc w:val="center"/>
                    <w:rPr>
                      <w:snapToGrid w:val="0"/>
                      <w:sz w:val="21"/>
                      <w:szCs w:val="21"/>
                    </w:rPr>
                  </w:pPr>
                  <w:r>
                    <w:rPr>
                      <w:rFonts w:hint="eastAsia"/>
                      <w:snapToGrid w:val="0"/>
                      <w:sz w:val="21"/>
                      <w:szCs w:val="21"/>
                    </w:rPr>
                    <w:t>总体相符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Align w:val="center"/>
                </w:tcPr>
                <w:p>
                  <w:pPr>
                    <w:pStyle w:val="27"/>
                    <w:ind w:firstLine="0"/>
                    <w:jc w:val="center"/>
                    <w:rPr>
                      <w:snapToGrid w:val="0"/>
                      <w:sz w:val="21"/>
                      <w:szCs w:val="21"/>
                    </w:rPr>
                  </w:pPr>
                  <w:r>
                    <w:rPr>
                      <w:rFonts w:hint="eastAsia"/>
                      <w:snapToGrid w:val="0"/>
                      <w:sz w:val="21"/>
                      <w:szCs w:val="21"/>
                    </w:rPr>
                    <w:t>3</w:t>
                  </w:r>
                </w:p>
              </w:tc>
              <w:tc>
                <w:tcPr>
                  <w:tcW w:w="3425" w:type="dxa"/>
                  <w:gridSpan w:val="2"/>
                  <w:vAlign w:val="center"/>
                </w:tcPr>
                <w:p>
                  <w:pPr>
                    <w:pStyle w:val="27"/>
                    <w:ind w:firstLine="0"/>
                    <w:jc w:val="center"/>
                    <w:rPr>
                      <w:snapToGrid w:val="0"/>
                      <w:sz w:val="21"/>
                      <w:szCs w:val="21"/>
                    </w:rPr>
                  </w:pPr>
                  <w:r>
                    <w:rPr>
                      <w:snapToGrid w:val="0"/>
                      <w:sz w:val="21"/>
                      <w:szCs w:val="21"/>
                    </w:rPr>
                    <w:t>古树名木保护</w:t>
                  </w:r>
                </w:p>
              </w:tc>
              <w:tc>
                <w:tcPr>
                  <w:tcW w:w="2345" w:type="dxa"/>
                  <w:vAlign w:val="center"/>
                </w:tcPr>
                <w:p>
                  <w:pPr>
                    <w:pStyle w:val="27"/>
                    <w:ind w:firstLine="0"/>
                    <w:rPr>
                      <w:snapToGrid w:val="0"/>
                      <w:sz w:val="21"/>
                      <w:szCs w:val="21"/>
                    </w:rPr>
                  </w:pPr>
                  <w:r>
                    <w:rPr>
                      <w:snapToGrid w:val="0"/>
                      <w:sz w:val="21"/>
                      <w:szCs w:val="21"/>
                    </w:rPr>
                    <w:t>依据建设单位对现场勘查的结果可知，</w:t>
                  </w:r>
                  <w:r>
                    <w:rPr>
                      <w:rFonts w:hint="eastAsia"/>
                      <w:snapToGrid w:val="0"/>
                      <w:sz w:val="21"/>
                      <w:szCs w:val="21"/>
                    </w:rPr>
                    <w:t>本项目选址占地不涉及古树名木。</w:t>
                  </w:r>
                </w:p>
              </w:tc>
              <w:tc>
                <w:tcPr>
                  <w:tcW w:w="437" w:type="dxa"/>
                  <w:vAlign w:val="center"/>
                </w:tcPr>
                <w:p>
                  <w:pPr>
                    <w:widowControl/>
                    <w:jc w:val="center"/>
                    <w:rPr>
                      <w:snapToGrid w:val="0"/>
                      <w:szCs w:val="21"/>
                    </w:rPr>
                  </w:pPr>
                  <w:r>
                    <w:rPr>
                      <w:snapToGrid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Align w:val="center"/>
                </w:tcPr>
                <w:p>
                  <w:pPr>
                    <w:pStyle w:val="27"/>
                    <w:ind w:firstLine="0"/>
                    <w:jc w:val="center"/>
                    <w:rPr>
                      <w:snapToGrid w:val="0"/>
                      <w:sz w:val="21"/>
                      <w:szCs w:val="21"/>
                    </w:rPr>
                  </w:pPr>
                  <w:r>
                    <w:rPr>
                      <w:rFonts w:hint="eastAsia"/>
                      <w:snapToGrid w:val="0"/>
                      <w:sz w:val="21"/>
                      <w:szCs w:val="21"/>
                    </w:rPr>
                    <w:t>4</w:t>
                  </w:r>
                </w:p>
              </w:tc>
              <w:tc>
                <w:tcPr>
                  <w:tcW w:w="3425" w:type="dxa"/>
                  <w:gridSpan w:val="2"/>
                  <w:vAlign w:val="center"/>
                </w:tcPr>
                <w:p>
                  <w:pPr>
                    <w:pStyle w:val="27"/>
                    <w:ind w:firstLine="0"/>
                    <w:jc w:val="center"/>
                    <w:rPr>
                      <w:snapToGrid w:val="0"/>
                      <w:sz w:val="21"/>
                      <w:szCs w:val="21"/>
                    </w:rPr>
                  </w:pPr>
                  <w:r>
                    <w:rPr>
                      <w:snapToGrid w:val="0"/>
                      <w:sz w:val="21"/>
                      <w:szCs w:val="21"/>
                    </w:rPr>
                    <w:t>文物古迹保护</w:t>
                  </w:r>
                </w:p>
              </w:tc>
              <w:tc>
                <w:tcPr>
                  <w:tcW w:w="2345" w:type="dxa"/>
                  <w:vAlign w:val="center"/>
                </w:tcPr>
                <w:p>
                  <w:pPr>
                    <w:pStyle w:val="27"/>
                    <w:ind w:firstLine="0"/>
                    <w:jc w:val="center"/>
                    <w:rPr>
                      <w:snapToGrid w:val="0"/>
                      <w:sz w:val="21"/>
                      <w:szCs w:val="21"/>
                    </w:rPr>
                  </w:pPr>
                  <w:r>
                    <w:rPr>
                      <w:snapToGrid w:val="0"/>
                      <w:sz w:val="21"/>
                      <w:szCs w:val="21"/>
                    </w:rPr>
                    <w:t>依据建设单位对现场勘查的结果可知，项目区域内无文物古迹</w:t>
                  </w:r>
                </w:p>
              </w:tc>
              <w:tc>
                <w:tcPr>
                  <w:tcW w:w="437" w:type="dxa"/>
                  <w:vAlign w:val="center"/>
                </w:tcPr>
                <w:p>
                  <w:pPr>
                    <w:widowControl/>
                    <w:jc w:val="center"/>
                    <w:rPr>
                      <w:snapToGrid w:val="0"/>
                      <w:szCs w:val="21"/>
                    </w:rPr>
                  </w:pPr>
                  <w:r>
                    <w:rPr>
                      <w:snapToGrid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Align w:val="center"/>
                </w:tcPr>
                <w:p>
                  <w:pPr>
                    <w:pStyle w:val="27"/>
                    <w:ind w:firstLine="0"/>
                    <w:jc w:val="center"/>
                    <w:rPr>
                      <w:snapToGrid w:val="0"/>
                      <w:sz w:val="21"/>
                      <w:szCs w:val="21"/>
                    </w:rPr>
                  </w:pPr>
                  <w:r>
                    <w:rPr>
                      <w:rFonts w:hint="eastAsia"/>
                      <w:snapToGrid w:val="0"/>
                      <w:sz w:val="21"/>
                      <w:szCs w:val="21"/>
                    </w:rPr>
                    <w:t>5</w:t>
                  </w:r>
                </w:p>
              </w:tc>
              <w:tc>
                <w:tcPr>
                  <w:tcW w:w="3425" w:type="dxa"/>
                  <w:gridSpan w:val="2"/>
                  <w:vAlign w:val="center"/>
                </w:tcPr>
                <w:p>
                  <w:pPr>
                    <w:pStyle w:val="27"/>
                    <w:ind w:firstLine="0"/>
                    <w:jc w:val="center"/>
                    <w:rPr>
                      <w:snapToGrid w:val="0"/>
                      <w:sz w:val="21"/>
                      <w:szCs w:val="21"/>
                    </w:rPr>
                  </w:pPr>
                  <w:r>
                    <w:rPr>
                      <w:snapToGrid w:val="0"/>
                      <w:sz w:val="21"/>
                      <w:szCs w:val="21"/>
                    </w:rPr>
                    <w:t>非物质文化遗产保护</w:t>
                  </w:r>
                </w:p>
              </w:tc>
              <w:tc>
                <w:tcPr>
                  <w:tcW w:w="2345" w:type="dxa"/>
                  <w:vAlign w:val="center"/>
                </w:tcPr>
                <w:p>
                  <w:pPr>
                    <w:pStyle w:val="27"/>
                    <w:ind w:firstLine="0"/>
                    <w:jc w:val="center"/>
                    <w:rPr>
                      <w:snapToGrid w:val="0"/>
                      <w:sz w:val="21"/>
                      <w:szCs w:val="21"/>
                    </w:rPr>
                  </w:pPr>
                  <w:r>
                    <w:rPr>
                      <w:snapToGrid w:val="0"/>
                      <w:sz w:val="21"/>
                      <w:szCs w:val="21"/>
                    </w:rPr>
                    <w:t>本项目的建设不涉及非物质文化遗产</w:t>
                  </w:r>
                </w:p>
              </w:tc>
              <w:tc>
                <w:tcPr>
                  <w:tcW w:w="437" w:type="dxa"/>
                  <w:vAlign w:val="center"/>
                </w:tcPr>
                <w:p>
                  <w:pPr>
                    <w:widowControl/>
                    <w:jc w:val="center"/>
                    <w:rPr>
                      <w:snapToGrid w:val="0"/>
                      <w:szCs w:val="21"/>
                    </w:rPr>
                  </w:pPr>
                  <w:r>
                    <w:rPr>
                      <w:snapToGrid w:val="0"/>
                      <w:szCs w:val="21"/>
                    </w:rPr>
                    <w:t>相符</w:t>
                  </w:r>
                </w:p>
              </w:tc>
            </w:tr>
          </w:tbl>
          <w:p>
            <w:pPr>
              <w:pStyle w:val="26"/>
              <w:ind w:firstLine="480"/>
              <w:rPr>
                <w:rFonts w:hint="default" w:ascii="宋体" w:hAnsi="宋体" w:cs="宋体"/>
              </w:rPr>
            </w:pPr>
            <w:r>
              <w:rPr>
                <w:u w:val="none"/>
              </w:rPr>
              <w:t>根据上表可知，本项目的建设总体满足《岳阳楼—洞庭湖风景名胜区总体规划（修编）》（2012-2025年）提出的相关保护规划要求。</w:t>
            </w:r>
          </w:p>
          <w:p>
            <w:pPr>
              <w:pStyle w:val="26"/>
              <w:ind w:firstLine="0" w:firstLineChars="0"/>
              <w:rPr>
                <w:rFonts w:hint="default"/>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2062" w:type="dxa"/>
            <w:tcMar>
              <w:top w:w="16" w:type="dxa"/>
              <w:left w:w="16" w:type="dxa"/>
              <w:right w:w="16" w:type="dxa"/>
            </w:tcMar>
            <w:vAlign w:val="center"/>
          </w:tcPr>
          <w:p>
            <w:pPr>
              <w:autoSpaceDE w:val="0"/>
              <w:autoSpaceDN w:val="0"/>
              <w:adjustRightInd w:val="0"/>
              <w:snapToGrid w:val="0"/>
              <w:jc w:val="center"/>
              <w:rPr>
                <w:rFonts w:ascii="宋体" w:hAnsi="宋体" w:cs="宋体"/>
                <w:kern w:val="0"/>
                <w:sz w:val="24"/>
              </w:rPr>
            </w:pPr>
            <w:bookmarkStart w:id="2" w:name="_Hlk56690880"/>
            <w:r>
              <w:rPr>
                <w:rFonts w:hint="eastAsia" w:ascii="宋体" w:hAnsi="宋体" w:cs="宋体"/>
                <w:kern w:val="0"/>
                <w:sz w:val="24"/>
              </w:rPr>
              <w:t>其他符合性分析</w:t>
            </w:r>
            <w:bookmarkEnd w:id="2"/>
          </w:p>
        </w:tc>
        <w:tc>
          <w:tcPr>
            <w:tcW w:w="6977" w:type="dxa"/>
            <w:gridSpan w:val="3"/>
            <w:tcMar>
              <w:top w:w="16" w:type="dxa"/>
              <w:left w:w="16" w:type="dxa"/>
              <w:right w:w="16" w:type="dxa"/>
            </w:tcMar>
            <w:vAlign w:val="center"/>
          </w:tcPr>
          <w:p>
            <w:pPr>
              <w:spacing w:line="360" w:lineRule="auto"/>
              <w:ind w:firstLine="482" w:firstLineChars="200"/>
              <w:rPr>
                <w:b/>
                <w:bCs/>
                <w:sz w:val="24"/>
              </w:rPr>
            </w:pPr>
            <w:r>
              <w:rPr>
                <w:rFonts w:hint="eastAsia"/>
                <w:b/>
                <w:bCs/>
                <w:sz w:val="24"/>
              </w:rPr>
              <w:t>一、“三线一单”相符性分析</w:t>
            </w:r>
          </w:p>
          <w:p>
            <w:pPr>
              <w:pStyle w:val="2"/>
              <w:ind w:firstLine="480"/>
            </w:pPr>
            <w:r>
              <w:rPr>
                <w:rFonts w:hint="eastAsia"/>
              </w:rPr>
              <w:t>根据</w:t>
            </w:r>
            <w:r>
              <w:t>岳阳市人民政府发布的《关于实施岳阳市“三线一单”生态环境分区管控的意见》（岳政发</w:t>
            </w:r>
            <w:r>
              <w:rPr>
                <w:rFonts w:hint="eastAsia"/>
              </w:rPr>
              <w:t>〔</w:t>
            </w:r>
            <w:r>
              <w:t>20</w:t>
            </w:r>
            <w:r>
              <w:rPr>
                <w:rFonts w:hint="eastAsia"/>
              </w:rPr>
              <w:t>21〕2</w:t>
            </w:r>
            <w:r>
              <w:t>号）</w:t>
            </w:r>
            <w:r>
              <w:rPr>
                <w:rFonts w:hint="eastAsia"/>
              </w:rPr>
              <w:t>文件中的要求进行分析：</w:t>
            </w:r>
          </w:p>
          <w:p>
            <w:pPr>
              <w:pStyle w:val="2"/>
              <w:ind w:firstLine="480"/>
            </w:pPr>
            <w:r>
              <w:rPr>
                <w:rFonts w:hint="eastAsia"/>
              </w:rPr>
              <w:t>1、生态保护红线：根据</w:t>
            </w:r>
            <w:r>
              <w:t>已公布的岳阳市生态红线区划范围图可知</w:t>
            </w:r>
            <w:r>
              <w:rPr>
                <w:rFonts w:hint="eastAsia"/>
              </w:rPr>
              <w:t>（见附图4）</w:t>
            </w:r>
            <w:r>
              <w:t>，本项目所属区域不涉及生态保护红线</w:t>
            </w:r>
            <w:r>
              <w:rPr>
                <w:rFonts w:hint="eastAsia"/>
              </w:rPr>
              <w:t>。</w:t>
            </w:r>
          </w:p>
          <w:p>
            <w:pPr>
              <w:pStyle w:val="2"/>
              <w:ind w:firstLine="480"/>
            </w:pPr>
            <w:r>
              <w:rPr>
                <w:rFonts w:hint="eastAsia"/>
              </w:rPr>
              <w:t>2、环境质量底线：</w:t>
            </w:r>
            <w:r>
              <w:t>根据《岳阳市环境空气质量限期达标规划（2020-2026）》，</w:t>
            </w:r>
            <w:r>
              <w:rPr>
                <w:rFonts w:hint="eastAsia"/>
              </w:rPr>
              <w:t>2019年岳阳市PM</w:t>
            </w:r>
            <w:r>
              <w:rPr>
                <w:rFonts w:hint="eastAsia"/>
                <w:vertAlign w:val="subscript"/>
              </w:rPr>
              <w:t>10</w:t>
            </w:r>
            <w:r>
              <w:rPr>
                <w:rFonts w:hint="eastAsia"/>
              </w:rPr>
              <w:t>、二氧化硫、二氧化氮和一氧化碳年均浓度均达到《环境空气质量标准》（GB 3095-2012）国家二级标准，而PM</w:t>
            </w:r>
            <w:r>
              <w:rPr>
                <w:rFonts w:hint="eastAsia"/>
                <w:vertAlign w:val="subscript"/>
              </w:rPr>
              <w:t>2.5</w:t>
            </w:r>
            <w:r>
              <w:rPr>
                <w:rFonts w:hint="eastAsia"/>
              </w:rPr>
              <w:t>、臭氧年统计浓度未能达标。本项目04#地块建设期建设单位需严格按照本次评价要求做好施工期防尘措施，降低扬尘等对大气环境的影响。根据2019年生态环境部门已公布的东风湖断面水环境质量监测数据，东风湖断面</w:t>
            </w:r>
            <w:r>
              <w:t>的监测因子</w:t>
            </w:r>
            <w:r>
              <w:rPr>
                <w:rFonts w:hint="eastAsia"/>
              </w:rPr>
              <w:t>除p</w:t>
            </w:r>
            <w:r>
              <w:t>H、LAS、挥发酚、石油类达标以外，其它因子均未达到《地表水环境质量标准》（GB3838-2002）中的Ⅲ类标准。</w:t>
            </w:r>
            <w:r>
              <w:rPr>
                <w:rFonts w:hint="eastAsia"/>
              </w:rPr>
              <w:t>本项目废水经隔油化粪池预处理后可达到《污水综合排放标准》（GB8978-1996）表4中的三级标准并满足岳阳市马壕污水处理厂进水水质要求，经岳阳市马壕</w:t>
            </w:r>
            <w:r>
              <w:t>污水处理厂深度处理达到《城镇污水处理厂污染物排放标准》（GB 18918-2002）中一级A标准后</w:t>
            </w:r>
            <w:r>
              <w:rPr>
                <w:rFonts w:hint="eastAsia"/>
              </w:rPr>
              <w:t>排入东风湖，项目废水水质不会对东风湖水质造成明显影响，本项目符合环境质量底线要求。</w:t>
            </w:r>
          </w:p>
          <w:p>
            <w:pPr>
              <w:pStyle w:val="2"/>
              <w:ind w:firstLine="480"/>
            </w:pPr>
            <w:r>
              <w:rPr>
                <w:rFonts w:hint="eastAsia"/>
              </w:rPr>
              <w:t>本项目所在区域声环境质量现状均能满足相关环境质量标准，根据环境影响分析，若能依照本环评要求的措施合理处置各项污染物，则本项目在建设阶段及运营运行阶段，各项污染物对周边的影响较小，不触及环境质量底线。</w:t>
            </w:r>
          </w:p>
          <w:p>
            <w:pPr>
              <w:pStyle w:val="2"/>
              <w:ind w:firstLine="480"/>
            </w:pPr>
            <w:r>
              <w:rPr>
                <w:rFonts w:hint="eastAsia"/>
              </w:rPr>
              <w:t>3、资源利用上线：本项目营运过程中消耗一定量的电能、水资源、天然气等资源，总体来看项目规模较小，资源消耗量相对区域资源利用量较小，符合资源利用上线要求。</w:t>
            </w:r>
          </w:p>
          <w:p>
            <w:pPr>
              <w:pStyle w:val="2"/>
              <w:ind w:firstLine="480"/>
            </w:pPr>
            <w:r>
              <w:rPr>
                <w:rFonts w:hint="eastAsia"/>
              </w:rPr>
              <w:t>4、生态环境准入清单：项目选址地涉及岳阳楼—洞庭湖风景名胜区中岳阳楼景区的外围保护地带，</w:t>
            </w:r>
            <w:r>
              <w:t>根据岳阳市人民政府发布的《关于实施岳阳市“三线一单”生态环境分区管控的意见》（岳政发</w:t>
            </w:r>
            <w:r>
              <w:rPr>
                <w:rFonts w:hint="eastAsia"/>
              </w:rPr>
              <w:t>〔</w:t>
            </w:r>
            <w:r>
              <w:t>20</w:t>
            </w:r>
            <w:r>
              <w:rPr>
                <w:rFonts w:hint="eastAsia"/>
              </w:rPr>
              <w:t>21〕2</w:t>
            </w:r>
            <w:r>
              <w:t>号）</w:t>
            </w:r>
            <w:r>
              <w:rPr>
                <w:rFonts w:hint="eastAsia"/>
              </w:rPr>
              <w:t>中的附件3岳阳市生态环境管控基本要求</w:t>
            </w:r>
            <w:r>
              <w:t>可知，项目所在地</w:t>
            </w:r>
            <w:r>
              <w:rPr>
                <w:rFonts w:hint="eastAsia"/>
              </w:rPr>
              <w:t>区域为风景名胜区</w:t>
            </w:r>
            <w:r>
              <w:t>，其管控要求如下：</w:t>
            </w:r>
          </w:p>
          <w:p>
            <w:pPr>
              <w:autoSpaceDN w:val="0"/>
              <w:jc w:val="center"/>
              <w:rPr>
                <w:b/>
                <w:szCs w:val="21"/>
              </w:rPr>
            </w:pPr>
            <w:r>
              <w:rPr>
                <w:rFonts w:hint="eastAsia"/>
                <w:b/>
                <w:szCs w:val="21"/>
              </w:rPr>
              <w:t>表</w:t>
            </w:r>
            <w:r>
              <w:rPr>
                <w:b/>
                <w:szCs w:val="21"/>
              </w:rPr>
              <w:t>1-</w:t>
            </w:r>
            <w:r>
              <w:rPr>
                <w:rFonts w:hint="eastAsia"/>
                <w:b/>
                <w:szCs w:val="21"/>
              </w:rPr>
              <w:t>2 与岳政发〔2021〕2号中生态环境管控基本要求符合性分析</w:t>
            </w:r>
          </w:p>
          <w:tbl>
            <w:tblPr>
              <w:tblStyle w:val="18"/>
              <w:tblpPr w:leftFromText="180" w:rightFromText="180" w:vertAnchor="text" w:horzAnchor="page" w:tblpX="180" w:tblpY="109"/>
              <w:tblOverlap w:val="never"/>
              <w:tblW w:w="66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2550"/>
              <w:gridCol w:w="2130"/>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Align w:val="center"/>
                </w:tcPr>
                <w:p>
                  <w:pPr>
                    <w:pStyle w:val="23"/>
                    <w:autoSpaceDE/>
                    <w:jc w:val="center"/>
                    <w:rPr>
                      <w:rFonts w:ascii="Times New Roman"/>
                      <w:sz w:val="21"/>
                      <w:szCs w:val="21"/>
                    </w:rPr>
                  </w:pPr>
                  <w:r>
                    <w:rPr>
                      <w:rFonts w:ascii="Times New Roman"/>
                      <w:sz w:val="21"/>
                      <w:szCs w:val="21"/>
                    </w:rPr>
                    <w:t>管控维度</w:t>
                  </w:r>
                </w:p>
              </w:tc>
              <w:tc>
                <w:tcPr>
                  <w:tcW w:w="2550" w:type="dxa"/>
                  <w:vAlign w:val="center"/>
                </w:tcPr>
                <w:p>
                  <w:pPr>
                    <w:pStyle w:val="23"/>
                    <w:autoSpaceDE/>
                    <w:jc w:val="center"/>
                    <w:rPr>
                      <w:rFonts w:ascii="Times New Roman"/>
                      <w:sz w:val="21"/>
                      <w:szCs w:val="21"/>
                    </w:rPr>
                  </w:pPr>
                  <w:r>
                    <w:rPr>
                      <w:rFonts w:ascii="Times New Roman"/>
                      <w:sz w:val="21"/>
                      <w:szCs w:val="21"/>
                    </w:rPr>
                    <w:t>管控要求</w:t>
                  </w:r>
                </w:p>
              </w:tc>
              <w:tc>
                <w:tcPr>
                  <w:tcW w:w="2130" w:type="dxa"/>
                  <w:vAlign w:val="center"/>
                </w:tcPr>
                <w:p>
                  <w:pPr>
                    <w:pStyle w:val="23"/>
                    <w:autoSpaceDE/>
                    <w:jc w:val="center"/>
                    <w:rPr>
                      <w:rFonts w:ascii="Times New Roman"/>
                      <w:sz w:val="21"/>
                      <w:szCs w:val="21"/>
                    </w:rPr>
                  </w:pPr>
                  <w:r>
                    <w:rPr>
                      <w:rFonts w:ascii="Times New Roman"/>
                      <w:sz w:val="21"/>
                      <w:szCs w:val="21"/>
                    </w:rPr>
                    <w:t>本项目建设</w:t>
                  </w:r>
                </w:p>
              </w:tc>
              <w:tc>
                <w:tcPr>
                  <w:tcW w:w="870" w:type="dxa"/>
                  <w:vAlign w:val="center"/>
                </w:tcPr>
                <w:p>
                  <w:pPr>
                    <w:pStyle w:val="23"/>
                    <w:autoSpaceDE/>
                    <w:jc w:val="center"/>
                    <w:rPr>
                      <w:rFonts w:ascii="Times New Roman"/>
                      <w:sz w:val="21"/>
                      <w:szCs w:val="21"/>
                    </w:rPr>
                  </w:pPr>
                  <w:r>
                    <w:rPr>
                      <w:rFonts w:ascii="Times New Roman"/>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Align w:val="center"/>
                </w:tcPr>
                <w:p>
                  <w:pPr>
                    <w:pStyle w:val="23"/>
                    <w:jc w:val="center"/>
                    <w:rPr>
                      <w:rFonts w:ascii="Times New Roman"/>
                      <w:sz w:val="21"/>
                      <w:szCs w:val="21"/>
                    </w:rPr>
                  </w:pPr>
                  <w:r>
                    <w:rPr>
                      <w:rFonts w:ascii="Times New Roman"/>
                      <w:sz w:val="21"/>
                      <w:szCs w:val="21"/>
                    </w:rPr>
                    <w:t>空间布局约束</w:t>
                  </w:r>
                </w:p>
              </w:tc>
              <w:tc>
                <w:tcPr>
                  <w:tcW w:w="2550" w:type="dxa"/>
                  <w:vAlign w:val="center"/>
                </w:tcPr>
                <w:p>
                  <w:pPr>
                    <w:pStyle w:val="23"/>
                    <w:rPr>
                      <w:rFonts w:ascii="Times New Roman"/>
                      <w:sz w:val="21"/>
                      <w:szCs w:val="21"/>
                    </w:rPr>
                  </w:pPr>
                  <w:r>
                    <w:rPr>
                      <w:rFonts w:ascii="Times New Roman"/>
                      <w:sz w:val="21"/>
                      <w:szCs w:val="21"/>
                    </w:rPr>
                    <w:t>1.1、严格控制岳阳楼洞庭湖风景名胜区内的工程建设。禁止商业房地产开发、工业项目以各种名义进入风景区。风景区中重大的基础设施、旅游设施等工程建设项目不得与风景环境相冲突，且必须进行相应的专家研究论证后，按规定程序上报审批，杜绝违规建设。</w:t>
                  </w:r>
                </w:p>
                <w:p>
                  <w:pPr>
                    <w:pStyle w:val="23"/>
                    <w:rPr>
                      <w:rFonts w:ascii="Times New Roman"/>
                      <w:sz w:val="21"/>
                      <w:szCs w:val="21"/>
                    </w:rPr>
                  </w:pPr>
                  <w:r>
                    <w:rPr>
                      <w:rFonts w:ascii="Times New Roman"/>
                      <w:sz w:val="21"/>
                      <w:szCs w:val="21"/>
                    </w:rPr>
                    <w:t>1.2、禁止在岳阳楼洞庭湖风景名胜区内设立各类开发区、工厂和进行房地产开发。已经违规操作的，应限期撤销。</w:t>
                  </w:r>
                </w:p>
                <w:p>
                  <w:pPr>
                    <w:pStyle w:val="23"/>
                    <w:rPr>
                      <w:rFonts w:ascii="Times New Roman"/>
                      <w:sz w:val="21"/>
                      <w:szCs w:val="21"/>
                    </w:rPr>
                  </w:pPr>
                  <w:r>
                    <w:rPr>
                      <w:rFonts w:ascii="Times New Roman"/>
                      <w:sz w:val="21"/>
                      <w:szCs w:val="21"/>
                    </w:rPr>
                    <w:t>1.3、严格控制风景区的建设用地规模。对于特级保护区、一级保护区，除与风景保护和与旅游相关的必需的设施外，严格限制建设各类其他建筑物、构筑物，严格禁止破坏风景环境的各种工程建设与生产活动:对于二级保护区，适当设置为风景区游览服务的配套设施，严格控制建设规模；对于三级保护区，安排适宜的旅游服务设施，区内的各项建设应与风景环境相协调。</w:t>
                  </w:r>
                </w:p>
                <w:p>
                  <w:pPr>
                    <w:pStyle w:val="23"/>
                    <w:rPr>
                      <w:rFonts w:ascii="Times New Roman"/>
                      <w:sz w:val="21"/>
                      <w:szCs w:val="21"/>
                    </w:rPr>
                  </w:pPr>
                  <w:r>
                    <w:rPr>
                      <w:rFonts w:ascii="Times New Roman"/>
                      <w:sz w:val="21"/>
                      <w:szCs w:val="21"/>
                    </w:rPr>
                    <w:t>1.4、风景区的一级保护区内禁止机动车进入。</w:t>
                  </w:r>
                </w:p>
                <w:p>
                  <w:pPr>
                    <w:pStyle w:val="23"/>
                    <w:rPr>
                      <w:rFonts w:ascii="Times New Roman"/>
                      <w:sz w:val="21"/>
                      <w:szCs w:val="21"/>
                    </w:rPr>
                  </w:pPr>
                  <w:r>
                    <w:rPr>
                      <w:rFonts w:ascii="Times New Roman"/>
                      <w:sz w:val="21"/>
                      <w:szCs w:val="21"/>
                    </w:rPr>
                    <w:t>1.5、对水体和环境有害的所有工矿企业必须限期治理、转产或搬迁；严禁任何形式的围湖造地、围湖造田行为。</w:t>
                  </w:r>
                </w:p>
              </w:tc>
              <w:tc>
                <w:tcPr>
                  <w:tcW w:w="2130" w:type="dxa"/>
                  <w:vAlign w:val="center"/>
                </w:tcPr>
                <w:p>
                  <w:pPr>
                    <w:rPr>
                      <w:szCs w:val="21"/>
                    </w:rPr>
                  </w:pPr>
                  <w:r>
                    <w:rPr>
                      <w:szCs w:val="21"/>
                    </w:rPr>
                    <w:t>1.1、1.2本项目选址地位于岳阳楼景区规划的外围保护地带范围内，根据《岳阳楼—洞庭湖风景名胜区总体规划20</w:t>
                  </w:r>
                  <w:r>
                    <w:rPr>
                      <w:rFonts w:hint="eastAsia"/>
                      <w:szCs w:val="21"/>
                    </w:rPr>
                    <w:t>12</w:t>
                  </w:r>
                  <w:r>
                    <w:rPr>
                      <w:szCs w:val="21"/>
                    </w:rPr>
                    <w:t>-2025》可知，项目选址在洞庭湖风景名胜区岳阳楼景区界线外，不在岳阳楼景区范围内（详见附图</w:t>
                  </w:r>
                  <w:r>
                    <w:rPr>
                      <w:rStyle w:val="22"/>
                      <w:rFonts w:hint="eastAsia"/>
                    </w:rPr>
                    <w:t>10</w:t>
                  </w:r>
                  <w:r>
                    <w:rPr>
                      <w:szCs w:val="21"/>
                    </w:rPr>
                    <w:t>）。</w:t>
                  </w:r>
                  <w:r>
                    <w:rPr>
                      <w:rFonts w:hint="eastAsia"/>
                      <w:szCs w:val="21"/>
                    </w:rPr>
                    <w:t>本项目已取得国土证和</w:t>
                  </w:r>
                  <w:r>
                    <w:rPr>
                      <w:rFonts w:hint="eastAsia"/>
                      <w:snapToGrid w:val="0"/>
                      <w:szCs w:val="21"/>
                    </w:rPr>
                    <w:t>湖南省建设工程规划许可证（附件5）</w:t>
                  </w:r>
                  <w:r>
                    <w:rPr>
                      <w:rFonts w:hint="eastAsia"/>
                      <w:szCs w:val="21"/>
                    </w:rPr>
                    <w:t>，</w:t>
                  </w:r>
                  <w:r>
                    <w:rPr>
                      <w:szCs w:val="21"/>
                    </w:rPr>
                    <w:t>不属于违规建设。1.3、1.4本项目选址不涉特级、一级、二级、三级保护区。1.5、本项目为房地产开发业，不属于对水体和环境有害的工业类项目，项目选址不涉及围湖造地、围湖造田行为。</w:t>
                  </w:r>
                </w:p>
              </w:tc>
              <w:tc>
                <w:tcPr>
                  <w:tcW w:w="870" w:type="dxa"/>
                  <w:vAlign w:val="center"/>
                </w:tcPr>
                <w:p>
                  <w:pPr>
                    <w:pStyle w:val="23"/>
                    <w:jc w:val="center"/>
                    <w:rPr>
                      <w:rFonts w:ascii="Times New Roman"/>
                      <w:sz w:val="21"/>
                      <w:szCs w:val="21"/>
                    </w:rPr>
                  </w:pPr>
                  <w:r>
                    <w:rPr>
                      <w:rFonts w:ascii="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Align w:val="center"/>
                </w:tcPr>
                <w:p>
                  <w:pPr>
                    <w:pStyle w:val="23"/>
                    <w:jc w:val="center"/>
                    <w:rPr>
                      <w:rFonts w:ascii="Times New Roman"/>
                      <w:sz w:val="21"/>
                      <w:szCs w:val="21"/>
                    </w:rPr>
                  </w:pPr>
                  <w:r>
                    <w:rPr>
                      <w:rFonts w:ascii="Times New Roman"/>
                      <w:sz w:val="21"/>
                      <w:szCs w:val="21"/>
                    </w:rPr>
                    <w:t>污染物排放管控</w:t>
                  </w:r>
                </w:p>
              </w:tc>
              <w:tc>
                <w:tcPr>
                  <w:tcW w:w="2550" w:type="dxa"/>
                  <w:vAlign w:val="center"/>
                </w:tcPr>
                <w:p>
                  <w:pPr>
                    <w:pStyle w:val="23"/>
                    <w:rPr>
                      <w:rFonts w:ascii="Times New Roman"/>
                      <w:sz w:val="21"/>
                      <w:szCs w:val="21"/>
                    </w:rPr>
                  </w:pPr>
                  <w:r>
                    <w:rPr>
                      <w:rFonts w:ascii="Times New Roman"/>
                      <w:sz w:val="21"/>
                      <w:szCs w:val="21"/>
                    </w:rPr>
                    <w:t>禁止向水域内和水体岸边任意倾倒或堆放垃圾、粪便、废土等，在水域沿岸施工，必须采取必要防护措施，防止污染水体。</w:t>
                  </w:r>
                </w:p>
              </w:tc>
              <w:tc>
                <w:tcPr>
                  <w:tcW w:w="2130" w:type="dxa"/>
                  <w:vAlign w:val="center"/>
                </w:tcPr>
                <w:p>
                  <w:pPr>
                    <w:pStyle w:val="23"/>
                    <w:rPr>
                      <w:rFonts w:ascii="Times New Roman"/>
                      <w:sz w:val="21"/>
                      <w:szCs w:val="21"/>
                    </w:rPr>
                  </w:pPr>
                  <w:r>
                    <w:rPr>
                      <w:rFonts w:ascii="Times New Roman"/>
                      <w:sz w:val="21"/>
                      <w:szCs w:val="21"/>
                    </w:rPr>
                    <w:t>本项目建设不涉及水域范围，建设单位在严格执行本次评价所提出的污染防治措施下，不会对向周边水域和水体岸边任意倾倒或堆放垃圾、粪便、废土等。</w:t>
                  </w:r>
                </w:p>
              </w:tc>
              <w:tc>
                <w:tcPr>
                  <w:tcW w:w="870" w:type="dxa"/>
                  <w:vAlign w:val="center"/>
                </w:tcPr>
                <w:p>
                  <w:pPr>
                    <w:pStyle w:val="23"/>
                    <w:jc w:val="center"/>
                    <w:rPr>
                      <w:rFonts w:ascii="Times New Roman"/>
                      <w:sz w:val="21"/>
                      <w:szCs w:val="21"/>
                    </w:rPr>
                  </w:pPr>
                  <w:r>
                    <w:rPr>
                      <w:rFonts w:ascii="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40" w:type="dxa"/>
                  <w:vAlign w:val="center"/>
                </w:tcPr>
                <w:p>
                  <w:pPr>
                    <w:pStyle w:val="23"/>
                    <w:jc w:val="center"/>
                    <w:rPr>
                      <w:rFonts w:ascii="Times New Roman"/>
                      <w:sz w:val="21"/>
                      <w:szCs w:val="21"/>
                    </w:rPr>
                  </w:pPr>
                  <w:r>
                    <w:rPr>
                      <w:rFonts w:ascii="Times New Roman"/>
                      <w:sz w:val="21"/>
                      <w:szCs w:val="21"/>
                    </w:rPr>
                    <w:t>环境风险管控</w:t>
                  </w:r>
                </w:p>
              </w:tc>
              <w:tc>
                <w:tcPr>
                  <w:tcW w:w="2550" w:type="dxa"/>
                  <w:vAlign w:val="center"/>
                </w:tcPr>
                <w:p>
                  <w:pPr>
                    <w:pStyle w:val="23"/>
                    <w:rPr>
                      <w:rFonts w:ascii="Times New Roman"/>
                      <w:sz w:val="21"/>
                      <w:szCs w:val="21"/>
                    </w:rPr>
                  </w:pPr>
                  <w:r>
                    <w:rPr>
                      <w:rFonts w:ascii="Times New Roman"/>
                      <w:sz w:val="21"/>
                      <w:szCs w:val="21"/>
                    </w:rPr>
                    <w:t>3.1、禁止在风景区内修建储存爆炸性、易燃性、放射性、毒害性、腐蚀性物品的设施。3.2、大力加强风景区内植被的恢复与建设，注重自然生态群落的保护，尤其要注重加强水源地流域范围内的水土涵养林。3.3、风景区内新建、扩建项目（含旅游项目）必须进行水环境影响评价。</w:t>
                  </w:r>
                </w:p>
              </w:tc>
              <w:tc>
                <w:tcPr>
                  <w:tcW w:w="2130" w:type="dxa"/>
                  <w:vAlign w:val="center"/>
                </w:tcPr>
                <w:p>
                  <w:pPr>
                    <w:rPr>
                      <w:szCs w:val="21"/>
                    </w:rPr>
                  </w:pPr>
                  <w:r>
                    <w:rPr>
                      <w:szCs w:val="21"/>
                    </w:rPr>
                    <w:t>3.1、项目为房地产开发业，不在风景区内修建储存爆炸性、易燃性、放射性、毒害性、腐蚀性物品的设施。3.2、本项目</w:t>
                  </w:r>
                  <w:r>
                    <w:rPr>
                      <w:rFonts w:hint="eastAsia"/>
                      <w:szCs w:val="21"/>
                    </w:rPr>
                    <w:t>02</w:t>
                  </w:r>
                  <w:r>
                    <w:rPr>
                      <w:rFonts w:hint="eastAsia"/>
                      <w:szCs w:val="21"/>
                      <w:lang w:val="en-US" w:eastAsia="zh-CN"/>
                    </w:rPr>
                    <w:t>#</w:t>
                  </w:r>
                  <w:r>
                    <w:rPr>
                      <w:rFonts w:hint="eastAsia"/>
                      <w:szCs w:val="21"/>
                    </w:rPr>
                    <w:t>地块绿地面积24181</w:t>
                  </w:r>
                  <w:r>
                    <w:rPr>
                      <w:szCs w:val="21"/>
                    </w:rPr>
                    <w:t>㎡</w:t>
                  </w:r>
                  <w:r>
                    <w:rPr>
                      <w:rFonts w:hint="eastAsia"/>
                      <w:szCs w:val="21"/>
                    </w:rPr>
                    <w:t>，03</w:t>
                  </w:r>
                  <w:r>
                    <w:rPr>
                      <w:rFonts w:hint="eastAsia"/>
                      <w:szCs w:val="21"/>
                      <w:lang w:val="en-US" w:eastAsia="zh-CN"/>
                    </w:rPr>
                    <w:t>#</w:t>
                  </w:r>
                  <w:r>
                    <w:rPr>
                      <w:rFonts w:hint="eastAsia"/>
                      <w:szCs w:val="21"/>
                    </w:rPr>
                    <w:t>地块</w:t>
                  </w:r>
                  <w:r>
                    <w:rPr>
                      <w:szCs w:val="21"/>
                    </w:rPr>
                    <w:t>绿地面积为</w:t>
                  </w:r>
                  <w:r>
                    <w:rPr>
                      <w:rFonts w:hint="eastAsia"/>
                      <w:szCs w:val="21"/>
                    </w:rPr>
                    <w:t>10256</w:t>
                  </w:r>
                  <w:r>
                    <w:rPr>
                      <w:szCs w:val="21"/>
                    </w:rPr>
                    <w:t>㎡，</w:t>
                  </w:r>
                  <w:r>
                    <w:rPr>
                      <w:rFonts w:hint="eastAsia"/>
                      <w:szCs w:val="21"/>
                    </w:rPr>
                    <w:t>04</w:t>
                  </w:r>
                  <w:r>
                    <w:rPr>
                      <w:rFonts w:hint="eastAsia"/>
                      <w:szCs w:val="21"/>
                      <w:lang w:val="en-US" w:eastAsia="zh-CN"/>
                    </w:rPr>
                    <w:t>#</w:t>
                  </w:r>
                  <w:r>
                    <w:rPr>
                      <w:rFonts w:hint="eastAsia"/>
                      <w:szCs w:val="21"/>
                    </w:rPr>
                    <w:t>地块</w:t>
                  </w:r>
                  <w:r>
                    <w:rPr>
                      <w:szCs w:val="21"/>
                    </w:rPr>
                    <w:t>绿地面积为</w:t>
                  </w:r>
                  <w:r>
                    <w:rPr>
                      <w:rFonts w:hint="eastAsia"/>
                      <w:szCs w:val="21"/>
                    </w:rPr>
                    <w:t>4298</w:t>
                  </w:r>
                  <w:r>
                    <w:rPr>
                      <w:szCs w:val="21"/>
                    </w:rPr>
                    <w:t>㎡</w:t>
                  </w:r>
                  <w:r>
                    <w:rPr>
                      <w:rFonts w:hint="eastAsia"/>
                      <w:szCs w:val="21"/>
                    </w:rPr>
                    <w:t>，3个地块</w:t>
                  </w:r>
                  <w:r>
                    <w:rPr>
                      <w:szCs w:val="21"/>
                    </w:rPr>
                    <w:t>绿地率</w:t>
                  </w:r>
                  <w:r>
                    <w:rPr>
                      <w:rFonts w:hint="eastAsia"/>
                      <w:szCs w:val="21"/>
                    </w:rPr>
                    <w:t>均</w:t>
                  </w:r>
                  <w:r>
                    <w:rPr>
                      <w:szCs w:val="21"/>
                    </w:rPr>
                    <w:t>为35</w:t>
                  </w:r>
                  <w:r>
                    <w:rPr>
                      <w:rFonts w:hint="eastAsia"/>
                      <w:szCs w:val="21"/>
                    </w:rPr>
                    <w:t>.01</w:t>
                  </w:r>
                  <w:r>
                    <w:rPr>
                      <w:szCs w:val="21"/>
                    </w:rPr>
                    <w:t>%。3.3、本项目</w:t>
                  </w:r>
                  <w:r>
                    <w:rPr>
                      <w:rStyle w:val="22"/>
                      <w:rFonts w:hint="eastAsia"/>
                    </w:rPr>
                    <w:t>占地区域为岳阳楼景区外围保护地带，</w:t>
                  </w:r>
                  <w:r>
                    <w:rPr>
                      <w:szCs w:val="21"/>
                    </w:rPr>
                    <w:t>不在岳阳楼景区范围内</w:t>
                  </w:r>
                  <w:r>
                    <w:rPr>
                      <w:rFonts w:hint="eastAsia"/>
                      <w:szCs w:val="21"/>
                    </w:rPr>
                    <w:t>（特级保护点、一级保护区、二级保护区、三级保护区）</w:t>
                  </w:r>
                  <w:r>
                    <w:rPr>
                      <w:szCs w:val="21"/>
                    </w:rPr>
                    <w:t>。</w:t>
                  </w:r>
                </w:p>
              </w:tc>
              <w:tc>
                <w:tcPr>
                  <w:tcW w:w="870" w:type="dxa"/>
                  <w:vAlign w:val="center"/>
                </w:tcPr>
                <w:p>
                  <w:pPr>
                    <w:pStyle w:val="23"/>
                    <w:jc w:val="center"/>
                    <w:rPr>
                      <w:rFonts w:ascii="Times New Roman"/>
                      <w:sz w:val="21"/>
                      <w:szCs w:val="21"/>
                    </w:rPr>
                  </w:pPr>
                  <w:r>
                    <w:rPr>
                      <w:rFonts w:ascii="Times New Roman"/>
                      <w:sz w:val="21"/>
                      <w:szCs w:val="21"/>
                    </w:rPr>
                    <w:t>相符</w:t>
                  </w:r>
                </w:p>
              </w:tc>
            </w:tr>
          </w:tbl>
          <w:p>
            <w:pPr>
              <w:pStyle w:val="2"/>
              <w:ind w:firstLine="480"/>
            </w:pPr>
            <w:r>
              <w:t>根据岳阳市人民政府发布的《关于实施岳阳市“三线一单”生态环境分区管控的意见》（岳政发</w:t>
            </w:r>
            <w:r>
              <w:rPr>
                <w:rFonts w:hint="eastAsia"/>
              </w:rPr>
              <w:t>〔</w:t>
            </w:r>
            <w:r>
              <w:t>20</w:t>
            </w:r>
            <w:r>
              <w:rPr>
                <w:rFonts w:hint="eastAsia"/>
              </w:rPr>
              <w:t>21〕2</w:t>
            </w:r>
            <w:r>
              <w:t>号）</w:t>
            </w:r>
            <w:r>
              <w:rPr>
                <w:rFonts w:hint="eastAsia"/>
              </w:rPr>
              <w:t>中的附件4</w:t>
            </w:r>
            <w:r>
              <w:t>可知，项目所在地为</w:t>
            </w:r>
            <w:r>
              <w:rPr>
                <w:rFonts w:hint="eastAsia"/>
              </w:rPr>
              <w:t>洞庭街道</w:t>
            </w:r>
            <w:r>
              <w:t>，其管控类型为重点管控单元，其管控要求如下：</w:t>
            </w:r>
          </w:p>
          <w:p>
            <w:pPr>
              <w:pStyle w:val="26"/>
              <w:spacing w:line="240" w:lineRule="auto"/>
              <w:ind w:firstLine="0" w:firstLineChars="0"/>
              <w:jc w:val="center"/>
              <w:rPr>
                <w:rFonts w:hint="default" w:ascii="Times New Roman" w:hAnsi="Times New Roman"/>
                <w:sz w:val="21"/>
                <w:szCs w:val="21"/>
                <w:u w:val="none"/>
              </w:rPr>
            </w:pPr>
            <w:r>
              <w:rPr>
                <w:rFonts w:hint="default" w:ascii="Times New Roman" w:hAnsi="Times New Roman"/>
                <w:b/>
                <w:sz w:val="21"/>
                <w:szCs w:val="21"/>
                <w:u w:val="none"/>
              </w:rPr>
              <w:t>表1-3 与岳政发〔2021〕2号中重点管控单元基本要求符合性分析</w:t>
            </w:r>
          </w:p>
          <w:tbl>
            <w:tblPr>
              <w:tblStyle w:val="18"/>
              <w:tblpPr w:leftFromText="180" w:rightFromText="180" w:vertAnchor="text" w:horzAnchor="page" w:tblpX="153" w:tblpY="108"/>
              <w:tblOverlap w:val="never"/>
              <w:tblW w:w="67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2788"/>
              <w:gridCol w:w="1943"/>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3" w:type="dxa"/>
                  <w:vAlign w:val="center"/>
                </w:tcPr>
                <w:p>
                  <w:pPr>
                    <w:pStyle w:val="23"/>
                    <w:jc w:val="center"/>
                    <w:rPr>
                      <w:rFonts w:ascii="Times New Roman"/>
                      <w:sz w:val="21"/>
                      <w:szCs w:val="21"/>
                    </w:rPr>
                  </w:pPr>
                  <w:r>
                    <w:rPr>
                      <w:rFonts w:ascii="Times New Roman"/>
                      <w:sz w:val="21"/>
                      <w:szCs w:val="21"/>
                    </w:rPr>
                    <w:t>管控维度</w:t>
                  </w:r>
                </w:p>
              </w:tc>
              <w:tc>
                <w:tcPr>
                  <w:tcW w:w="2788" w:type="dxa"/>
                  <w:vAlign w:val="center"/>
                </w:tcPr>
                <w:p>
                  <w:pPr>
                    <w:pStyle w:val="23"/>
                    <w:jc w:val="center"/>
                    <w:rPr>
                      <w:rFonts w:ascii="Times New Roman"/>
                      <w:sz w:val="21"/>
                      <w:szCs w:val="21"/>
                    </w:rPr>
                  </w:pPr>
                  <w:r>
                    <w:rPr>
                      <w:rFonts w:ascii="Times New Roman"/>
                      <w:sz w:val="21"/>
                      <w:szCs w:val="21"/>
                    </w:rPr>
                    <w:t>管控要求</w:t>
                  </w:r>
                </w:p>
              </w:tc>
              <w:tc>
                <w:tcPr>
                  <w:tcW w:w="1943" w:type="dxa"/>
                  <w:vAlign w:val="center"/>
                </w:tcPr>
                <w:p>
                  <w:pPr>
                    <w:pStyle w:val="23"/>
                    <w:jc w:val="center"/>
                    <w:rPr>
                      <w:rFonts w:ascii="Times New Roman"/>
                      <w:sz w:val="21"/>
                      <w:szCs w:val="21"/>
                    </w:rPr>
                  </w:pPr>
                  <w:r>
                    <w:rPr>
                      <w:rFonts w:ascii="Times New Roman"/>
                      <w:sz w:val="21"/>
                      <w:szCs w:val="21"/>
                    </w:rPr>
                    <w:t>本项目建设</w:t>
                  </w:r>
                </w:p>
              </w:tc>
              <w:tc>
                <w:tcPr>
                  <w:tcW w:w="912" w:type="dxa"/>
                  <w:vAlign w:val="center"/>
                </w:tcPr>
                <w:p>
                  <w:pPr>
                    <w:pStyle w:val="23"/>
                    <w:jc w:val="center"/>
                    <w:rPr>
                      <w:rFonts w:ascii="Times New Roman"/>
                      <w:sz w:val="21"/>
                      <w:szCs w:val="21"/>
                    </w:rPr>
                  </w:pPr>
                  <w:r>
                    <w:rPr>
                      <w:rFonts w:ascii="Times New Roman"/>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3" w:type="dxa"/>
                  <w:vAlign w:val="center"/>
                </w:tcPr>
                <w:p>
                  <w:pPr>
                    <w:pStyle w:val="23"/>
                    <w:jc w:val="center"/>
                    <w:rPr>
                      <w:rFonts w:ascii="Times New Roman"/>
                      <w:sz w:val="21"/>
                      <w:szCs w:val="21"/>
                    </w:rPr>
                  </w:pPr>
                  <w:r>
                    <w:rPr>
                      <w:rFonts w:ascii="Times New Roman"/>
                      <w:sz w:val="21"/>
                      <w:szCs w:val="21"/>
                    </w:rPr>
                    <w:t>空间布局约束</w:t>
                  </w:r>
                </w:p>
              </w:tc>
              <w:tc>
                <w:tcPr>
                  <w:tcW w:w="2788" w:type="dxa"/>
                  <w:vAlign w:val="center"/>
                </w:tcPr>
                <w:p>
                  <w:pPr>
                    <w:pStyle w:val="23"/>
                    <w:rPr>
                      <w:rFonts w:ascii="Times New Roman"/>
                      <w:sz w:val="21"/>
                      <w:szCs w:val="21"/>
                    </w:rPr>
                  </w:pPr>
                  <w:r>
                    <w:rPr>
                      <w:rFonts w:ascii="Times New Roman"/>
                      <w:sz w:val="21"/>
                      <w:szCs w:val="21"/>
                    </w:rPr>
                    <w:t>1</w:t>
                  </w:r>
                  <w:r>
                    <w:rPr>
                      <w:rFonts w:hint="eastAsia" w:ascii="Times New Roman"/>
                      <w:sz w:val="21"/>
                      <w:szCs w:val="21"/>
                    </w:rPr>
                    <w:t>.1、洞庭街道/洛王街道：城镇人口密集区现有不符合安全和卫生防护距离要求的危险化学品生产企业就地改造达标、搬迁进入规范化工园</w:t>
                  </w:r>
                  <w:r>
                    <w:rPr>
                      <w:rFonts w:ascii="Times New Roman"/>
                      <w:sz w:val="21"/>
                      <w:szCs w:val="21"/>
                    </w:rPr>
                    <w:t>区或关闭退出。</w:t>
                  </w:r>
                </w:p>
                <w:p>
                  <w:pPr>
                    <w:widowControl/>
                    <w:jc w:val="left"/>
                    <w:rPr>
                      <w:szCs w:val="21"/>
                    </w:rPr>
                  </w:pPr>
                  <w:r>
                    <w:rPr>
                      <w:color w:val="000000"/>
                      <w:kern w:val="0"/>
                      <w:szCs w:val="21"/>
                    </w:rPr>
                    <w:t>1.2、洞庭街道</w:t>
                  </w:r>
                  <w:r>
                    <w:rPr>
                      <w:rFonts w:eastAsia="仿宋_GB2312"/>
                      <w:color w:val="000000"/>
                      <w:kern w:val="0"/>
                      <w:szCs w:val="21"/>
                    </w:rPr>
                    <w:t>/</w:t>
                  </w:r>
                  <w:r>
                    <w:rPr>
                      <w:color w:val="000000"/>
                      <w:kern w:val="0"/>
                      <w:szCs w:val="21"/>
                    </w:rPr>
                    <w:t>岳阳楼街道</w:t>
                  </w:r>
                  <w:r>
                    <w:rPr>
                      <w:rFonts w:eastAsia="仿宋_GB2312"/>
                      <w:color w:val="000000"/>
                      <w:kern w:val="0"/>
                      <w:szCs w:val="21"/>
                    </w:rPr>
                    <w:t>/</w:t>
                  </w:r>
                  <w:r>
                    <w:rPr>
                      <w:color w:val="000000"/>
                      <w:kern w:val="0"/>
                      <w:szCs w:val="21"/>
                    </w:rPr>
                    <w:t>望月</w:t>
                  </w:r>
                  <w:r>
                    <w:rPr>
                      <w:rFonts w:hint="eastAsia" w:ascii="宋体" w:hAnsi="宋体" w:cs="宋体"/>
                      <w:color w:val="000000"/>
                      <w:kern w:val="0"/>
                      <w:szCs w:val="21"/>
                    </w:rPr>
                    <w:t>街道：</w:t>
                  </w:r>
                  <w:r>
                    <w:rPr>
                      <w:szCs w:val="21"/>
                    </w:rPr>
                    <w:t>依法关停或取缔东风湖周边违法建设的畜禽养殖场、豆腐加工作坊、洗衣坊和砖厂，严禁生活污水、工业废水直排入湖和向湖内倾倒垃圾。</w:t>
                  </w:r>
                </w:p>
                <w:p>
                  <w:pPr>
                    <w:pStyle w:val="23"/>
                    <w:rPr>
                      <w:rFonts w:ascii="Times New Roman"/>
                      <w:sz w:val="21"/>
                      <w:szCs w:val="21"/>
                    </w:rPr>
                  </w:pPr>
                  <w:r>
                    <w:rPr>
                      <w:rFonts w:ascii="Times New Roman"/>
                      <w:sz w:val="21"/>
                      <w:szCs w:val="21"/>
                    </w:rPr>
                    <w:t>1.</w:t>
                  </w:r>
                  <w:r>
                    <w:rPr>
                      <w:rFonts w:hint="eastAsia" w:ascii="Times New Roman"/>
                      <w:sz w:val="21"/>
                      <w:szCs w:val="21"/>
                    </w:rPr>
                    <w:t>3</w:t>
                  </w:r>
                  <w:r>
                    <w:rPr>
                      <w:rFonts w:ascii="Times New Roman"/>
                      <w:sz w:val="21"/>
                      <w:szCs w:val="21"/>
                    </w:rPr>
                    <w:t>、引导工业企业向集聚区内集中，推进有色、化工重点行业进入专业工业园区发展。严格环境准入，凡不符合集聚区准入条件的企业，一律不予审批。</w:t>
                  </w:r>
                </w:p>
              </w:tc>
              <w:tc>
                <w:tcPr>
                  <w:tcW w:w="1943" w:type="dxa"/>
                  <w:vAlign w:val="center"/>
                </w:tcPr>
                <w:p>
                  <w:pPr>
                    <w:rPr>
                      <w:szCs w:val="21"/>
                    </w:rPr>
                  </w:pPr>
                  <w:r>
                    <w:rPr>
                      <w:rFonts w:hint="eastAsia"/>
                      <w:szCs w:val="21"/>
                    </w:rPr>
                    <w:t>1.1、1.2：本项目属于房地产开发业，为新建项目，不属于现有不符合安全和卫生防护距离要求的危险化品生产企业。本项目生活废水经自建化粪池预处理后通过市政污水管网排入岳阳市马壕污水处理厂进行深度处理，再排入东风湖。</w:t>
                  </w:r>
                </w:p>
                <w:p>
                  <w:pPr>
                    <w:rPr>
                      <w:szCs w:val="21"/>
                    </w:rPr>
                  </w:pPr>
                  <w:r>
                    <w:rPr>
                      <w:rFonts w:hint="eastAsia"/>
                      <w:szCs w:val="21"/>
                    </w:rPr>
                    <w:t>1.3、本项目不属于工业类项目。</w:t>
                  </w:r>
                </w:p>
                <w:p>
                  <w:pPr>
                    <w:rPr>
                      <w:szCs w:val="21"/>
                    </w:rPr>
                  </w:pPr>
                  <w:r>
                    <w:rPr>
                      <w:rFonts w:hint="eastAsia"/>
                      <w:szCs w:val="21"/>
                    </w:rPr>
                    <w:t>:</w:t>
                  </w:r>
                </w:p>
              </w:tc>
              <w:tc>
                <w:tcPr>
                  <w:tcW w:w="912" w:type="dxa"/>
                  <w:vAlign w:val="center"/>
                </w:tcPr>
                <w:p>
                  <w:pPr>
                    <w:pStyle w:val="23"/>
                    <w:jc w:val="center"/>
                    <w:rPr>
                      <w:rFonts w:ascii="Times New Roman"/>
                      <w:sz w:val="21"/>
                      <w:szCs w:val="21"/>
                    </w:rPr>
                  </w:pPr>
                  <w:r>
                    <w:rPr>
                      <w:rFonts w:ascii="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3" w:type="dxa"/>
                  <w:vAlign w:val="center"/>
                </w:tcPr>
                <w:p>
                  <w:pPr>
                    <w:pStyle w:val="23"/>
                    <w:jc w:val="center"/>
                    <w:rPr>
                      <w:rFonts w:ascii="Times New Roman"/>
                      <w:sz w:val="21"/>
                      <w:szCs w:val="21"/>
                    </w:rPr>
                  </w:pPr>
                  <w:r>
                    <w:rPr>
                      <w:rFonts w:ascii="Times New Roman"/>
                      <w:sz w:val="21"/>
                      <w:szCs w:val="21"/>
                    </w:rPr>
                    <w:t>污染物排放管控</w:t>
                  </w:r>
                </w:p>
              </w:tc>
              <w:tc>
                <w:tcPr>
                  <w:tcW w:w="2788" w:type="dxa"/>
                  <w:vAlign w:val="center"/>
                </w:tcPr>
                <w:p>
                  <w:pPr>
                    <w:rPr>
                      <w:szCs w:val="21"/>
                    </w:rPr>
                  </w:pPr>
                  <w:r>
                    <w:rPr>
                      <w:szCs w:val="21"/>
                    </w:rPr>
                    <w:t>2.1、南湖、东风湖、吉家湖、芭蕉湖水体及滨岸带、上游集雨范围内的河塘沟汊禁止排放未达到排放标准或者超过规定控制总量的废水、污物、废油等、禁止倾倒土、石、尾矿、垃圾、废渣等固体废弃物。2.2、强化城中村、老旧城区和城乡结合部污水截流、收集。现有合流制排水系统应加快实施雨污分流改造，难以改造的，应采取截流、调蓄和治理等措施。城镇新区建设严格实施雨污分流，配套管网应同步设计、同步建设、同步投运；东风湖、吉家湖、王家河、南湖等重点水域的城镇污水处理设施达到一级A排放标准。2.3、建立日常监测和养护制度，落实相关措施，接受公众监督，确保东风湖等城市黑臭水体整治效果的长效保持。2.4、严禁在岳阳楼区内所有天然湖泊和小Ⅱ型以上水库内进行投肥（化肥、生物有机肥等）、投粪（生活垃圾、各类畜禽养殖废弃物、沼 气池废液废渣等）、投饵等污染水体的行为。</w:t>
                  </w:r>
                </w:p>
              </w:tc>
              <w:tc>
                <w:tcPr>
                  <w:tcW w:w="1943" w:type="dxa"/>
                  <w:vAlign w:val="center"/>
                </w:tcPr>
                <w:p>
                  <w:pPr>
                    <w:pStyle w:val="23"/>
                    <w:rPr>
                      <w:rFonts w:ascii="Times New Roman"/>
                      <w:sz w:val="21"/>
                      <w:szCs w:val="21"/>
                    </w:rPr>
                  </w:pPr>
                  <w:r>
                    <w:rPr>
                      <w:rFonts w:ascii="Times New Roman"/>
                      <w:sz w:val="21"/>
                      <w:szCs w:val="21"/>
                    </w:rPr>
                    <w:t>2.1、本项目在做好本次评价提出相符的各项环保措施后不会超标排放或倾倒固体废弃物。2.2、项目建成后将对接区域市政雨污管网，尾水将进入岳阳市</w:t>
                  </w:r>
                  <w:r>
                    <w:rPr>
                      <w:rFonts w:hint="eastAsia" w:ascii="Times New Roman"/>
                      <w:sz w:val="21"/>
                      <w:szCs w:val="21"/>
                    </w:rPr>
                    <w:t>马壕污水</w:t>
                  </w:r>
                  <w:r>
                    <w:rPr>
                      <w:rFonts w:ascii="Times New Roman"/>
                      <w:sz w:val="21"/>
                      <w:szCs w:val="21"/>
                    </w:rPr>
                    <w:t>处理厂深度处理达到《城镇污水处理厂污染物排放标准》（GB18918-2002）一级A标准后</w:t>
                  </w:r>
                  <w:r>
                    <w:rPr>
                      <w:rFonts w:hint="eastAsia" w:ascii="Times New Roman"/>
                      <w:sz w:val="21"/>
                      <w:szCs w:val="21"/>
                    </w:rPr>
                    <w:t>通过市政污水管网排入东风湖。</w:t>
                  </w:r>
                </w:p>
                <w:p>
                  <w:pPr>
                    <w:pStyle w:val="23"/>
                    <w:rPr>
                      <w:rFonts w:ascii="Times New Roman"/>
                      <w:sz w:val="21"/>
                      <w:szCs w:val="21"/>
                    </w:rPr>
                  </w:pPr>
                  <w:r>
                    <w:rPr>
                      <w:rFonts w:ascii="Times New Roman"/>
                      <w:sz w:val="21"/>
                      <w:szCs w:val="21"/>
                    </w:rPr>
                    <w:t>2.3、本项目</w:t>
                  </w:r>
                  <w:r>
                    <w:rPr>
                      <w:rFonts w:hint="eastAsia" w:ascii="Times New Roman"/>
                      <w:sz w:val="21"/>
                      <w:szCs w:val="21"/>
                    </w:rPr>
                    <w:t>为地产类，无自行监测要求；日常监测制度为区域统一的环境日常监测体制</w:t>
                  </w:r>
                  <w:r>
                    <w:rPr>
                      <w:rFonts w:ascii="Times New Roman"/>
                      <w:sz w:val="21"/>
                      <w:szCs w:val="21"/>
                    </w:rPr>
                    <w:t>。2.4、本项目为房地产开发业，不涉及投肥、投粪、投饵等污染水体行为。</w:t>
                  </w:r>
                </w:p>
              </w:tc>
              <w:tc>
                <w:tcPr>
                  <w:tcW w:w="912" w:type="dxa"/>
                  <w:vAlign w:val="center"/>
                </w:tcPr>
                <w:p>
                  <w:pPr>
                    <w:pStyle w:val="23"/>
                    <w:jc w:val="center"/>
                    <w:rPr>
                      <w:rFonts w:ascii="Times New Roman"/>
                      <w:sz w:val="21"/>
                      <w:szCs w:val="21"/>
                    </w:rPr>
                  </w:pPr>
                  <w:r>
                    <w:rPr>
                      <w:rFonts w:ascii="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23" w:type="dxa"/>
                  <w:vAlign w:val="center"/>
                </w:tcPr>
                <w:p>
                  <w:pPr>
                    <w:pStyle w:val="23"/>
                    <w:jc w:val="center"/>
                    <w:rPr>
                      <w:rFonts w:ascii="Times New Roman"/>
                      <w:sz w:val="21"/>
                      <w:szCs w:val="21"/>
                    </w:rPr>
                  </w:pPr>
                  <w:r>
                    <w:rPr>
                      <w:rFonts w:ascii="Times New Roman"/>
                      <w:sz w:val="21"/>
                      <w:szCs w:val="21"/>
                    </w:rPr>
                    <w:t>环境风险管控</w:t>
                  </w:r>
                </w:p>
              </w:tc>
              <w:tc>
                <w:tcPr>
                  <w:tcW w:w="2788" w:type="dxa"/>
                  <w:vAlign w:val="center"/>
                </w:tcPr>
                <w:p>
                  <w:pPr>
                    <w:pStyle w:val="23"/>
                    <w:rPr>
                      <w:rFonts w:ascii="Times New Roman"/>
                      <w:sz w:val="21"/>
                      <w:szCs w:val="21"/>
                    </w:rPr>
                  </w:pPr>
                  <w:r>
                    <w:rPr>
                      <w:rFonts w:ascii="Times New Roman"/>
                      <w:sz w:val="21"/>
                      <w:szCs w:val="21"/>
                    </w:rPr>
                    <w:t>3.奇家岭街道/洛王街道/湖滨街道/西塘镇/郭镇乡:明确农艺调控、化学阻控、替代种植等安全利用的技术途径、技术要求、实施目标等主要内容，降低农产品重金属超标风险</w:t>
                  </w:r>
                </w:p>
              </w:tc>
              <w:tc>
                <w:tcPr>
                  <w:tcW w:w="1943" w:type="dxa"/>
                  <w:vAlign w:val="center"/>
                </w:tcPr>
                <w:p>
                  <w:pPr>
                    <w:pStyle w:val="23"/>
                    <w:rPr>
                      <w:rFonts w:ascii="Times New Roman"/>
                      <w:sz w:val="21"/>
                      <w:szCs w:val="21"/>
                    </w:rPr>
                  </w:pPr>
                  <w:r>
                    <w:rPr>
                      <w:rFonts w:ascii="Times New Roman"/>
                      <w:sz w:val="21"/>
                      <w:szCs w:val="21"/>
                    </w:rPr>
                    <w:t>本项目</w:t>
                  </w:r>
                  <w:r>
                    <w:rPr>
                      <w:rFonts w:hint="eastAsia" w:ascii="Times New Roman"/>
                      <w:sz w:val="21"/>
                      <w:szCs w:val="21"/>
                    </w:rPr>
                    <w:t>为房地产开发业，不存在工业、农业环境风险。</w:t>
                  </w:r>
                </w:p>
              </w:tc>
              <w:tc>
                <w:tcPr>
                  <w:tcW w:w="912" w:type="dxa"/>
                  <w:vAlign w:val="center"/>
                </w:tcPr>
                <w:p>
                  <w:pPr>
                    <w:pStyle w:val="23"/>
                    <w:jc w:val="center"/>
                    <w:rPr>
                      <w:rFonts w:ascii="Times New Roman"/>
                      <w:sz w:val="21"/>
                      <w:szCs w:val="21"/>
                    </w:rPr>
                  </w:pPr>
                  <w:r>
                    <w:rPr>
                      <w:rFonts w:ascii="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3" w:hRule="atLeast"/>
              </w:trPr>
              <w:tc>
                <w:tcPr>
                  <w:tcW w:w="1123" w:type="dxa"/>
                  <w:vAlign w:val="center"/>
                </w:tcPr>
                <w:p>
                  <w:pPr>
                    <w:pStyle w:val="23"/>
                    <w:jc w:val="center"/>
                    <w:rPr>
                      <w:rFonts w:ascii="Times New Roman"/>
                      <w:sz w:val="21"/>
                      <w:szCs w:val="21"/>
                    </w:rPr>
                  </w:pPr>
                  <w:r>
                    <w:rPr>
                      <w:rFonts w:ascii="Times New Roman"/>
                      <w:sz w:val="21"/>
                      <w:szCs w:val="21"/>
                    </w:rPr>
                    <w:t>资源开发效率要求</w:t>
                  </w:r>
                </w:p>
              </w:tc>
              <w:tc>
                <w:tcPr>
                  <w:tcW w:w="2788" w:type="dxa"/>
                  <w:vAlign w:val="center"/>
                </w:tcPr>
                <w:p>
                  <w:pPr>
                    <w:rPr>
                      <w:szCs w:val="21"/>
                    </w:rPr>
                  </w:pPr>
                  <w:r>
                    <w:rPr>
                      <w:szCs w:val="21"/>
                    </w:rPr>
                    <w:t>4.1、水资源：2020年，岳阳楼区万元国内生产总值用水量51m</w:t>
                  </w:r>
                  <w:r>
                    <w:rPr>
                      <w:szCs w:val="21"/>
                      <w:vertAlign w:val="superscript"/>
                    </w:rPr>
                    <w:t>3</w:t>
                  </w:r>
                  <w:r>
                    <w:rPr>
                      <w:szCs w:val="21"/>
                    </w:rPr>
                    <w:t>/万元，万元工业增加值用水量150m</w:t>
                  </w:r>
                  <w:r>
                    <w:rPr>
                      <w:szCs w:val="21"/>
                      <w:vertAlign w:val="superscript"/>
                    </w:rPr>
                    <w:t>3</w:t>
                  </w:r>
                  <w:r>
                    <w:rPr>
                      <w:szCs w:val="21"/>
                    </w:rPr>
                    <w:t>/万元，农田灌溉水有效利用系数0.57。4.2、能源：岳阳楼区“十三五”能耗强度降低目标17%，“十三五”能耗控制目标35万吨标准煤。4.3、土地资源：岳阳楼区耕地保有量7300公顷，基本农田保护面积3300公顷。2020年岳阳楼区建设用地总规模15222.27公顷，城乡建设用地规模11782.76公顷，城镇工矿用地规模10084.84公顷，人均城镇工矿105公顷。</w:t>
                  </w:r>
                </w:p>
                <w:p>
                  <w:pPr>
                    <w:pStyle w:val="23"/>
                    <w:rPr>
                      <w:rFonts w:ascii="Times New Roman"/>
                      <w:sz w:val="21"/>
                      <w:szCs w:val="21"/>
                    </w:rPr>
                  </w:pPr>
                </w:p>
              </w:tc>
              <w:tc>
                <w:tcPr>
                  <w:tcW w:w="1943" w:type="dxa"/>
                  <w:vAlign w:val="center"/>
                </w:tcPr>
                <w:p>
                  <w:pPr>
                    <w:pStyle w:val="23"/>
                    <w:rPr>
                      <w:rFonts w:ascii="Times New Roman"/>
                      <w:sz w:val="21"/>
                      <w:szCs w:val="21"/>
                    </w:rPr>
                  </w:pPr>
                  <w:r>
                    <w:rPr>
                      <w:rFonts w:ascii="Times New Roman"/>
                      <w:sz w:val="21"/>
                      <w:szCs w:val="21"/>
                    </w:rPr>
                    <w:t>本项目不属于工业建设项目，</w:t>
                  </w:r>
                  <w:r>
                    <w:rPr>
                      <w:rStyle w:val="22"/>
                      <w:rFonts w:hint="eastAsia" w:ascii="Times New Roman"/>
                      <w:color w:val="auto"/>
                    </w:rPr>
                    <w:t>房地产开发类项目为居民生活能耗，不会影响工业能耗增加值</w:t>
                  </w:r>
                  <w:r>
                    <w:rPr>
                      <w:rFonts w:ascii="Times New Roman"/>
                      <w:sz w:val="21"/>
                      <w:szCs w:val="21"/>
                    </w:rPr>
                    <w:t>。</w:t>
                  </w:r>
                </w:p>
              </w:tc>
              <w:tc>
                <w:tcPr>
                  <w:tcW w:w="912" w:type="dxa"/>
                  <w:vAlign w:val="center"/>
                </w:tcPr>
                <w:p>
                  <w:pPr>
                    <w:pStyle w:val="23"/>
                    <w:jc w:val="center"/>
                    <w:rPr>
                      <w:rFonts w:ascii="Times New Roman"/>
                      <w:sz w:val="21"/>
                      <w:szCs w:val="21"/>
                    </w:rPr>
                  </w:pPr>
                  <w:r>
                    <w:rPr>
                      <w:rFonts w:ascii="Times New Roman"/>
                      <w:sz w:val="21"/>
                      <w:szCs w:val="21"/>
                    </w:rPr>
                    <w:t>相符</w:t>
                  </w:r>
                </w:p>
              </w:tc>
            </w:tr>
          </w:tbl>
          <w:p>
            <w:pPr>
              <w:pStyle w:val="2"/>
              <w:ind w:firstLine="480"/>
            </w:pPr>
            <w:r>
              <w:t>综上所述，本项目的建设符合“三线一单”的相关要求。</w:t>
            </w:r>
          </w:p>
          <w:p>
            <w:pPr>
              <w:pStyle w:val="13"/>
              <w:jc w:val="both"/>
            </w:pPr>
          </w:p>
        </w:tc>
      </w:tr>
    </w:tbl>
    <w:p>
      <w:pPr>
        <w:spacing w:line="360" w:lineRule="auto"/>
        <w:outlineLvl w:val="0"/>
        <w:rPr>
          <w:rFonts w:eastAsia="黑体"/>
          <w:sz w:val="30"/>
        </w:rPr>
        <w:sectPr>
          <w:footerReference r:id="rId5" w:type="default"/>
          <w:pgSz w:w="11906" w:h="16838"/>
          <w:pgMar w:top="1701" w:right="1531" w:bottom="1701" w:left="1531" w:header="851" w:footer="1077" w:gutter="0"/>
          <w:pgNumType w:start="1"/>
          <w:cols w:space="720" w:num="1"/>
          <w:docGrid w:linePitch="312" w:charSpace="0"/>
        </w:sectPr>
      </w:pPr>
    </w:p>
    <w:p>
      <w:pPr>
        <w:pStyle w:val="15"/>
        <w:jc w:val="center"/>
        <w:outlineLvl w:val="0"/>
        <w:rPr>
          <w:rFonts w:ascii="黑体" w:hAnsi="黑体" w:eastAsia="黑体"/>
          <w:snapToGrid w:val="0"/>
          <w:sz w:val="30"/>
          <w:szCs w:val="30"/>
        </w:rPr>
      </w:pPr>
      <w:r>
        <w:rPr>
          <w:rFonts w:hint="eastAsia" w:ascii="黑体" w:hAnsi="黑体" w:eastAsia="黑体"/>
          <w:snapToGrid w:val="0"/>
          <w:sz w:val="30"/>
          <w:szCs w:val="30"/>
        </w:rPr>
        <w:t>二、建设内容</w:t>
      </w:r>
    </w:p>
    <w:tbl>
      <w:tblPr>
        <w:tblStyle w:val="18"/>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vAlign w:val="center"/>
          </w:tcPr>
          <w:p>
            <w:pPr>
              <w:pStyle w:val="2"/>
              <w:spacing w:line="240" w:lineRule="auto"/>
              <w:ind w:firstLine="0" w:firstLineChars="0"/>
            </w:pPr>
            <w:r>
              <w:rPr>
                <w:rFonts w:hint="eastAsia"/>
              </w:rPr>
              <w:t>地理位置</w:t>
            </w:r>
          </w:p>
        </w:tc>
        <w:tc>
          <w:tcPr>
            <w:tcW w:w="8380" w:type="dxa"/>
            <w:vAlign w:val="center"/>
          </w:tcPr>
          <w:p>
            <w:pPr>
              <w:pStyle w:val="2"/>
              <w:ind w:firstLine="480"/>
            </w:pPr>
            <w:r>
              <w:t>岳阳和茂置业有限公司</w:t>
            </w:r>
            <w:r>
              <w:rPr>
                <w:rFonts w:hint="eastAsia"/>
              </w:rPr>
              <w:t>拟投资11亿元</w:t>
            </w:r>
            <w:r>
              <w:t>位于湖南省岳阳市岳阳楼区沿湖大道与九华山交界处</w:t>
            </w:r>
            <w:r>
              <w:rPr>
                <w:rFonts w:hint="eastAsia"/>
                <w:u w:val="none"/>
              </w:rPr>
              <w:t>建设“金茂·岳茂苑”（以下简称：本项目）</w:t>
            </w:r>
            <w:r>
              <w:rPr>
                <w:u w:val="none"/>
              </w:rPr>
              <w:t>，项目选址02#地块中心经纬度为：</w:t>
            </w:r>
            <w:r>
              <w:rPr>
                <w:sz w:val="24"/>
                <w:u w:val="none"/>
              </w:rPr>
              <w:t>113度5分3</w:t>
            </w:r>
            <w:r>
              <w:rPr>
                <w:rFonts w:hint="eastAsia"/>
                <w:sz w:val="24"/>
                <w:u w:val="none"/>
                <w:lang w:val="en-US" w:eastAsia="zh-CN"/>
              </w:rPr>
              <w:t>6.095</w:t>
            </w:r>
            <w:r>
              <w:rPr>
                <w:sz w:val="24"/>
                <w:u w:val="none"/>
              </w:rPr>
              <w:t>秒，29度23分</w:t>
            </w:r>
            <w:r>
              <w:rPr>
                <w:rFonts w:hint="eastAsia"/>
                <w:sz w:val="24"/>
                <w:u w:val="none"/>
                <w:lang w:val="en-US" w:eastAsia="zh-CN"/>
              </w:rPr>
              <w:t>35.969</w:t>
            </w:r>
            <w:r>
              <w:rPr>
                <w:rFonts w:hint="eastAsia"/>
                <w:sz w:val="24"/>
                <w:u w:val="none"/>
                <w:lang w:eastAsia="zh-CN"/>
              </w:rPr>
              <w:t>秒</w:t>
            </w:r>
            <w:r>
              <w:rPr>
                <w:u w:val="none"/>
              </w:rPr>
              <w:t>；03#地块中心经纬度为</w:t>
            </w:r>
            <w:r>
              <w:rPr>
                <w:sz w:val="24"/>
                <w:u w:val="none"/>
              </w:rPr>
              <w:t>113度5分</w:t>
            </w:r>
            <w:r>
              <w:rPr>
                <w:rFonts w:hint="eastAsia"/>
                <w:sz w:val="24"/>
                <w:u w:val="none"/>
                <w:lang w:val="en-US" w:eastAsia="zh-CN"/>
              </w:rPr>
              <w:t>43.279</w:t>
            </w:r>
            <w:r>
              <w:rPr>
                <w:sz w:val="24"/>
                <w:u w:val="none"/>
              </w:rPr>
              <w:t>秒，29度23分36</w:t>
            </w:r>
            <w:r>
              <w:rPr>
                <w:rFonts w:hint="eastAsia"/>
                <w:sz w:val="24"/>
                <w:u w:val="none"/>
                <w:lang w:val="en-US" w:eastAsia="zh-CN"/>
              </w:rPr>
              <w:t>.780</w:t>
            </w:r>
            <w:r>
              <w:rPr>
                <w:sz w:val="24"/>
                <w:u w:val="none"/>
              </w:rPr>
              <w:t>秒</w:t>
            </w:r>
            <w:r>
              <w:rPr>
                <w:u w:val="none"/>
              </w:rPr>
              <w:t>；04#地块中心经纬度为：</w:t>
            </w:r>
            <w:r>
              <w:rPr>
                <w:sz w:val="24"/>
                <w:u w:val="none"/>
              </w:rPr>
              <w:t>113度5分</w:t>
            </w:r>
            <w:r>
              <w:rPr>
                <w:rFonts w:hint="eastAsia"/>
                <w:sz w:val="24"/>
                <w:u w:val="none"/>
                <w:lang w:val="en-US" w:eastAsia="zh-CN"/>
              </w:rPr>
              <w:t>41.850</w:t>
            </w:r>
            <w:r>
              <w:rPr>
                <w:sz w:val="24"/>
                <w:u w:val="none"/>
              </w:rPr>
              <w:t>秒，29度23分</w:t>
            </w:r>
            <w:r>
              <w:rPr>
                <w:rFonts w:hint="eastAsia"/>
                <w:sz w:val="24"/>
                <w:u w:val="none"/>
                <w:lang w:val="en-US" w:eastAsia="zh-CN"/>
              </w:rPr>
              <w:t>39.599</w:t>
            </w:r>
            <w:r>
              <w:rPr>
                <w:sz w:val="24"/>
                <w:u w:val="none"/>
              </w:rPr>
              <w:t>秒</w:t>
            </w:r>
            <w:r>
              <w:rPr>
                <w:u w:val="none"/>
              </w:rPr>
              <w:t>；所</w:t>
            </w:r>
            <w:r>
              <w:t>在流域为洞庭湖流域。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93" w:hRule="atLeast"/>
          <w:jc w:val="center"/>
        </w:trPr>
        <w:tc>
          <w:tcPr>
            <w:tcW w:w="710" w:type="dxa"/>
            <w:vAlign w:val="center"/>
          </w:tcPr>
          <w:p>
            <w:pPr>
              <w:pStyle w:val="2"/>
              <w:spacing w:line="240" w:lineRule="auto"/>
              <w:ind w:firstLine="0" w:firstLineChars="0"/>
            </w:pPr>
            <w:r>
              <w:rPr>
                <w:rFonts w:hint="eastAsia"/>
              </w:rPr>
              <w:t>项目组成及规模</w:t>
            </w:r>
          </w:p>
        </w:tc>
        <w:tc>
          <w:tcPr>
            <w:tcW w:w="8380" w:type="dxa"/>
            <w:vAlign w:val="center"/>
          </w:tcPr>
          <w:p>
            <w:pPr>
              <w:spacing w:line="360" w:lineRule="auto"/>
              <w:ind w:firstLine="482" w:firstLineChars="200"/>
              <w:rPr>
                <w:b/>
                <w:bCs/>
                <w:sz w:val="24"/>
              </w:rPr>
            </w:pPr>
            <w:r>
              <w:rPr>
                <w:rFonts w:hint="eastAsia"/>
                <w:b/>
                <w:bCs/>
                <w:sz w:val="24"/>
              </w:rPr>
              <w:t>一、项目基本概况</w:t>
            </w:r>
          </w:p>
          <w:p>
            <w:pPr>
              <w:pStyle w:val="2"/>
              <w:ind w:firstLine="480"/>
            </w:pPr>
            <w:r>
              <w:rPr>
                <w:rFonts w:hint="eastAsia"/>
              </w:rPr>
              <w:t>本项目已经开工建设，目前</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lang w:val="en-US" w:eastAsia="zh-CN"/>
              </w:rPr>
              <w:t>。</w:t>
            </w:r>
            <w:r>
              <w:rPr>
                <w:rFonts w:hint="eastAsia"/>
              </w:rPr>
              <w:t>根据</w:t>
            </w:r>
            <w:r>
              <w:rPr>
                <w:rFonts w:hint="eastAsia" w:ascii="宋体" w:hAnsi="宋体" w:cs="宋体"/>
              </w:rPr>
              <w:t>《关于加强“未批先建”建设项目环境影响评价管理工作的通知》</w:t>
            </w:r>
            <w:r>
              <w:t>（环办环评〔2018〕18号）</w:t>
            </w:r>
            <w:r>
              <w:rPr>
                <w:rFonts w:hint="eastAsia"/>
              </w:rPr>
              <w:t>，本项目属于“未批先建”情形，建设单位</w:t>
            </w:r>
            <w:r>
              <w:rPr>
                <w:rFonts w:hint="eastAsia"/>
                <w:lang w:eastAsia="zh-CN"/>
              </w:rPr>
              <w:t>目前正与生态环境主管部门进行协商，并</w:t>
            </w:r>
            <w:r>
              <w:rPr>
                <w:rFonts w:hint="eastAsia"/>
              </w:rPr>
              <w:t>于2021年6月1日主动委托湖南博咨环境技术咨询服务有限公司</w:t>
            </w:r>
            <w:r>
              <w:t>（以下简称：我公司）承担本项目的环境影响评价工作</w:t>
            </w:r>
            <w:r>
              <w:rPr>
                <w:rFonts w:hint="eastAsia"/>
              </w:rPr>
              <w:t>。</w:t>
            </w:r>
          </w:p>
          <w:p>
            <w:pPr>
              <w:pStyle w:val="2"/>
              <w:ind w:firstLine="480"/>
              <w:rPr>
                <w:rFonts w:hint="eastAsia"/>
              </w:rPr>
            </w:pPr>
            <w:r>
              <w:rPr>
                <w:rFonts w:hint="eastAsia"/>
              </w:rPr>
              <w:t>岳阳和茂</w:t>
            </w:r>
            <w:r>
              <w:t>置业有限公司拟投资11亿元，在沿湖大道与九华山交界处建设“金茂</w:t>
            </w:r>
            <w:r>
              <w:rPr>
                <w:rFonts w:hint="eastAsia"/>
              </w:rPr>
              <w:t>·</w:t>
            </w:r>
            <w:r>
              <w:t>岳茂苑”。本项目用地</w:t>
            </w:r>
            <w:r>
              <w:rPr>
                <w:rFonts w:hint="eastAsia"/>
              </w:rPr>
              <w:t>分</w:t>
            </w:r>
            <w:r>
              <w:t>为3个地块</w:t>
            </w:r>
            <w:r>
              <w:rPr>
                <w:rFonts w:hint="eastAsia"/>
              </w:rPr>
              <w:t>进行同期建设</w:t>
            </w:r>
            <w:r>
              <w:t>，分别为02#、03#、04#地块。本项目3个地</w:t>
            </w:r>
            <w:r>
              <w:rPr>
                <w:highlight w:val="none"/>
              </w:rPr>
              <w:t>块总用地面积为</w:t>
            </w:r>
            <w:r>
              <w:rPr>
                <w:rFonts w:hint="eastAsia"/>
                <w:highlight w:val="none"/>
              </w:rPr>
              <w:t>126539</w:t>
            </w:r>
            <w:r>
              <w:rPr>
                <w:highlight w:val="none"/>
              </w:rPr>
              <w:t>m</w:t>
            </w:r>
            <w:r>
              <w:rPr>
                <w:highlight w:val="none"/>
                <w:vertAlign w:val="superscript"/>
              </w:rPr>
              <w:t>2</w:t>
            </w:r>
            <w:r>
              <w:rPr>
                <w:highlight w:val="none"/>
              </w:rPr>
              <w:t>，总建筑面积为415659.836m</w:t>
            </w:r>
            <w:r>
              <w:rPr>
                <w:highlight w:val="none"/>
                <w:vertAlign w:val="superscript"/>
              </w:rPr>
              <w:t>2</w:t>
            </w:r>
            <w:r>
              <w:rPr>
                <w:rFonts w:hint="eastAsia"/>
                <w:highlight w:val="none"/>
              </w:rPr>
              <w:t>，总净用地面积为110638m</w:t>
            </w:r>
            <w:r>
              <w:rPr>
                <w:rFonts w:hint="eastAsia"/>
                <w:highlight w:val="none"/>
                <w:vertAlign w:val="superscript"/>
              </w:rPr>
              <w:t>2</w:t>
            </w:r>
            <w:r>
              <w:rPr>
                <w:rFonts w:hint="eastAsia"/>
                <w:highlight w:val="none"/>
              </w:rPr>
              <w:t>。</w:t>
            </w:r>
            <w:r>
              <w:t>总计容建筑面积309102.689m</w:t>
            </w:r>
            <w:r>
              <w:rPr>
                <w:vertAlign w:val="superscript"/>
              </w:rPr>
              <w:t>2</w:t>
            </w:r>
            <w:r>
              <w:t>，其中住宅面积为250541.372m</w:t>
            </w:r>
            <w:r>
              <w:rPr>
                <w:vertAlign w:val="superscript"/>
              </w:rPr>
              <w:t>2</w:t>
            </w:r>
            <w:r>
              <w:t>（多层住宅面积为25462.173，高层面积为225079.199m</w:t>
            </w:r>
            <w:r>
              <w:rPr>
                <w:vertAlign w:val="superscript"/>
              </w:rPr>
              <w:t>2</w:t>
            </w:r>
            <w:r>
              <w:t>）</w:t>
            </w:r>
            <w:r>
              <w:rPr>
                <w:rFonts w:hint="eastAsia"/>
              </w:rPr>
              <w:t>；</w:t>
            </w:r>
            <w:r>
              <w:t>商业面积为48105.234m</w:t>
            </w:r>
            <w:r>
              <w:rPr>
                <w:vertAlign w:val="superscript"/>
              </w:rPr>
              <w:t>2</w:t>
            </w:r>
            <w:r>
              <w:t>（公寓面积39556.317m</w:t>
            </w:r>
            <w:r>
              <w:rPr>
                <w:vertAlign w:val="superscript"/>
              </w:rPr>
              <w:t>2</w:t>
            </w:r>
            <w:r>
              <w:t>，集中商业面积为8548.917m</w:t>
            </w:r>
            <w:r>
              <w:rPr>
                <w:vertAlign w:val="superscript"/>
              </w:rPr>
              <w:t>2</w:t>
            </w:r>
            <w:r>
              <w:t>）</w:t>
            </w:r>
            <w:r>
              <w:rPr>
                <w:rFonts w:hint="eastAsia"/>
              </w:rPr>
              <w:t>；</w:t>
            </w:r>
            <w:r>
              <w:t>配套商业面积为3100.193m</w:t>
            </w:r>
            <w:r>
              <w:rPr>
                <w:vertAlign w:val="superscript"/>
              </w:rPr>
              <w:t>2</w:t>
            </w:r>
            <w:r>
              <w:rPr>
                <w:rFonts w:hint="eastAsia"/>
              </w:rPr>
              <w:t>；</w:t>
            </w:r>
            <w:r>
              <w:t>公共服务配套面积为7355.89m</w:t>
            </w:r>
            <w:r>
              <w:rPr>
                <w:vertAlign w:val="superscript"/>
              </w:rPr>
              <w:t>2</w:t>
            </w:r>
            <w:r>
              <w:t>（养老服务设施690.393m</w:t>
            </w:r>
            <w:r>
              <w:rPr>
                <w:vertAlign w:val="superscript"/>
              </w:rPr>
              <w:t>2</w:t>
            </w:r>
            <w:r>
              <w:t>，物管及门卫面积2690.947m</w:t>
            </w:r>
            <w:r>
              <w:rPr>
                <w:vertAlign w:val="superscript"/>
              </w:rPr>
              <w:t>2</w:t>
            </w:r>
            <w:r>
              <w:t>，幼儿园（9班）2707.050m</w:t>
            </w:r>
            <w:r>
              <w:rPr>
                <w:vertAlign w:val="superscript"/>
              </w:rPr>
              <w:t>2</w:t>
            </w:r>
            <w:r>
              <w:t>，垃圾站80.400m</w:t>
            </w:r>
            <w:r>
              <w:rPr>
                <w:vertAlign w:val="superscript"/>
              </w:rPr>
              <w:t>2</w:t>
            </w:r>
            <w:r>
              <w:t>，对外公厕185.750m</w:t>
            </w:r>
            <w:r>
              <w:rPr>
                <w:vertAlign w:val="superscript"/>
              </w:rPr>
              <w:t>2</w:t>
            </w:r>
            <w:r>
              <w:t>，社区服务站1001.350m</w:t>
            </w:r>
            <w:r>
              <w:rPr>
                <w:vertAlign w:val="superscript"/>
              </w:rPr>
              <w:t>2</w:t>
            </w:r>
            <w:r>
              <w:t>）</w:t>
            </w:r>
            <w:r>
              <w:rPr>
                <w:rFonts w:hint="eastAsia"/>
              </w:rPr>
              <w:t>。总不计容建筑面积为106557.147m</w:t>
            </w:r>
            <w:r>
              <w:rPr>
                <w:rFonts w:hint="eastAsia"/>
                <w:vertAlign w:val="superscript"/>
              </w:rPr>
              <w:t>2</w:t>
            </w:r>
            <w:r>
              <w:rPr>
                <w:rFonts w:hint="eastAsia"/>
              </w:rPr>
              <w:t>，其中架空层面积为1092.910m</w:t>
            </w:r>
            <w:r>
              <w:rPr>
                <w:rFonts w:hint="eastAsia"/>
                <w:vertAlign w:val="superscript"/>
              </w:rPr>
              <w:t>2</w:t>
            </w:r>
            <w:r>
              <w:rPr>
                <w:rFonts w:hint="eastAsia"/>
              </w:rPr>
              <w:t>，地下车库面积为105464.237m</w:t>
            </w:r>
            <w:r>
              <w:rPr>
                <w:rFonts w:hint="eastAsia"/>
                <w:vertAlign w:val="superscript"/>
              </w:rPr>
              <w:t>2</w:t>
            </w:r>
            <w:r>
              <w:rPr>
                <w:rFonts w:hint="eastAsia"/>
              </w:rPr>
              <w:t>（人防机动车库12268m</w:t>
            </w:r>
            <w:r>
              <w:rPr>
                <w:rFonts w:hint="eastAsia"/>
                <w:vertAlign w:val="superscript"/>
              </w:rPr>
              <w:t>2</w:t>
            </w:r>
            <w:r>
              <w:rPr>
                <w:rFonts w:hint="eastAsia"/>
              </w:rPr>
              <w:t>，非人防机动车库93196.237m</w:t>
            </w:r>
            <w:r>
              <w:rPr>
                <w:rFonts w:hint="eastAsia"/>
                <w:vertAlign w:val="superscript"/>
              </w:rPr>
              <w:t>2</w:t>
            </w:r>
            <w:r>
              <w:rPr>
                <w:rFonts w:hint="eastAsia"/>
              </w:rPr>
              <w:t>）。总建筑密度19.31%，容积率为2.794，绿地率为35.01%；机动车停车位共3103个，其中地面停车位303个，地下停车位2800个（普通车位2162个，无障碍车位27个，充电桩车位367个，子母车位222个，微型车位22个）；3个地块总户数为2044户，居住人数为6541人。</w:t>
            </w:r>
          </w:p>
          <w:p>
            <w:pPr>
              <w:pStyle w:val="2"/>
              <w:ind w:firstLine="480"/>
            </w:pPr>
            <w:r>
              <w:rPr>
                <w:rFonts w:hint="eastAsia"/>
              </w:rPr>
              <w:t>特别说明：</w:t>
            </w:r>
            <w:r>
              <w:rPr>
                <w:rFonts w:hint="eastAsia" w:hAnsi="宋体"/>
                <w:color w:val="000000"/>
              </w:rPr>
              <w:t>本项目商业</w:t>
            </w:r>
            <w:r>
              <w:rPr>
                <w:color w:val="000000"/>
              </w:rPr>
              <w:t>主要以零售业或综合零售为主</w:t>
            </w:r>
            <w:r>
              <w:rPr>
                <w:rFonts w:hint="eastAsia" w:hAnsi="宋体"/>
                <w:color w:val="000000"/>
              </w:rPr>
              <w:t>，商业部分不设冷</w:t>
            </w:r>
            <w:r>
              <w:rPr>
                <w:rFonts w:hint="eastAsia"/>
              </w:rPr>
              <w:t>却塔，同时商业部分暂不设置餐饮、KTV，将来如需引进餐饮，必须在预留有公共烟道、油烟处理及隔油隔渣措施的情况下才能引进，引进时另外进行环境影响评价，</w:t>
            </w:r>
            <w:r>
              <w:t>经相关环保部门审批同意后方可实施，</w:t>
            </w:r>
            <w:r>
              <w:rPr>
                <w:rFonts w:hint="eastAsia"/>
              </w:rPr>
              <w:t>本报告对此不作另外评价。</w:t>
            </w:r>
          </w:p>
          <w:p>
            <w:pPr>
              <w:pStyle w:val="2"/>
              <w:ind w:firstLine="480"/>
              <w:rPr>
                <w:rFonts w:hint="eastAsia"/>
              </w:rPr>
            </w:pPr>
            <w:r>
              <w:t>根据项目规划设计，</w:t>
            </w:r>
            <w:r>
              <w:rPr>
                <w:rFonts w:hint="eastAsia"/>
              </w:rPr>
              <w:t>养老服务设施主要为小区老年人居民提供公共卫生服务指导服务，进行简单的医疗保健等，不设注射、床位和检验科目，如需设置医疗服务机构，另外进行环境影响评价，</w:t>
            </w:r>
            <w:r>
              <w:t>经相关环保部门审批同意后方可实施，</w:t>
            </w:r>
            <w:r>
              <w:rPr>
                <w:rFonts w:hint="eastAsia"/>
              </w:rPr>
              <w:t>本报告对此不作另外评价。</w:t>
            </w:r>
          </w:p>
          <w:p>
            <w:pPr>
              <w:pStyle w:val="2"/>
              <w:ind w:firstLine="480"/>
            </w:pPr>
            <w:r>
              <w:rPr>
                <w:rFonts w:hint="eastAsia"/>
              </w:rPr>
              <w:t>本项目各地块经济技术指标详见表2-2、2-3、2-4。</w:t>
            </w:r>
          </w:p>
          <w:p>
            <w:pPr>
              <w:pStyle w:val="2"/>
              <w:ind w:firstLine="480"/>
            </w:pPr>
            <w:r>
              <w:rPr>
                <w:rFonts w:hint="eastAsia"/>
              </w:rPr>
              <w:t>根据建设单位提供的资料以及规划文件，本项目02#地块规划22栋住宅：5栋17F（住宅12#、13#、14#、15#、16#）；3栋34F（住宅10#、17#、18#）；1栋30F（住宅9#）；1栋32F（住宅11#）；12栋6F（住宅19#、20#、21#、22#、23#、24#、25#、26#、27#、28#、29#、30#）；1栋3F九班制幼儿园（设置在02#地块南侧一角）、沿街商业、养老服务设施及小区相关配套用房。03#地块规划8栋住宅：2栋32F（住宅1#、3#）；3栋33F（2#、4#、5#）；1栋31F（住宅6#）；1栋18F（住宅7#）；1栋23F（住宅8#）；沿街商业、养老服务设施及小区相关配套用房。04#地块规划1栋29F+4F公寓和1栋16F+4F公寓，2栋3F商业，2栋4F商业及相关配套用房。</w:t>
            </w:r>
          </w:p>
          <w:p>
            <w:pPr>
              <w:pStyle w:val="2"/>
              <w:spacing w:line="240" w:lineRule="auto"/>
              <w:ind w:firstLine="0" w:firstLineChars="0"/>
              <w:jc w:val="center"/>
              <w:rPr>
                <w:sz w:val="21"/>
                <w:szCs w:val="21"/>
              </w:rPr>
            </w:pPr>
            <w:r>
              <w:rPr>
                <w:b/>
                <w:sz w:val="21"/>
                <w:szCs w:val="21"/>
              </w:rPr>
              <w:t>表</w:t>
            </w:r>
            <w:r>
              <w:rPr>
                <w:rFonts w:hint="eastAsia"/>
                <w:b/>
                <w:sz w:val="21"/>
                <w:szCs w:val="21"/>
              </w:rPr>
              <w:t>2</w:t>
            </w:r>
            <w:r>
              <w:rPr>
                <w:b/>
                <w:sz w:val="21"/>
                <w:szCs w:val="21"/>
              </w:rPr>
              <w:t>-1</w:t>
            </w:r>
            <w:r>
              <w:rPr>
                <w:rFonts w:hint="eastAsia"/>
                <w:b/>
                <w:sz w:val="21"/>
                <w:szCs w:val="21"/>
              </w:rPr>
              <w:t>本项目</w:t>
            </w:r>
            <w:r>
              <w:rPr>
                <w:b/>
                <w:sz w:val="21"/>
                <w:szCs w:val="21"/>
              </w:rPr>
              <w:t>建设</w:t>
            </w:r>
            <w:r>
              <w:rPr>
                <w:rFonts w:hint="eastAsia"/>
                <w:b/>
                <w:sz w:val="21"/>
                <w:szCs w:val="21"/>
              </w:rPr>
              <w:t>内容工程</w:t>
            </w:r>
            <w:r>
              <w:rPr>
                <w:b/>
                <w:sz w:val="21"/>
                <w:szCs w:val="21"/>
              </w:rPr>
              <w:t>组成一览表</w:t>
            </w:r>
          </w:p>
          <w:tbl>
            <w:tblPr>
              <w:tblStyle w:val="18"/>
              <w:tblW w:w="7843" w:type="dxa"/>
              <w:tblInd w:w="-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039"/>
              <w:gridCol w:w="1781"/>
              <w:gridCol w:w="1019"/>
              <w:gridCol w:w="2141"/>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blHeader/>
              </w:trPr>
              <w:tc>
                <w:tcPr>
                  <w:tcW w:w="746" w:type="dxa"/>
                  <w:vAlign w:val="center"/>
                </w:tcPr>
                <w:p>
                  <w:pPr>
                    <w:widowControl/>
                    <w:jc w:val="center"/>
                    <w:rPr>
                      <w:b/>
                      <w:kern w:val="0"/>
                      <w:szCs w:val="21"/>
                    </w:rPr>
                  </w:pPr>
                  <w:r>
                    <w:rPr>
                      <w:b/>
                      <w:kern w:val="0"/>
                      <w:szCs w:val="21"/>
                    </w:rPr>
                    <w:t>工程类别</w:t>
                  </w:r>
                </w:p>
              </w:tc>
              <w:tc>
                <w:tcPr>
                  <w:tcW w:w="1039" w:type="dxa"/>
                  <w:vAlign w:val="center"/>
                </w:tcPr>
                <w:p>
                  <w:pPr>
                    <w:widowControl/>
                    <w:jc w:val="center"/>
                    <w:rPr>
                      <w:b/>
                      <w:kern w:val="0"/>
                      <w:szCs w:val="21"/>
                    </w:rPr>
                  </w:pPr>
                  <w:r>
                    <w:rPr>
                      <w:b/>
                      <w:kern w:val="0"/>
                      <w:szCs w:val="21"/>
                    </w:rPr>
                    <w:t>工程名称</w:t>
                  </w:r>
                </w:p>
              </w:tc>
              <w:tc>
                <w:tcPr>
                  <w:tcW w:w="4941" w:type="dxa"/>
                  <w:gridSpan w:val="3"/>
                  <w:vAlign w:val="center"/>
                </w:tcPr>
                <w:p>
                  <w:pPr>
                    <w:widowControl/>
                    <w:jc w:val="center"/>
                    <w:rPr>
                      <w:b/>
                      <w:kern w:val="0"/>
                      <w:szCs w:val="21"/>
                    </w:rPr>
                  </w:pPr>
                  <w:r>
                    <w:rPr>
                      <w:b/>
                      <w:kern w:val="0"/>
                      <w:szCs w:val="21"/>
                    </w:rPr>
                    <w:t>工程内容</w:t>
                  </w:r>
                </w:p>
              </w:tc>
              <w:tc>
                <w:tcPr>
                  <w:tcW w:w="1117" w:type="dxa"/>
                  <w:vAlign w:val="center"/>
                </w:tcPr>
                <w:p>
                  <w:pPr>
                    <w:widowControl/>
                    <w:jc w:val="center"/>
                    <w:rPr>
                      <w:b/>
                      <w:kern w:val="0"/>
                      <w:szCs w:val="21"/>
                    </w:rPr>
                  </w:pPr>
                  <w:r>
                    <w:rPr>
                      <w:rFonts w:hint="eastAsia"/>
                      <w:b/>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85" w:type="dxa"/>
                  <w:gridSpan w:val="2"/>
                  <w:vMerge w:val="restart"/>
                  <w:vAlign w:val="center"/>
                </w:tcPr>
                <w:p>
                  <w:pPr>
                    <w:widowControl/>
                    <w:jc w:val="center"/>
                    <w:rPr>
                      <w:kern w:val="0"/>
                      <w:szCs w:val="21"/>
                    </w:rPr>
                  </w:pPr>
                  <w:r>
                    <w:rPr>
                      <w:kern w:val="0"/>
                      <w:szCs w:val="21"/>
                    </w:rPr>
                    <w:t>主体工程</w:t>
                  </w:r>
                </w:p>
              </w:tc>
              <w:tc>
                <w:tcPr>
                  <w:tcW w:w="1781" w:type="dxa"/>
                  <w:vMerge w:val="restart"/>
                  <w:vAlign w:val="center"/>
                </w:tcPr>
                <w:p>
                  <w:pPr>
                    <w:widowControl/>
                    <w:rPr>
                      <w:kern w:val="0"/>
                      <w:szCs w:val="21"/>
                    </w:rPr>
                  </w:pPr>
                  <w:r>
                    <w:rPr>
                      <w:rFonts w:hint="eastAsia"/>
                      <w:szCs w:val="21"/>
                    </w:rPr>
                    <w:t>3个地块</w:t>
                  </w:r>
                  <w:r>
                    <w:rPr>
                      <w:rFonts w:hint="eastAsia"/>
                      <w:szCs w:val="21"/>
                      <w:lang w:eastAsia="zh-CN"/>
                    </w:rPr>
                    <w:t>总</w:t>
                  </w:r>
                  <w:r>
                    <w:rPr>
                      <w:rFonts w:hint="eastAsia"/>
                      <w:szCs w:val="21"/>
                      <w:lang w:val="zh-CN"/>
                    </w:rPr>
                    <w:t>净用地面积：</w:t>
                  </w:r>
                  <w:r>
                    <w:rPr>
                      <w:rFonts w:hint="eastAsia"/>
                      <w:szCs w:val="21"/>
                    </w:rPr>
                    <w:t>110638</w:t>
                  </w:r>
                  <w:r>
                    <w:rPr>
                      <w:kern w:val="0"/>
                      <w:szCs w:val="21"/>
                    </w:rPr>
                    <w:t>m²</w:t>
                  </w:r>
                  <w:r>
                    <w:rPr>
                      <w:rFonts w:hint="eastAsia"/>
                      <w:szCs w:val="21"/>
                      <w:lang w:val="zh-CN"/>
                    </w:rPr>
                    <w:t>，建筑面积：</w:t>
                  </w:r>
                  <w:r>
                    <w:rPr>
                      <w:rFonts w:hint="eastAsia"/>
                      <w:szCs w:val="21"/>
                    </w:rPr>
                    <w:t>415659.836</w:t>
                  </w:r>
                  <w:r>
                    <w:rPr>
                      <w:kern w:val="0"/>
                      <w:szCs w:val="21"/>
                    </w:rPr>
                    <w:t>m²</w:t>
                  </w:r>
                </w:p>
              </w:tc>
              <w:tc>
                <w:tcPr>
                  <w:tcW w:w="1019" w:type="dxa"/>
                  <w:vAlign w:val="center"/>
                </w:tcPr>
                <w:p>
                  <w:pPr>
                    <w:widowControl/>
                    <w:jc w:val="center"/>
                    <w:rPr>
                      <w:kern w:val="0"/>
                      <w:szCs w:val="21"/>
                    </w:rPr>
                  </w:pPr>
                  <w:r>
                    <w:rPr>
                      <w:rFonts w:hint="eastAsia"/>
                      <w:kern w:val="0"/>
                      <w:szCs w:val="21"/>
                    </w:rPr>
                    <w:t>02#地块</w:t>
                  </w:r>
                </w:p>
              </w:tc>
              <w:tc>
                <w:tcPr>
                  <w:tcW w:w="2141" w:type="dxa"/>
                  <w:vAlign w:val="center"/>
                </w:tcPr>
                <w:p>
                  <w:pPr>
                    <w:widowControl/>
                    <w:jc w:val="left"/>
                    <w:rPr>
                      <w:rFonts w:hint="eastAsia" w:eastAsia="宋体"/>
                      <w:kern w:val="0"/>
                      <w:szCs w:val="21"/>
                      <w:lang w:eastAsia="zh-CN"/>
                    </w:rPr>
                  </w:pPr>
                  <w:r>
                    <w:rPr>
                      <w:rFonts w:hint="eastAsia"/>
                      <w:kern w:val="0"/>
                      <w:szCs w:val="21"/>
                      <w:lang w:eastAsia="zh-CN"/>
                    </w:rPr>
                    <w:t>净</w:t>
                  </w:r>
                  <w:r>
                    <w:rPr>
                      <w:rFonts w:hint="eastAsia"/>
                      <w:kern w:val="0"/>
                      <w:szCs w:val="21"/>
                    </w:rPr>
                    <w:t>用地面积</w:t>
                  </w:r>
                  <w:r>
                    <w:rPr>
                      <w:rFonts w:hint="eastAsia"/>
                      <w:kern w:val="0"/>
                      <w:szCs w:val="21"/>
                      <w:lang w:eastAsia="zh-CN"/>
                    </w:rPr>
                    <w:t>：</w:t>
                  </w:r>
                  <w:r>
                    <w:rPr>
                      <w:rFonts w:hint="eastAsia"/>
                      <w:kern w:val="0"/>
                      <w:szCs w:val="21"/>
                      <w:lang w:val="en-US" w:eastAsia="zh-CN"/>
                    </w:rPr>
                    <w:t>69068</w:t>
                  </w:r>
                  <w:r>
                    <w:rPr>
                      <w:kern w:val="0"/>
                      <w:szCs w:val="21"/>
                    </w:rPr>
                    <w:t>m²</w:t>
                  </w:r>
                  <w:r>
                    <w:rPr>
                      <w:rFonts w:hint="eastAsia"/>
                      <w:kern w:val="0"/>
                      <w:szCs w:val="21"/>
                    </w:rPr>
                    <w:t>，建筑面积</w:t>
                  </w:r>
                  <w:r>
                    <w:rPr>
                      <w:rFonts w:hint="eastAsia"/>
                      <w:lang w:eastAsia="zh-CN"/>
                    </w:rPr>
                    <w:t>：</w:t>
                  </w:r>
                  <w:r>
                    <w:rPr>
                      <w:rFonts w:hint="eastAsia"/>
                      <w:lang w:val="en-US" w:eastAsia="zh-CN"/>
                    </w:rPr>
                    <w:t>201964.116</w:t>
                  </w:r>
                  <w:r>
                    <w:rPr>
                      <w:kern w:val="0"/>
                      <w:szCs w:val="21"/>
                    </w:rPr>
                    <w:t>m²</w:t>
                  </w:r>
                  <w:r>
                    <w:rPr>
                      <w:rFonts w:hint="eastAsia"/>
                      <w:lang w:eastAsia="zh-CN"/>
                    </w:rPr>
                    <w:t>。</w:t>
                  </w:r>
                </w:p>
                <w:p>
                  <w:pPr>
                    <w:widowControl/>
                    <w:jc w:val="left"/>
                    <w:rPr>
                      <w:kern w:val="0"/>
                      <w:szCs w:val="21"/>
                    </w:rPr>
                  </w:pPr>
                  <w:r>
                    <w:rPr>
                      <w:rFonts w:hint="eastAsia"/>
                      <w:kern w:val="0"/>
                      <w:szCs w:val="21"/>
                    </w:rPr>
                    <w:t>设置22栋住宅</w:t>
                  </w:r>
                  <w:r>
                    <w:rPr>
                      <w:rFonts w:hint="eastAsia"/>
                      <w:color w:val="auto"/>
                      <w:kern w:val="0"/>
                      <w:szCs w:val="21"/>
                    </w:rPr>
                    <w:t>楼</w:t>
                  </w:r>
                  <w:r>
                    <w:rPr>
                      <w:rFonts w:hint="eastAsia"/>
                      <w:kern w:val="0"/>
                      <w:szCs w:val="21"/>
                    </w:rPr>
                    <w:t>：5栋17F（住宅12#、13#、14#、15#、16#）；3栋34F（住宅10#、17#、18#）；1栋30F（住宅9#）；1栋32F（住宅11#）；12栋6F（住宅19#、20#、21#、22#、23#、24#、25#、26#、27#、28#、29#、30#）</w:t>
                  </w:r>
                </w:p>
              </w:tc>
              <w:tc>
                <w:tcPr>
                  <w:tcW w:w="1117" w:type="dxa"/>
                  <w:vAlign w:val="center"/>
                </w:tcPr>
                <w:p>
                  <w:pPr>
                    <w:widowControl/>
                    <w:jc w:val="left"/>
                    <w:rPr>
                      <w:rFonts w:hint="default"/>
                      <w:lang w:val="en-US" w:eastAsia="zh-CN"/>
                    </w:rPr>
                  </w:pPr>
                  <w:r>
                    <w:rPr>
                      <w:rFonts w:hint="eastAsia"/>
                      <w:kern w:val="0"/>
                      <w:szCs w:val="21"/>
                    </w:rPr>
                    <w:t>目前</w:t>
                  </w:r>
                  <w:r>
                    <w:rPr>
                      <w:rFonts w:hint="eastAsia"/>
                      <w:lang w:val="en-US" w:eastAsia="zh-CN"/>
                    </w:rPr>
                    <w:t>02#地块：住宅9#、10#、11#、12#、14#、15#、17#、18#、主体及配套工程正在建设中；</w:t>
                  </w:r>
                </w:p>
                <w:p>
                  <w:pPr>
                    <w:widowControl/>
                    <w:jc w:val="left"/>
                    <w:rPr>
                      <w:rFonts w:hint="default" w:eastAsia="宋体"/>
                      <w:kern w:val="0"/>
                      <w:szCs w:val="21"/>
                      <w:lang w:val="en-US" w:eastAsia="zh-CN"/>
                    </w:rPr>
                  </w:pPr>
                  <w:r>
                    <w:rPr>
                      <w:rFonts w:hint="eastAsia"/>
                      <w:lang w:val="en-US" w:eastAsia="zh-CN"/>
                    </w:rPr>
                    <w:t>住宅13#、16#、19#—30#主体工程已建成。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85" w:type="dxa"/>
                  <w:gridSpan w:val="2"/>
                  <w:vMerge w:val="continue"/>
                  <w:vAlign w:val="center"/>
                </w:tcPr>
                <w:p>
                  <w:pPr>
                    <w:widowControl/>
                  </w:pPr>
                </w:p>
              </w:tc>
              <w:tc>
                <w:tcPr>
                  <w:tcW w:w="1781" w:type="dxa"/>
                  <w:vMerge w:val="continue"/>
                  <w:vAlign w:val="center"/>
                </w:tcPr>
                <w:p>
                  <w:pPr>
                    <w:widowControl/>
                  </w:pPr>
                </w:p>
              </w:tc>
              <w:tc>
                <w:tcPr>
                  <w:tcW w:w="1019" w:type="dxa"/>
                  <w:vAlign w:val="center"/>
                </w:tcPr>
                <w:p>
                  <w:pPr>
                    <w:widowControl/>
                    <w:jc w:val="center"/>
                    <w:rPr>
                      <w:kern w:val="0"/>
                      <w:szCs w:val="21"/>
                    </w:rPr>
                  </w:pPr>
                  <w:r>
                    <w:rPr>
                      <w:rFonts w:hint="eastAsia"/>
                      <w:kern w:val="0"/>
                      <w:szCs w:val="21"/>
                    </w:rPr>
                    <w:t>03#地块</w:t>
                  </w:r>
                </w:p>
              </w:tc>
              <w:tc>
                <w:tcPr>
                  <w:tcW w:w="2141" w:type="dxa"/>
                  <w:vAlign w:val="center"/>
                </w:tcPr>
                <w:p>
                  <w:pPr>
                    <w:widowControl/>
                    <w:jc w:val="left"/>
                    <w:rPr>
                      <w:rFonts w:hint="eastAsia" w:eastAsia="宋体"/>
                      <w:kern w:val="0"/>
                      <w:szCs w:val="21"/>
                      <w:lang w:eastAsia="zh-CN"/>
                    </w:rPr>
                  </w:pPr>
                  <w:r>
                    <w:rPr>
                      <w:rFonts w:hint="eastAsia"/>
                      <w:kern w:val="0"/>
                      <w:szCs w:val="21"/>
                      <w:lang w:eastAsia="zh-CN"/>
                    </w:rPr>
                    <w:t>净</w:t>
                  </w:r>
                  <w:r>
                    <w:rPr>
                      <w:rFonts w:hint="eastAsia"/>
                      <w:kern w:val="0"/>
                      <w:szCs w:val="21"/>
                    </w:rPr>
                    <w:t>用地面积</w:t>
                  </w:r>
                  <w:r>
                    <w:rPr>
                      <w:rFonts w:hint="eastAsia"/>
                      <w:kern w:val="0"/>
                      <w:szCs w:val="21"/>
                      <w:lang w:eastAsia="zh-CN"/>
                    </w:rPr>
                    <w:t>：</w:t>
                  </w:r>
                  <w:r>
                    <w:rPr>
                      <w:rFonts w:hint="eastAsia"/>
                      <w:kern w:val="0"/>
                      <w:szCs w:val="21"/>
                      <w:lang w:val="en-US" w:eastAsia="zh-CN"/>
                    </w:rPr>
                    <w:t>29294</w:t>
                  </w:r>
                  <w:r>
                    <w:rPr>
                      <w:kern w:val="0"/>
                      <w:szCs w:val="21"/>
                    </w:rPr>
                    <w:t>m²</w:t>
                  </w:r>
                  <w:r>
                    <w:rPr>
                      <w:rFonts w:hint="eastAsia"/>
                      <w:kern w:val="0"/>
                      <w:szCs w:val="21"/>
                    </w:rPr>
                    <w:t>，建筑面积</w:t>
                  </w:r>
                  <w:r>
                    <w:rPr>
                      <w:rFonts w:hint="eastAsia"/>
                      <w:kern w:val="0"/>
                      <w:szCs w:val="21"/>
                      <w:lang w:eastAsia="zh-CN"/>
                    </w:rPr>
                    <w:t>：</w:t>
                  </w:r>
                  <w:r>
                    <w:rPr>
                      <w:rFonts w:hint="eastAsia"/>
                      <w:kern w:val="0"/>
                      <w:szCs w:val="21"/>
                      <w:lang w:val="en-US" w:eastAsia="zh-CN"/>
                    </w:rPr>
                    <w:t>145713.126</w:t>
                  </w:r>
                  <w:r>
                    <w:rPr>
                      <w:kern w:val="0"/>
                      <w:szCs w:val="21"/>
                    </w:rPr>
                    <w:t>m²</w:t>
                  </w:r>
                  <w:r>
                    <w:rPr>
                      <w:rFonts w:hint="eastAsia"/>
                      <w:kern w:val="0"/>
                      <w:szCs w:val="21"/>
                      <w:lang w:eastAsia="zh-CN"/>
                    </w:rPr>
                    <w:t>。</w:t>
                  </w:r>
                </w:p>
                <w:p>
                  <w:pPr>
                    <w:widowControl/>
                    <w:jc w:val="left"/>
                    <w:rPr>
                      <w:kern w:val="0"/>
                      <w:szCs w:val="21"/>
                    </w:rPr>
                  </w:pPr>
                  <w:r>
                    <w:rPr>
                      <w:rFonts w:hint="eastAsia"/>
                      <w:kern w:val="0"/>
                      <w:szCs w:val="21"/>
                    </w:rPr>
                    <w:t>设置</w:t>
                  </w:r>
                  <w:r>
                    <w:rPr>
                      <w:rFonts w:hint="eastAsia"/>
                      <w:kern w:val="0"/>
                      <w:szCs w:val="21"/>
                      <w:lang w:val="en-US" w:eastAsia="zh-CN"/>
                    </w:rPr>
                    <w:t>8栋住宅楼。</w:t>
                  </w:r>
                  <w:r>
                    <w:rPr>
                      <w:rFonts w:hint="eastAsia"/>
                      <w:kern w:val="0"/>
                      <w:szCs w:val="21"/>
                    </w:rPr>
                    <w:t>2栋32F（住宅1#、3#）；3栋33F（2#、4#、5#）；1栋31F（住宅6#）；1栋18F（住宅7#）；1栋23F（住宅8#）</w:t>
                  </w:r>
                </w:p>
              </w:tc>
              <w:tc>
                <w:tcPr>
                  <w:tcW w:w="1117" w:type="dxa"/>
                  <w:vAlign w:val="center"/>
                </w:tcPr>
                <w:p>
                  <w:pPr>
                    <w:widowControl/>
                    <w:jc w:val="left"/>
                    <w:rPr>
                      <w:rFonts w:hint="default" w:eastAsia="宋体"/>
                      <w:kern w:val="0"/>
                      <w:szCs w:val="21"/>
                      <w:lang w:val="en-US" w:eastAsia="zh-CN"/>
                    </w:rPr>
                  </w:pPr>
                  <w:r>
                    <w:rPr>
                      <w:rFonts w:hint="eastAsia"/>
                      <w:kern w:val="0"/>
                      <w:szCs w:val="21"/>
                      <w:lang w:eastAsia="zh-CN"/>
                    </w:rPr>
                    <w:t>目前住宅</w:t>
                  </w:r>
                  <w:r>
                    <w:rPr>
                      <w:rFonts w:hint="eastAsia"/>
                      <w:kern w:val="0"/>
                      <w:szCs w:val="21"/>
                      <w:lang w:val="en-US" w:eastAsia="zh-CN"/>
                    </w:rPr>
                    <w:t>1#—8#主体工程已建成，抹灰、外墙涂料等配套工程实施中。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85" w:type="dxa"/>
                  <w:gridSpan w:val="2"/>
                  <w:vMerge w:val="continue"/>
                  <w:vAlign w:val="center"/>
                </w:tcPr>
                <w:p>
                  <w:pPr>
                    <w:widowControl/>
                    <w:rPr>
                      <w:color w:val="FF0000"/>
                      <w:kern w:val="0"/>
                      <w:szCs w:val="21"/>
                    </w:rPr>
                  </w:pPr>
                </w:p>
              </w:tc>
              <w:tc>
                <w:tcPr>
                  <w:tcW w:w="1781" w:type="dxa"/>
                  <w:vMerge w:val="continue"/>
                  <w:vAlign w:val="center"/>
                </w:tcPr>
                <w:p>
                  <w:pPr>
                    <w:widowControl/>
                    <w:rPr>
                      <w:color w:val="FF0000"/>
                      <w:kern w:val="0"/>
                      <w:szCs w:val="21"/>
                    </w:rPr>
                  </w:pPr>
                </w:p>
              </w:tc>
              <w:tc>
                <w:tcPr>
                  <w:tcW w:w="1019" w:type="dxa"/>
                  <w:vAlign w:val="center"/>
                </w:tcPr>
                <w:p>
                  <w:pPr>
                    <w:widowControl/>
                    <w:jc w:val="center"/>
                    <w:rPr>
                      <w:kern w:val="0"/>
                      <w:szCs w:val="21"/>
                    </w:rPr>
                  </w:pPr>
                  <w:r>
                    <w:rPr>
                      <w:rFonts w:hint="eastAsia"/>
                      <w:kern w:val="0"/>
                      <w:szCs w:val="21"/>
                    </w:rPr>
                    <w:t>04#地块</w:t>
                  </w:r>
                </w:p>
              </w:tc>
              <w:tc>
                <w:tcPr>
                  <w:tcW w:w="2141" w:type="dxa"/>
                  <w:vAlign w:val="center"/>
                </w:tcPr>
                <w:p>
                  <w:pPr>
                    <w:widowControl/>
                    <w:jc w:val="left"/>
                    <w:rPr>
                      <w:rFonts w:hint="eastAsia" w:eastAsia="宋体"/>
                      <w:kern w:val="0"/>
                      <w:szCs w:val="21"/>
                      <w:lang w:eastAsia="zh-CN"/>
                    </w:rPr>
                  </w:pPr>
                  <w:r>
                    <w:rPr>
                      <w:rFonts w:hint="eastAsia"/>
                      <w:kern w:val="0"/>
                      <w:szCs w:val="21"/>
                      <w:lang w:eastAsia="zh-CN"/>
                    </w:rPr>
                    <w:t>净</w:t>
                  </w:r>
                  <w:r>
                    <w:rPr>
                      <w:rFonts w:hint="eastAsia"/>
                      <w:kern w:val="0"/>
                      <w:szCs w:val="21"/>
                    </w:rPr>
                    <w:t>用地面积</w:t>
                  </w:r>
                  <w:r>
                    <w:rPr>
                      <w:rFonts w:hint="eastAsia"/>
                      <w:kern w:val="0"/>
                      <w:szCs w:val="21"/>
                      <w:lang w:eastAsia="zh-CN"/>
                    </w:rPr>
                    <w:t>：</w:t>
                  </w:r>
                  <w:r>
                    <w:rPr>
                      <w:rFonts w:hint="eastAsia"/>
                      <w:kern w:val="0"/>
                      <w:szCs w:val="21"/>
                      <w:lang w:val="en-US" w:eastAsia="zh-CN"/>
                    </w:rPr>
                    <w:t>12276</w:t>
                  </w:r>
                  <w:r>
                    <w:rPr>
                      <w:kern w:val="0"/>
                      <w:szCs w:val="21"/>
                    </w:rPr>
                    <w:t>m²</w:t>
                  </w:r>
                  <w:r>
                    <w:rPr>
                      <w:rFonts w:hint="eastAsia"/>
                      <w:kern w:val="0"/>
                      <w:szCs w:val="21"/>
                    </w:rPr>
                    <w:t>，建筑面积</w:t>
                  </w:r>
                  <w:r>
                    <w:rPr>
                      <w:rFonts w:hint="eastAsia"/>
                      <w:kern w:val="0"/>
                      <w:szCs w:val="21"/>
                      <w:lang w:eastAsia="zh-CN"/>
                    </w:rPr>
                    <w:t>：</w:t>
                  </w:r>
                  <w:r>
                    <w:rPr>
                      <w:rFonts w:hint="eastAsia"/>
                      <w:kern w:val="0"/>
                      <w:szCs w:val="21"/>
                      <w:lang w:val="en-US" w:eastAsia="zh-CN"/>
                    </w:rPr>
                    <w:t>67982.594</w:t>
                  </w:r>
                  <w:r>
                    <w:rPr>
                      <w:kern w:val="0"/>
                      <w:szCs w:val="21"/>
                    </w:rPr>
                    <w:t>m²</w:t>
                  </w:r>
                  <w:r>
                    <w:rPr>
                      <w:rFonts w:hint="eastAsia"/>
                      <w:kern w:val="0"/>
                      <w:szCs w:val="21"/>
                      <w:lang w:eastAsia="zh-CN"/>
                    </w:rPr>
                    <w:t>。</w:t>
                  </w:r>
                </w:p>
                <w:p>
                  <w:pPr>
                    <w:widowControl/>
                    <w:jc w:val="left"/>
                    <w:rPr>
                      <w:kern w:val="0"/>
                      <w:szCs w:val="21"/>
                    </w:rPr>
                  </w:pPr>
                  <w:r>
                    <w:rPr>
                      <w:rFonts w:hint="eastAsia"/>
                      <w:kern w:val="0"/>
                      <w:szCs w:val="21"/>
                    </w:rPr>
                    <w:t>设置1栋29F+4F</w:t>
                  </w:r>
                  <w:r>
                    <w:rPr>
                      <w:rFonts w:hint="eastAsia"/>
                      <w:kern w:val="0"/>
                      <w:szCs w:val="21"/>
                      <w:lang w:val="en-US" w:eastAsia="zh-CN"/>
                    </w:rPr>
                    <w:t xml:space="preserve"> SOHO</w:t>
                  </w:r>
                  <w:r>
                    <w:rPr>
                      <w:rFonts w:hint="eastAsia"/>
                      <w:kern w:val="0"/>
                      <w:szCs w:val="21"/>
                    </w:rPr>
                    <w:t>公寓和1栋16F+4F</w:t>
                  </w:r>
                  <w:r>
                    <w:rPr>
                      <w:rFonts w:hint="eastAsia"/>
                      <w:kern w:val="0"/>
                      <w:szCs w:val="21"/>
                      <w:lang w:val="en-US" w:eastAsia="zh-CN"/>
                    </w:rPr>
                    <w:t xml:space="preserve"> SOHO</w:t>
                  </w:r>
                  <w:r>
                    <w:rPr>
                      <w:rFonts w:hint="eastAsia"/>
                      <w:kern w:val="0"/>
                      <w:szCs w:val="21"/>
                    </w:rPr>
                    <w:t>公寓</w:t>
                  </w:r>
                </w:p>
              </w:tc>
              <w:tc>
                <w:tcPr>
                  <w:tcW w:w="1117" w:type="dxa"/>
                  <w:vAlign w:val="center"/>
                </w:tcPr>
                <w:p>
                  <w:pPr>
                    <w:widowControl/>
                    <w:jc w:val="left"/>
                    <w:rPr>
                      <w:rFonts w:hint="eastAsia" w:eastAsia="宋体"/>
                      <w:kern w:val="0"/>
                      <w:szCs w:val="21"/>
                      <w:lang w:eastAsia="zh-CN"/>
                    </w:rPr>
                  </w:pPr>
                  <w:r>
                    <w:rPr>
                      <w:rFonts w:hint="eastAsia"/>
                      <w:kern w:val="0"/>
                      <w:szCs w:val="21"/>
                      <w:lang w:eastAsia="zh-CN"/>
                    </w:rPr>
                    <w:t>目前处于土方开挖阶段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8" w:hRule="atLeast"/>
              </w:trPr>
              <w:tc>
                <w:tcPr>
                  <w:tcW w:w="746" w:type="dxa"/>
                  <w:vMerge w:val="restart"/>
                  <w:vAlign w:val="center"/>
                </w:tcPr>
                <w:p>
                  <w:pPr>
                    <w:widowControl/>
                    <w:jc w:val="center"/>
                    <w:rPr>
                      <w:kern w:val="0"/>
                      <w:szCs w:val="21"/>
                    </w:rPr>
                  </w:pPr>
                  <w:r>
                    <w:rPr>
                      <w:kern w:val="0"/>
                      <w:szCs w:val="21"/>
                    </w:rPr>
                    <w:t>配套工程</w:t>
                  </w:r>
                </w:p>
              </w:tc>
              <w:tc>
                <w:tcPr>
                  <w:tcW w:w="1039" w:type="dxa"/>
                  <w:vAlign w:val="center"/>
                </w:tcPr>
                <w:p>
                  <w:pPr>
                    <w:widowControl/>
                    <w:jc w:val="center"/>
                    <w:rPr>
                      <w:kern w:val="0"/>
                      <w:szCs w:val="21"/>
                    </w:rPr>
                  </w:pPr>
                  <w:r>
                    <w:rPr>
                      <w:kern w:val="0"/>
                      <w:szCs w:val="21"/>
                    </w:rPr>
                    <w:t>社区服务</w:t>
                  </w:r>
                  <w:r>
                    <w:rPr>
                      <w:rFonts w:hint="eastAsia"/>
                      <w:kern w:val="0"/>
                      <w:szCs w:val="21"/>
                    </w:rPr>
                    <w:t>站</w:t>
                  </w:r>
                </w:p>
              </w:tc>
              <w:tc>
                <w:tcPr>
                  <w:tcW w:w="2800" w:type="dxa"/>
                  <w:gridSpan w:val="2"/>
                  <w:vAlign w:val="center"/>
                </w:tcPr>
                <w:p>
                  <w:pPr>
                    <w:widowControl/>
                    <w:jc w:val="center"/>
                    <w:rPr>
                      <w:kern w:val="0"/>
                      <w:szCs w:val="21"/>
                    </w:rPr>
                  </w:pPr>
                  <w:r>
                    <w:rPr>
                      <w:kern w:val="0"/>
                      <w:szCs w:val="21"/>
                    </w:rPr>
                    <w:t>建筑面积：</w:t>
                  </w:r>
                  <w:r>
                    <w:rPr>
                      <w:rFonts w:hint="eastAsia"/>
                      <w:szCs w:val="21"/>
                    </w:rPr>
                    <w:t>1001.350</w:t>
                  </w:r>
                  <w:r>
                    <w:rPr>
                      <w:kern w:val="0"/>
                      <w:szCs w:val="21"/>
                    </w:rPr>
                    <w:t>m²</w:t>
                  </w:r>
                </w:p>
              </w:tc>
              <w:tc>
                <w:tcPr>
                  <w:tcW w:w="2141" w:type="dxa"/>
                  <w:vAlign w:val="center"/>
                </w:tcPr>
                <w:p>
                  <w:pPr>
                    <w:widowControl/>
                    <w:jc w:val="left"/>
                    <w:rPr>
                      <w:kern w:val="0"/>
                      <w:szCs w:val="21"/>
                    </w:rPr>
                  </w:pPr>
                  <w:r>
                    <w:rPr>
                      <w:rFonts w:hint="eastAsia"/>
                      <w:kern w:val="0"/>
                      <w:szCs w:val="21"/>
                    </w:rPr>
                    <w:t>位于02#地块：住宅9#1F</w:t>
                  </w:r>
                </w:p>
              </w:tc>
              <w:tc>
                <w:tcPr>
                  <w:tcW w:w="1117" w:type="dxa"/>
                  <w:vAlign w:val="center"/>
                </w:tcPr>
                <w:p>
                  <w:pPr>
                    <w:widowControl/>
                    <w:jc w:val="center"/>
                    <w:rPr>
                      <w:rFonts w:hint="eastAsia" w:eastAsia="宋体"/>
                      <w:kern w:val="0"/>
                      <w:szCs w:val="21"/>
                      <w:lang w:eastAsia="zh-CN"/>
                    </w:rPr>
                  </w:pPr>
                  <w:r>
                    <w:rPr>
                      <w:rFonts w:hint="eastAsia"/>
                      <w:kern w:val="0"/>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trPr>
              <w:tc>
                <w:tcPr>
                  <w:tcW w:w="746" w:type="dxa"/>
                  <w:vMerge w:val="continue"/>
                  <w:vAlign w:val="center"/>
                </w:tcPr>
                <w:p>
                  <w:pPr>
                    <w:widowControl/>
                    <w:jc w:val="center"/>
                    <w:rPr>
                      <w:kern w:val="0"/>
                      <w:szCs w:val="21"/>
                    </w:rPr>
                  </w:pPr>
                </w:p>
              </w:tc>
              <w:tc>
                <w:tcPr>
                  <w:tcW w:w="1039" w:type="dxa"/>
                  <w:vMerge w:val="restart"/>
                  <w:vAlign w:val="center"/>
                </w:tcPr>
                <w:p>
                  <w:pPr>
                    <w:widowControl/>
                    <w:jc w:val="center"/>
                    <w:rPr>
                      <w:kern w:val="0"/>
                      <w:szCs w:val="21"/>
                    </w:rPr>
                  </w:pPr>
                  <w:r>
                    <w:rPr>
                      <w:kern w:val="0"/>
                      <w:szCs w:val="21"/>
                    </w:rPr>
                    <w:t>物</w:t>
                  </w:r>
                  <w:r>
                    <w:rPr>
                      <w:rFonts w:hint="eastAsia"/>
                      <w:kern w:val="0"/>
                      <w:szCs w:val="21"/>
                    </w:rPr>
                    <w:t>管及门卫</w:t>
                  </w:r>
                </w:p>
              </w:tc>
              <w:tc>
                <w:tcPr>
                  <w:tcW w:w="2800" w:type="dxa"/>
                  <w:gridSpan w:val="2"/>
                  <w:vMerge w:val="restart"/>
                  <w:vAlign w:val="center"/>
                </w:tcPr>
                <w:p>
                  <w:pPr>
                    <w:widowControl/>
                    <w:jc w:val="center"/>
                    <w:rPr>
                      <w:kern w:val="0"/>
                      <w:szCs w:val="21"/>
                    </w:rPr>
                  </w:pPr>
                  <w:r>
                    <w:rPr>
                      <w:kern w:val="0"/>
                      <w:szCs w:val="21"/>
                    </w:rPr>
                    <w:t>建筑面积：</w:t>
                  </w:r>
                  <w:r>
                    <w:rPr>
                      <w:rFonts w:hint="eastAsia"/>
                      <w:szCs w:val="21"/>
                    </w:rPr>
                    <w:t>2690.947</w:t>
                  </w:r>
                  <w:r>
                    <w:rPr>
                      <w:kern w:val="0"/>
                      <w:szCs w:val="21"/>
                    </w:rPr>
                    <w:t>m²</w:t>
                  </w:r>
                </w:p>
              </w:tc>
              <w:tc>
                <w:tcPr>
                  <w:tcW w:w="2141" w:type="dxa"/>
                  <w:vAlign w:val="center"/>
                </w:tcPr>
                <w:p>
                  <w:pPr>
                    <w:widowControl/>
                    <w:jc w:val="left"/>
                    <w:rPr>
                      <w:rFonts w:hint="eastAsia"/>
                      <w:kern w:val="0"/>
                      <w:szCs w:val="21"/>
                    </w:rPr>
                  </w:pPr>
                  <w:r>
                    <w:rPr>
                      <w:rFonts w:hint="eastAsia"/>
                      <w:kern w:val="0"/>
                      <w:szCs w:val="21"/>
                    </w:rPr>
                    <w:t>建筑面积</w:t>
                  </w:r>
                  <w:r>
                    <w:rPr>
                      <w:rFonts w:hint="eastAsia"/>
                      <w:kern w:val="0"/>
                      <w:szCs w:val="21"/>
                      <w:lang w:eastAsia="zh-CN"/>
                    </w:rPr>
                    <w:t>：</w:t>
                  </w:r>
                  <w:r>
                    <w:rPr>
                      <w:rFonts w:hint="eastAsia"/>
                      <w:kern w:val="0"/>
                      <w:szCs w:val="21"/>
                      <w:lang w:val="en-US" w:eastAsia="zh-CN"/>
                    </w:rPr>
                    <w:t>954.075</w:t>
                  </w:r>
                  <w:r>
                    <w:rPr>
                      <w:kern w:val="0"/>
                      <w:szCs w:val="21"/>
                    </w:rPr>
                    <w:t>m²</w:t>
                  </w:r>
                  <w:r>
                    <w:rPr>
                      <w:rFonts w:hint="eastAsia"/>
                      <w:kern w:val="0"/>
                      <w:szCs w:val="21"/>
                      <w:lang w:eastAsia="zh-CN"/>
                    </w:rPr>
                    <w:t>；</w:t>
                  </w:r>
                </w:p>
                <w:p>
                  <w:pPr>
                    <w:widowControl/>
                    <w:jc w:val="left"/>
                    <w:rPr>
                      <w:szCs w:val="21"/>
                    </w:rPr>
                  </w:pPr>
                  <w:r>
                    <w:rPr>
                      <w:rFonts w:hint="eastAsia"/>
                      <w:szCs w:val="21"/>
                    </w:rPr>
                    <w:t>位于02#地块住宅17#、住宅18#的1F和住宅17#、18#栋之间；</w:t>
                  </w:r>
                </w:p>
              </w:tc>
              <w:tc>
                <w:tcPr>
                  <w:tcW w:w="1117" w:type="dxa"/>
                  <w:vAlign w:val="center"/>
                </w:tcPr>
                <w:p>
                  <w:pPr>
                    <w:pStyle w:val="23"/>
                    <w:jc w:val="center"/>
                    <w:rPr>
                      <w:rFonts w:hint="eastAsia" w:ascii="Times New Roman" w:eastAsia="宋体"/>
                      <w:sz w:val="21"/>
                      <w:szCs w:val="21"/>
                      <w:lang w:eastAsia="zh-CN"/>
                    </w:rPr>
                  </w:pPr>
                  <w:r>
                    <w:rPr>
                      <w:rFonts w:hint="eastAsia" w:ascii="Times New Roman"/>
                      <w:sz w:val="21"/>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746" w:type="dxa"/>
                  <w:vMerge w:val="continue"/>
                  <w:vAlign w:val="center"/>
                </w:tcPr>
                <w:p>
                  <w:pPr>
                    <w:widowControl/>
                    <w:jc w:val="center"/>
                    <w:rPr>
                      <w:kern w:val="0"/>
                      <w:szCs w:val="21"/>
                    </w:rPr>
                  </w:pPr>
                </w:p>
              </w:tc>
              <w:tc>
                <w:tcPr>
                  <w:tcW w:w="1039" w:type="dxa"/>
                  <w:vMerge w:val="continue"/>
                  <w:vAlign w:val="center"/>
                </w:tcPr>
                <w:p>
                  <w:pPr>
                    <w:widowControl/>
                    <w:jc w:val="center"/>
                    <w:rPr>
                      <w:kern w:val="0"/>
                      <w:szCs w:val="21"/>
                    </w:rPr>
                  </w:pPr>
                </w:p>
              </w:tc>
              <w:tc>
                <w:tcPr>
                  <w:tcW w:w="2800" w:type="dxa"/>
                  <w:gridSpan w:val="2"/>
                  <w:vMerge w:val="continue"/>
                  <w:vAlign w:val="center"/>
                </w:tcPr>
                <w:p>
                  <w:pPr>
                    <w:widowControl/>
                    <w:jc w:val="center"/>
                    <w:rPr>
                      <w:kern w:val="0"/>
                      <w:szCs w:val="21"/>
                    </w:rPr>
                  </w:pPr>
                </w:p>
              </w:tc>
              <w:tc>
                <w:tcPr>
                  <w:tcW w:w="2141" w:type="dxa"/>
                  <w:vAlign w:val="center"/>
                </w:tcPr>
                <w:p>
                  <w:pPr>
                    <w:widowControl/>
                    <w:jc w:val="left"/>
                    <w:rPr>
                      <w:rFonts w:hint="eastAsia"/>
                      <w:kern w:val="0"/>
                      <w:szCs w:val="21"/>
                    </w:rPr>
                  </w:pPr>
                  <w:r>
                    <w:rPr>
                      <w:rFonts w:hint="eastAsia"/>
                      <w:kern w:val="0"/>
                      <w:szCs w:val="21"/>
                    </w:rPr>
                    <w:t>建筑面积</w:t>
                  </w:r>
                  <w:r>
                    <w:rPr>
                      <w:rFonts w:hint="eastAsia"/>
                      <w:kern w:val="0"/>
                      <w:szCs w:val="21"/>
                      <w:lang w:eastAsia="zh-CN"/>
                    </w:rPr>
                    <w:t>：</w:t>
                  </w:r>
                  <w:r>
                    <w:rPr>
                      <w:rFonts w:hint="eastAsia"/>
                      <w:kern w:val="0"/>
                      <w:szCs w:val="21"/>
                      <w:lang w:val="en-US" w:eastAsia="zh-CN"/>
                    </w:rPr>
                    <w:t>900.578</w:t>
                  </w:r>
                  <w:r>
                    <w:rPr>
                      <w:kern w:val="0"/>
                      <w:szCs w:val="21"/>
                    </w:rPr>
                    <w:t>m²</w:t>
                  </w:r>
                  <w:r>
                    <w:rPr>
                      <w:rFonts w:hint="eastAsia"/>
                      <w:kern w:val="0"/>
                      <w:szCs w:val="21"/>
                      <w:lang w:eastAsia="zh-CN"/>
                    </w:rPr>
                    <w:t>；</w:t>
                  </w:r>
                </w:p>
                <w:p>
                  <w:pPr>
                    <w:pStyle w:val="23"/>
                    <w:jc w:val="left"/>
                    <w:rPr>
                      <w:rFonts w:ascii="Times New Roman"/>
                      <w:sz w:val="21"/>
                      <w:szCs w:val="21"/>
                    </w:rPr>
                  </w:pPr>
                  <w:r>
                    <w:rPr>
                      <w:rFonts w:hint="default" w:ascii="Times New Roman"/>
                      <w:sz w:val="21"/>
                      <w:szCs w:val="21"/>
                    </w:rPr>
                    <w:t>位于03#地块住宅6#和住宅8#之间、住宅1#和住</w:t>
                  </w:r>
                  <w:r>
                    <w:rPr>
                      <w:rFonts w:ascii="Times New Roman"/>
                      <w:sz w:val="21"/>
                      <w:szCs w:val="21"/>
                    </w:rPr>
                    <w:t>宅2#的1F</w:t>
                  </w:r>
                </w:p>
              </w:tc>
              <w:tc>
                <w:tcPr>
                  <w:tcW w:w="1117" w:type="dxa"/>
                  <w:vAlign w:val="center"/>
                </w:tcPr>
                <w:p>
                  <w:pPr>
                    <w:pStyle w:val="23"/>
                    <w:jc w:val="center"/>
                    <w:rPr>
                      <w:rFonts w:hint="default" w:ascii="Times New Roman" w:eastAsia="宋体"/>
                      <w:sz w:val="21"/>
                      <w:szCs w:val="21"/>
                      <w:lang w:val="en-US" w:eastAsia="zh-CN"/>
                    </w:rPr>
                  </w:pPr>
                  <w:r>
                    <w:rPr>
                      <w:rFonts w:hint="eastAsia" w:ascii="Times New Roman"/>
                      <w:sz w:val="21"/>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746" w:type="dxa"/>
                  <w:vMerge w:val="continue"/>
                  <w:vAlign w:val="center"/>
                </w:tcPr>
                <w:p>
                  <w:pPr>
                    <w:widowControl/>
                    <w:jc w:val="center"/>
                    <w:rPr>
                      <w:kern w:val="0"/>
                      <w:szCs w:val="21"/>
                    </w:rPr>
                  </w:pPr>
                </w:p>
              </w:tc>
              <w:tc>
                <w:tcPr>
                  <w:tcW w:w="1039" w:type="dxa"/>
                  <w:vMerge w:val="continue"/>
                  <w:vAlign w:val="center"/>
                </w:tcPr>
                <w:p>
                  <w:pPr>
                    <w:widowControl/>
                    <w:jc w:val="center"/>
                    <w:rPr>
                      <w:kern w:val="0"/>
                      <w:szCs w:val="21"/>
                    </w:rPr>
                  </w:pPr>
                </w:p>
              </w:tc>
              <w:tc>
                <w:tcPr>
                  <w:tcW w:w="2800" w:type="dxa"/>
                  <w:gridSpan w:val="2"/>
                  <w:vMerge w:val="continue"/>
                  <w:vAlign w:val="center"/>
                </w:tcPr>
                <w:p>
                  <w:pPr>
                    <w:widowControl/>
                    <w:jc w:val="center"/>
                    <w:rPr>
                      <w:kern w:val="0"/>
                      <w:szCs w:val="21"/>
                    </w:rPr>
                  </w:pPr>
                </w:p>
              </w:tc>
              <w:tc>
                <w:tcPr>
                  <w:tcW w:w="2141" w:type="dxa"/>
                  <w:vAlign w:val="center"/>
                </w:tcPr>
                <w:p>
                  <w:pPr>
                    <w:widowControl/>
                    <w:jc w:val="left"/>
                    <w:rPr>
                      <w:rFonts w:hint="eastAsia"/>
                      <w:kern w:val="0"/>
                      <w:szCs w:val="21"/>
                    </w:rPr>
                  </w:pPr>
                  <w:r>
                    <w:rPr>
                      <w:rFonts w:hint="eastAsia"/>
                      <w:kern w:val="0"/>
                      <w:szCs w:val="21"/>
                    </w:rPr>
                    <w:t>建筑面积</w:t>
                  </w:r>
                  <w:r>
                    <w:rPr>
                      <w:rFonts w:hint="eastAsia"/>
                      <w:kern w:val="0"/>
                      <w:szCs w:val="21"/>
                      <w:lang w:eastAsia="zh-CN"/>
                    </w:rPr>
                    <w:t>：</w:t>
                  </w:r>
                  <w:r>
                    <w:rPr>
                      <w:rFonts w:hint="eastAsia"/>
                      <w:kern w:val="0"/>
                      <w:szCs w:val="21"/>
                      <w:lang w:val="en-US" w:eastAsia="zh-CN"/>
                    </w:rPr>
                    <w:t>836.294</w:t>
                  </w:r>
                  <w:r>
                    <w:rPr>
                      <w:kern w:val="0"/>
                      <w:szCs w:val="21"/>
                    </w:rPr>
                    <w:t>m²</w:t>
                  </w:r>
                  <w:r>
                    <w:rPr>
                      <w:rFonts w:hint="eastAsia"/>
                      <w:kern w:val="0"/>
                      <w:szCs w:val="21"/>
                      <w:lang w:eastAsia="zh-CN"/>
                    </w:rPr>
                    <w:t>；</w:t>
                  </w:r>
                </w:p>
                <w:p>
                  <w:pPr>
                    <w:pStyle w:val="23"/>
                    <w:jc w:val="left"/>
                    <w:rPr>
                      <w:rFonts w:ascii="Times New Roman"/>
                      <w:sz w:val="21"/>
                      <w:szCs w:val="21"/>
                    </w:rPr>
                  </w:pPr>
                  <w:r>
                    <w:rPr>
                      <w:rFonts w:ascii="Times New Roman"/>
                      <w:sz w:val="21"/>
                      <w:szCs w:val="21"/>
                    </w:rPr>
                    <w:t>位于04#地块</w:t>
                  </w:r>
                  <w:r>
                    <w:rPr>
                      <w:rFonts w:hint="eastAsia" w:ascii="Times New Roman"/>
                      <w:sz w:val="21"/>
                      <w:szCs w:val="21"/>
                    </w:rPr>
                    <w:t>S1#1F</w:t>
                  </w:r>
                </w:p>
              </w:tc>
              <w:tc>
                <w:tcPr>
                  <w:tcW w:w="1117" w:type="dxa"/>
                  <w:vAlign w:val="center"/>
                </w:tcPr>
                <w:p>
                  <w:pPr>
                    <w:pStyle w:val="23"/>
                    <w:jc w:val="center"/>
                    <w:rPr>
                      <w:rFonts w:hint="eastAsia" w:ascii="Times New Roman" w:eastAsia="宋体"/>
                      <w:sz w:val="18"/>
                      <w:szCs w:val="18"/>
                      <w:lang w:eastAsia="zh-CN"/>
                    </w:rPr>
                  </w:pPr>
                  <w:r>
                    <w:rPr>
                      <w:rFonts w:hint="eastAsia" w:ascii="Times New Roman"/>
                      <w:sz w:val="18"/>
                      <w:szCs w:val="18"/>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trPr>
              <w:tc>
                <w:tcPr>
                  <w:tcW w:w="746" w:type="dxa"/>
                  <w:vMerge w:val="continue"/>
                  <w:vAlign w:val="center"/>
                </w:tcPr>
                <w:p>
                  <w:pPr>
                    <w:widowControl/>
                    <w:jc w:val="center"/>
                    <w:rPr>
                      <w:kern w:val="0"/>
                      <w:szCs w:val="21"/>
                    </w:rPr>
                  </w:pPr>
                </w:p>
              </w:tc>
              <w:tc>
                <w:tcPr>
                  <w:tcW w:w="1039" w:type="dxa"/>
                  <w:vMerge w:val="restart"/>
                  <w:vAlign w:val="center"/>
                </w:tcPr>
                <w:p>
                  <w:pPr>
                    <w:widowControl/>
                    <w:jc w:val="center"/>
                    <w:rPr>
                      <w:kern w:val="0"/>
                      <w:szCs w:val="21"/>
                    </w:rPr>
                  </w:pPr>
                  <w:r>
                    <w:rPr>
                      <w:rFonts w:hint="eastAsia"/>
                      <w:kern w:val="0"/>
                      <w:szCs w:val="21"/>
                    </w:rPr>
                    <w:t>对外公厕</w:t>
                  </w:r>
                </w:p>
              </w:tc>
              <w:tc>
                <w:tcPr>
                  <w:tcW w:w="2800" w:type="dxa"/>
                  <w:gridSpan w:val="2"/>
                  <w:vMerge w:val="restart"/>
                  <w:vAlign w:val="center"/>
                </w:tcPr>
                <w:p>
                  <w:pPr>
                    <w:widowControl/>
                    <w:jc w:val="center"/>
                    <w:rPr>
                      <w:kern w:val="0"/>
                      <w:szCs w:val="21"/>
                    </w:rPr>
                  </w:pPr>
                  <w:r>
                    <w:rPr>
                      <w:kern w:val="0"/>
                      <w:szCs w:val="21"/>
                    </w:rPr>
                    <w:t>建筑面积：</w:t>
                  </w:r>
                  <w:r>
                    <w:rPr>
                      <w:rFonts w:hint="eastAsia"/>
                      <w:kern w:val="0"/>
                      <w:szCs w:val="21"/>
                    </w:rPr>
                    <w:t>185.75</w:t>
                  </w:r>
                  <w:r>
                    <w:rPr>
                      <w:kern w:val="0"/>
                      <w:szCs w:val="21"/>
                    </w:rPr>
                    <w:t>m²</w:t>
                  </w:r>
                </w:p>
              </w:tc>
              <w:tc>
                <w:tcPr>
                  <w:tcW w:w="2141" w:type="dxa"/>
                  <w:vAlign w:val="center"/>
                </w:tcPr>
                <w:p>
                  <w:pPr>
                    <w:widowControl/>
                    <w:jc w:val="left"/>
                    <w:rPr>
                      <w:szCs w:val="21"/>
                    </w:rPr>
                  </w:pPr>
                  <w:r>
                    <w:rPr>
                      <w:rFonts w:hint="eastAsia"/>
                      <w:szCs w:val="21"/>
                      <w:lang w:eastAsia="zh-CN"/>
                    </w:rPr>
                    <w:t>建筑面积：</w:t>
                  </w:r>
                  <w:r>
                    <w:rPr>
                      <w:rFonts w:hint="eastAsia"/>
                      <w:szCs w:val="21"/>
                      <w:lang w:val="en-US" w:eastAsia="zh-CN"/>
                    </w:rPr>
                    <w:t>63.780</w:t>
                  </w:r>
                  <w:r>
                    <w:rPr>
                      <w:kern w:val="0"/>
                      <w:szCs w:val="21"/>
                    </w:rPr>
                    <w:t>m²</w:t>
                  </w:r>
                  <w:r>
                    <w:rPr>
                      <w:rFonts w:hint="eastAsia"/>
                      <w:szCs w:val="21"/>
                      <w:lang w:eastAsia="zh-CN"/>
                    </w:rPr>
                    <w:t>；</w:t>
                  </w:r>
                  <w:r>
                    <w:rPr>
                      <w:szCs w:val="21"/>
                    </w:rPr>
                    <w:t>02#地块：住宅10#1F；</w:t>
                  </w:r>
                </w:p>
              </w:tc>
              <w:tc>
                <w:tcPr>
                  <w:tcW w:w="1117" w:type="dxa"/>
                  <w:vAlign w:val="center"/>
                </w:tcPr>
                <w:p>
                  <w:pPr>
                    <w:widowControl/>
                    <w:jc w:val="center"/>
                    <w:rPr>
                      <w:rFonts w:hint="eastAsia" w:eastAsia="宋体"/>
                      <w:szCs w:val="21"/>
                      <w:lang w:eastAsia="zh-CN"/>
                    </w:rPr>
                  </w:pPr>
                  <w:r>
                    <w:rPr>
                      <w:rFonts w:hint="eastAsia"/>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46" w:type="dxa"/>
                  <w:vMerge w:val="continue"/>
                  <w:vAlign w:val="center"/>
                </w:tcPr>
                <w:p>
                  <w:pPr>
                    <w:widowControl/>
                    <w:jc w:val="center"/>
                    <w:rPr>
                      <w:kern w:val="0"/>
                      <w:szCs w:val="21"/>
                    </w:rPr>
                  </w:pPr>
                </w:p>
              </w:tc>
              <w:tc>
                <w:tcPr>
                  <w:tcW w:w="1039" w:type="dxa"/>
                  <w:vMerge w:val="continue"/>
                  <w:vAlign w:val="center"/>
                </w:tcPr>
                <w:p>
                  <w:pPr>
                    <w:widowControl/>
                    <w:jc w:val="center"/>
                    <w:rPr>
                      <w:kern w:val="0"/>
                      <w:szCs w:val="21"/>
                    </w:rPr>
                  </w:pPr>
                </w:p>
              </w:tc>
              <w:tc>
                <w:tcPr>
                  <w:tcW w:w="2800" w:type="dxa"/>
                  <w:gridSpan w:val="2"/>
                  <w:vMerge w:val="continue"/>
                  <w:vAlign w:val="center"/>
                </w:tcPr>
                <w:p>
                  <w:pPr>
                    <w:widowControl/>
                    <w:jc w:val="center"/>
                    <w:rPr>
                      <w:kern w:val="0"/>
                      <w:szCs w:val="21"/>
                    </w:rPr>
                  </w:pPr>
                </w:p>
              </w:tc>
              <w:tc>
                <w:tcPr>
                  <w:tcW w:w="2141" w:type="dxa"/>
                  <w:vAlign w:val="center"/>
                </w:tcPr>
                <w:p>
                  <w:pPr>
                    <w:widowControl/>
                    <w:jc w:val="left"/>
                    <w:rPr>
                      <w:szCs w:val="21"/>
                    </w:rPr>
                  </w:pPr>
                  <w:r>
                    <w:rPr>
                      <w:rFonts w:hint="eastAsia"/>
                      <w:szCs w:val="21"/>
                      <w:lang w:eastAsia="zh-CN"/>
                    </w:rPr>
                    <w:t>建筑面积：</w:t>
                  </w:r>
                  <w:r>
                    <w:rPr>
                      <w:rFonts w:hint="eastAsia"/>
                      <w:szCs w:val="21"/>
                      <w:lang w:val="en-US" w:eastAsia="zh-CN"/>
                    </w:rPr>
                    <w:t>61.58</w:t>
                  </w:r>
                  <w:r>
                    <w:rPr>
                      <w:kern w:val="0"/>
                      <w:szCs w:val="21"/>
                    </w:rPr>
                    <w:t>m²</w:t>
                  </w:r>
                  <w:r>
                    <w:rPr>
                      <w:rFonts w:hint="eastAsia"/>
                      <w:szCs w:val="21"/>
                      <w:lang w:eastAsia="zh-CN"/>
                    </w:rPr>
                    <w:t>；</w:t>
                  </w:r>
                  <w:r>
                    <w:rPr>
                      <w:szCs w:val="21"/>
                    </w:rPr>
                    <w:t>03#地块：住宅5#1F；</w:t>
                  </w:r>
                </w:p>
              </w:tc>
              <w:tc>
                <w:tcPr>
                  <w:tcW w:w="1117" w:type="dxa"/>
                  <w:vAlign w:val="center"/>
                </w:tcPr>
                <w:p>
                  <w:pPr>
                    <w:widowControl/>
                    <w:jc w:val="center"/>
                    <w:rPr>
                      <w:szCs w:val="21"/>
                    </w:rPr>
                  </w:pPr>
                  <w:r>
                    <w:rPr>
                      <w:rFonts w:hint="eastAsia"/>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746" w:type="dxa"/>
                  <w:vMerge w:val="continue"/>
                  <w:vAlign w:val="center"/>
                </w:tcPr>
                <w:p>
                  <w:pPr>
                    <w:widowControl/>
                    <w:jc w:val="center"/>
                    <w:rPr>
                      <w:kern w:val="0"/>
                      <w:szCs w:val="21"/>
                    </w:rPr>
                  </w:pPr>
                </w:p>
              </w:tc>
              <w:tc>
                <w:tcPr>
                  <w:tcW w:w="1039" w:type="dxa"/>
                  <w:vMerge w:val="continue"/>
                  <w:vAlign w:val="center"/>
                </w:tcPr>
                <w:p>
                  <w:pPr>
                    <w:widowControl/>
                    <w:jc w:val="center"/>
                    <w:rPr>
                      <w:kern w:val="0"/>
                      <w:szCs w:val="21"/>
                    </w:rPr>
                  </w:pPr>
                </w:p>
              </w:tc>
              <w:tc>
                <w:tcPr>
                  <w:tcW w:w="2800" w:type="dxa"/>
                  <w:gridSpan w:val="2"/>
                  <w:vMerge w:val="continue"/>
                  <w:vAlign w:val="center"/>
                </w:tcPr>
                <w:p>
                  <w:pPr>
                    <w:widowControl/>
                    <w:jc w:val="center"/>
                    <w:rPr>
                      <w:kern w:val="0"/>
                      <w:szCs w:val="21"/>
                    </w:rPr>
                  </w:pPr>
                </w:p>
              </w:tc>
              <w:tc>
                <w:tcPr>
                  <w:tcW w:w="2141" w:type="dxa"/>
                  <w:vAlign w:val="center"/>
                </w:tcPr>
                <w:p>
                  <w:pPr>
                    <w:widowControl/>
                    <w:jc w:val="left"/>
                    <w:rPr>
                      <w:szCs w:val="21"/>
                    </w:rPr>
                  </w:pPr>
                  <w:r>
                    <w:rPr>
                      <w:rFonts w:hint="eastAsia"/>
                      <w:szCs w:val="21"/>
                      <w:lang w:eastAsia="zh-CN"/>
                    </w:rPr>
                    <w:t>建筑面积：</w:t>
                  </w:r>
                  <w:r>
                    <w:rPr>
                      <w:rFonts w:hint="eastAsia"/>
                      <w:szCs w:val="21"/>
                      <w:lang w:val="en-US" w:eastAsia="zh-CN"/>
                    </w:rPr>
                    <w:t>60.390</w:t>
                  </w:r>
                  <w:r>
                    <w:rPr>
                      <w:kern w:val="0"/>
                      <w:szCs w:val="21"/>
                    </w:rPr>
                    <w:t>m²</w:t>
                  </w:r>
                  <w:r>
                    <w:rPr>
                      <w:rFonts w:hint="eastAsia"/>
                      <w:szCs w:val="21"/>
                      <w:lang w:eastAsia="zh-CN"/>
                    </w:rPr>
                    <w:t>；</w:t>
                  </w:r>
                  <w:r>
                    <w:rPr>
                      <w:rFonts w:hint="eastAsia"/>
                      <w:szCs w:val="21"/>
                    </w:rPr>
                    <w:t>04#地块：S1#1F</w:t>
                  </w:r>
                </w:p>
              </w:tc>
              <w:tc>
                <w:tcPr>
                  <w:tcW w:w="1117" w:type="dxa"/>
                  <w:vAlign w:val="center"/>
                </w:tcPr>
                <w:p>
                  <w:pPr>
                    <w:widowControl/>
                    <w:jc w:val="center"/>
                    <w:rPr>
                      <w:rFonts w:hint="eastAsia" w:eastAsia="宋体"/>
                      <w:szCs w:val="21"/>
                      <w:lang w:eastAsia="zh-CN"/>
                    </w:rPr>
                  </w:pPr>
                  <w:r>
                    <w:rPr>
                      <w:rFonts w:hint="eastAsia"/>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746" w:type="dxa"/>
                  <w:vMerge w:val="continue"/>
                  <w:vAlign w:val="center"/>
                </w:tcPr>
                <w:p>
                  <w:pPr>
                    <w:widowControl/>
                    <w:jc w:val="center"/>
                    <w:rPr>
                      <w:kern w:val="0"/>
                      <w:szCs w:val="21"/>
                    </w:rPr>
                  </w:pPr>
                </w:p>
              </w:tc>
              <w:tc>
                <w:tcPr>
                  <w:tcW w:w="1039" w:type="dxa"/>
                  <w:vMerge w:val="restart"/>
                  <w:vAlign w:val="center"/>
                </w:tcPr>
                <w:p>
                  <w:pPr>
                    <w:widowControl/>
                    <w:jc w:val="center"/>
                    <w:rPr>
                      <w:kern w:val="0"/>
                      <w:szCs w:val="21"/>
                    </w:rPr>
                  </w:pPr>
                  <w:r>
                    <w:rPr>
                      <w:rFonts w:hint="eastAsia"/>
                      <w:kern w:val="0"/>
                      <w:szCs w:val="21"/>
                    </w:rPr>
                    <w:t>垃圾站</w:t>
                  </w:r>
                </w:p>
              </w:tc>
              <w:tc>
                <w:tcPr>
                  <w:tcW w:w="2800" w:type="dxa"/>
                  <w:gridSpan w:val="2"/>
                  <w:vMerge w:val="restart"/>
                  <w:vAlign w:val="center"/>
                </w:tcPr>
                <w:p>
                  <w:pPr>
                    <w:widowControl/>
                    <w:jc w:val="center"/>
                    <w:rPr>
                      <w:kern w:val="0"/>
                      <w:szCs w:val="21"/>
                    </w:rPr>
                  </w:pPr>
                  <w:r>
                    <w:rPr>
                      <w:rFonts w:hint="eastAsia"/>
                      <w:kern w:val="0"/>
                      <w:szCs w:val="21"/>
                    </w:rPr>
                    <w:t>建筑面积：80.4</w:t>
                  </w:r>
                  <w:r>
                    <w:rPr>
                      <w:kern w:val="0"/>
                      <w:szCs w:val="21"/>
                    </w:rPr>
                    <w:t>m²</w:t>
                  </w:r>
                </w:p>
              </w:tc>
              <w:tc>
                <w:tcPr>
                  <w:tcW w:w="2141" w:type="dxa"/>
                  <w:vAlign w:val="center"/>
                </w:tcPr>
                <w:p>
                  <w:pPr>
                    <w:widowControl/>
                    <w:rPr>
                      <w:rFonts w:hint="default"/>
                      <w:kern w:val="0"/>
                      <w:szCs w:val="21"/>
                    </w:rPr>
                  </w:pPr>
                  <w:r>
                    <w:rPr>
                      <w:rFonts w:hint="eastAsia"/>
                      <w:szCs w:val="21"/>
                      <w:lang w:eastAsia="zh-CN"/>
                    </w:rPr>
                    <w:t>建筑面积：</w:t>
                  </w:r>
                  <w:r>
                    <w:rPr>
                      <w:rFonts w:hint="eastAsia"/>
                      <w:szCs w:val="21"/>
                      <w:lang w:val="en-US" w:eastAsia="zh-CN"/>
                    </w:rPr>
                    <w:t>40.2</w:t>
                  </w:r>
                  <w:r>
                    <w:rPr>
                      <w:kern w:val="0"/>
                      <w:szCs w:val="21"/>
                    </w:rPr>
                    <w:t>m²</w:t>
                  </w:r>
                  <w:r>
                    <w:rPr>
                      <w:rFonts w:hint="eastAsia"/>
                      <w:szCs w:val="21"/>
                      <w:lang w:eastAsia="zh-CN"/>
                    </w:rPr>
                    <w:t>；</w:t>
                  </w:r>
                  <w:r>
                    <w:rPr>
                      <w:kern w:val="0"/>
                      <w:szCs w:val="21"/>
                    </w:rPr>
                    <w:t>位于：02#地块东北角</w:t>
                  </w:r>
                </w:p>
              </w:tc>
              <w:tc>
                <w:tcPr>
                  <w:tcW w:w="1117" w:type="dxa"/>
                  <w:vMerge w:val="restart"/>
                  <w:vAlign w:val="center"/>
                </w:tcPr>
                <w:p>
                  <w:pPr>
                    <w:widowControl/>
                    <w:jc w:val="center"/>
                    <w:rPr>
                      <w:rFonts w:hint="eastAsia" w:eastAsia="宋体"/>
                      <w:kern w:val="0"/>
                      <w:szCs w:val="21"/>
                      <w:lang w:eastAsia="zh-CN"/>
                    </w:rPr>
                  </w:pPr>
                  <w:r>
                    <w:rPr>
                      <w:rFonts w:hint="eastAsia"/>
                      <w:kern w:val="0"/>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continue"/>
                  <w:vAlign w:val="center"/>
                </w:tcPr>
                <w:p>
                  <w:pPr>
                    <w:widowControl/>
                  </w:pPr>
                </w:p>
              </w:tc>
              <w:tc>
                <w:tcPr>
                  <w:tcW w:w="2141" w:type="dxa"/>
                  <w:vAlign w:val="center"/>
                </w:tcPr>
                <w:p>
                  <w:pPr>
                    <w:widowControl/>
                    <w:rPr>
                      <w:kern w:val="0"/>
                      <w:szCs w:val="21"/>
                    </w:rPr>
                  </w:pPr>
                  <w:r>
                    <w:rPr>
                      <w:rFonts w:hint="eastAsia"/>
                      <w:szCs w:val="21"/>
                      <w:lang w:eastAsia="zh-CN"/>
                    </w:rPr>
                    <w:t>建筑面积：</w:t>
                  </w:r>
                  <w:r>
                    <w:rPr>
                      <w:rFonts w:hint="eastAsia"/>
                      <w:szCs w:val="21"/>
                      <w:lang w:val="en-US" w:eastAsia="zh-CN"/>
                    </w:rPr>
                    <w:t>40.2</w:t>
                  </w:r>
                  <w:r>
                    <w:rPr>
                      <w:kern w:val="0"/>
                      <w:szCs w:val="21"/>
                    </w:rPr>
                    <w:t>m²</w:t>
                  </w:r>
                  <w:r>
                    <w:rPr>
                      <w:rFonts w:hint="eastAsia"/>
                      <w:szCs w:val="21"/>
                      <w:lang w:eastAsia="zh-CN"/>
                    </w:rPr>
                    <w:t>；位于</w:t>
                  </w:r>
                  <w:r>
                    <w:rPr>
                      <w:rFonts w:hint="eastAsia"/>
                      <w:kern w:val="0"/>
                      <w:szCs w:val="21"/>
                      <w:lang w:val="en-US" w:eastAsia="zh-CN"/>
                    </w:rPr>
                    <w:t>04地块东南角</w:t>
                  </w:r>
                </w:p>
              </w:tc>
              <w:tc>
                <w:tcPr>
                  <w:tcW w:w="1117" w:type="dxa"/>
                  <w:vMerge w:val="continue"/>
                  <w:vAlign w:val="center"/>
                </w:tcPr>
                <w:p>
                  <w:pPr>
                    <w:widowControl/>
                    <w:jc w:val="center"/>
                    <w:rPr>
                      <w:rFonts w:hint="eastAsia" w:eastAsia="宋体"/>
                      <w:kern w:val="0"/>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746" w:type="dxa"/>
                  <w:vMerge w:val="continue"/>
                  <w:vAlign w:val="center"/>
                </w:tcPr>
                <w:p>
                  <w:pPr>
                    <w:widowControl/>
                    <w:jc w:val="center"/>
                    <w:rPr>
                      <w:kern w:val="0"/>
                      <w:szCs w:val="21"/>
                    </w:rPr>
                  </w:pPr>
                </w:p>
              </w:tc>
              <w:tc>
                <w:tcPr>
                  <w:tcW w:w="1039" w:type="dxa"/>
                  <w:vMerge w:val="restart"/>
                  <w:vAlign w:val="center"/>
                </w:tcPr>
                <w:p>
                  <w:pPr>
                    <w:widowControl/>
                    <w:jc w:val="center"/>
                    <w:rPr>
                      <w:kern w:val="0"/>
                      <w:szCs w:val="21"/>
                    </w:rPr>
                  </w:pPr>
                  <w:r>
                    <w:rPr>
                      <w:rFonts w:hint="eastAsia"/>
                      <w:kern w:val="0"/>
                      <w:szCs w:val="21"/>
                    </w:rPr>
                    <w:t>养老服务设施</w:t>
                  </w:r>
                </w:p>
              </w:tc>
              <w:tc>
                <w:tcPr>
                  <w:tcW w:w="2800" w:type="dxa"/>
                  <w:gridSpan w:val="2"/>
                  <w:vMerge w:val="restart"/>
                  <w:vAlign w:val="center"/>
                </w:tcPr>
                <w:p>
                  <w:pPr>
                    <w:widowControl/>
                    <w:jc w:val="center"/>
                    <w:rPr>
                      <w:kern w:val="0"/>
                      <w:szCs w:val="21"/>
                    </w:rPr>
                  </w:pPr>
                  <w:r>
                    <w:rPr>
                      <w:rFonts w:hint="eastAsia"/>
                      <w:kern w:val="0"/>
                      <w:szCs w:val="21"/>
                    </w:rPr>
                    <w:t>建筑面积：</w:t>
                  </w:r>
                  <w:r>
                    <w:rPr>
                      <w:rFonts w:hint="eastAsia"/>
                      <w:szCs w:val="21"/>
                    </w:rPr>
                    <w:t>690.393</w:t>
                  </w:r>
                  <w:r>
                    <w:rPr>
                      <w:kern w:val="0"/>
                      <w:szCs w:val="21"/>
                    </w:rPr>
                    <w:t>m²</w:t>
                  </w:r>
                </w:p>
              </w:tc>
              <w:tc>
                <w:tcPr>
                  <w:tcW w:w="2141" w:type="dxa"/>
                  <w:vAlign w:val="center"/>
                </w:tcPr>
                <w:p>
                  <w:pPr>
                    <w:widowControl/>
                  </w:pPr>
                  <w:r>
                    <w:rPr>
                      <w:szCs w:val="21"/>
                    </w:rPr>
                    <w:t>02#地块：住宅10#1F；</w:t>
                  </w:r>
                </w:p>
              </w:tc>
              <w:tc>
                <w:tcPr>
                  <w:tcW w:w="1117" w:type="dxa"/>
                  <w:vMerge w:val="restart"/>
                  <w:vAlign w:val="center"/>
                </w:tcPr>
                <w:p>
                  <w:pPr>
                    <w:pStyle w:val="23"/>
                    <w:jc w:val="center"/>
                    <w:rPr>
                      <w:rFonts w:hint="eastAsia" w:ascii="Times New Roman" w:eastAsia="宋体"/>
                      <w:color w:val="auto"/>
                      <w:sz w:val="21"/>
                      <w:szCs w:val="21"/>
                      <w:lang w:eastAsia="zh-CN"/>
                    </w:rPr>
                  </w:pPr>
                  <w:r>
                    <w:rPr>
                      <w:rFonts w:hint="eastAsia" w:ascii="Times New Roman"/>
                      <w:color w:val="auto"/>
                      <w:sz w:val="21"/>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746" w:type="dxa"/>
                  <w:vMerge w:val="continue"/>
                  <w:vAlign w:val="center"/>
                </w:tcPr>
                <w:p>
                  <w:pPr>
                    <w:widowControl/>
                    <w:jc w:val="center"/>
                    <w:rPr>
                      <w:kern w:val="0"/>
                      <w:szCs w:val="21"/>
                    </w:rPr>
                  </w:pPr>
                </w:p>
              </w:tc>
              <w:tc>
                <w:tcPr>
                  <w:tcW w:w="1039" w:type="dxa"/>
                  <w:vMerge w:val="continue"/>
                  <w:vAlign w:val="center"/>
                </w:tcPr>
                <w:p>
                  <w:pPr>
                    <w:widowControl/>
                    <w:jc w:val="center"/>
                    <w:rPr>
                      <w:kern w:val="0"/>
                      <w:szCs w:val="21"/>
                    </w:rPr>
                  </w:pPr>
                </w:p>
              </w:tc>
              <w:tc>
                <w:tcPr>
                  <w:tcW w:w="2800" w:type="dxa"/>
                  <w:gridSpan w:val="2"/>
                  <w:vMerge w:val="continue"/>
                  <w:vAlign w:val="center"/>
                </w:tcPr>
                <w:p>
                  <w:pPr>
                    <w:widowControl/>
                    <w:jc w:val="center"/>
                    <w:rPr>
                      <w:kern w:val="0"/>
                      <w:szCs w:val="21"/>
                    </w:rPr>
                  </w:pPr>
                </w:p>
              </w:tc>
              <w:tc>
                <w:tcPr>
                  <w:tcW w:w="2141" w:type="dxa"/>
                  <w:vAlign w:val="center"/>
                </w:tcPr>
                <w:p>
                  <w:pPr>
                    <w:pStyle w:val="23"/>
                    <w:rPr>
                      <w:rFonts w:ascii="Times New Roman"/>
                      <w:color w:val="auto"/>
                      <w:sz w:val="21"/>
                      <w:szCs w:val="21"/>
                    </w:rPr>
                  </w:pPr>
                  <w:r>
                    <w:rPr>
                      <w:rFonts w:ascii="Times New Roman"/>
                      <w:color w:val="auto"/>
                      <w:sz w:val="21"/>
                      <w:szCs w:val="21"/>
                    </w:rPr>
                    <w:t>03#地块：</w:t>
                  </w:r>
                  <w:r>
                    <w:rPr>
                      <w:rFonts w:hint="eastAsia" w:ascii="Times New Roman"/>
                      <w:color w:val="auto"/>
                      <w:sz w:val="21"/>
                      <w:szCs w:val="21"/>
                    </w:rPr>
                    <w:t>住宅8# 1F；</w:t>
                  </w:r>
                </w:p>
              </w:tc>
              <w:tc>
                <w:tcPr>
                  <w:tcW w:w="1117" w:type="dxa"/>
                  <w:vMerge w:val="continue"/>
                  <w:vAlign w:val="center"/>
                </w:tcPr>
                <w:p>
                  <w:pPr>
                    <w:pStyle w:val="23"/>
                    <w:jc w:val="center"/>
                    <w:rPr>
                      <w:rFonts w:ascii="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1"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rFonts w:hint="eastAsia"/>
                      <w:kern w:val="0"/>
                      <w:szCs w:val="21"/>
                    </w:rPr>
                    <w:t>幼儿园（9班）</w:t>
                  </w:r>
                </w:p>
              </w:tc>
              <w:tc>
                <w:tcPr>
                  <w:tcW w:w="2800" w:type="dxa"/>
                  <w:gridSpan w:val="2"/>
                  <w:vAlign w:val="center"/>
                </w:tcPr>
                <w:p>
                  <w:pPr>
                    <w:widowControl/>
                    <w:jc w:val="center"/>
                    <w:rPr>
                      <w:kern w:val="0"/>
                      <w:szCs w:val="21"/>
                    </w:rPr>
                  </w:pPr>
                  <w:r>
                    <w:rPr>
                      <w:rFonts w:hint="eastAsia"/>
                      <w:kern w:val="0"/>
                      <w:szCs w:val="21"/>
                    </w:rPr>
                    <w:t>建筑面积：</w:t>
                  </w:r>
                  <w:r>
                    <w:rPr>
                      <w:rFonts w:hint="eastAsia"/>
                      <w:szCs w:val="21"/>
                    </w:rPr>
                    <w:t>2707.050</w:t>
                  </w:r>
                  <w:r>
                    <w:rPr>
                      <w:kern w:val="0"/>
                      <w:szCs w:val="21"/>
                    </w:rPr>
                    <w:t>m²</w:t>
                  </w:r>
                </w:p>
              </w:tc>
              <w:tc>
                <w:tcPr>
                  <w:tcW w:w="2141" w:type="dxa"/>
                  <w:vAlign w:val="center"/>
                </w:tcPr>
                <w:p>
                  <w:pPr>
                    <w:widowControl/>
                    <w:rPr>
                      <w:kern w:val="0"/>
                      <w:szCs w:val="21"/>
                    </w:rPr>
                  </w:pPr>
                  <w:r>
                    <w:rPr>
                      <w:rFonts w:hint="eastAsia"/>
                      <w:kern w:val="0"/>
                      <w:szCs w:val="21"/>
                    </w:rPr>
                    <w:t>02#地块南侧31#</w:t>
                  </w:r>
                </w:p>
              </w:tc>
              <w:tc>
                <w:tcPr>
                  <w:tcW w:w="1117" w:type="dxa"/>
                  <w:vAlign w:val="center"/>
                </w:tcPr>
                <w:p>
                  <w:pPr>
                    <w:widowControl/>
                    <w:jc w:val="center"/>
                    <w:rPr>
                      <w:rFonts w:hint="eastAsia" w:eastAsia="宋体"/>
                      <w:kern w:val="0"/>
                      <w:szCs w:val="21"/>
                      <w:lang w:val="en-US" w:eastAsia="zh-CN"/>
                    </w:rPr>
                  </w:pPr>
                  <w:r>
                    <w:rPr>
                      <w:rFonts w:hint="eastAsia"/>
                      <w:kern w:val="0"/>
                      <w:szCs w:val="21"/>
                      <w:lang w:val="en-US" w:eastAsia="zh-CN"/>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746" w:type="dxa"/>
                  <w:vMerge w:val="continue"/>
                  <w:vAlign w:val="center"/>
                </w:tcPr>
                <w:p>
                  <w:pPr>
                    <w:widowControl/>
                    <w:jc w:val="center"/>
                    <w:rPr>
                      <w:color w:val="FF0000"/>
                      <w:kern w:val="0"/>
                      <w:szCs w:val="21"/>
                    </w:rPr>
                  </w:pPr>
                </w:p>
              </w:tc>
              <w:tc>
                <w:tcPr>
                  <w:tcW w:w="1039" w:type="dxa"/>
                  <w:vMerge w:val="restart"/>
                  <w:vAlign w:val="center"/>
                </w:tcPr>
                <w:p>
                  <w:pPr>
                    <w:widowControl/>
                    <w:jc w:val="center"/>
                    <w:rPr>
                      <w:kern w:val="0"/>
                      <w:szCs w:val="21"/>
                    </w:rPr>
                  </w:pPr>
                  <w:r>
                    <w:rPr>
                      <w:kern w:val="0"/>
                      <w:szCs w:val="21"/>
                    </w:rPr>
                    <w:t>商业区</w:t>
                  </w:r>
                </w:p>
              </w:tc>
              <w:tc>
                <w:tcPr>
                  <w:tcW w:w="2800" w:type="dxa"/>
                  <w:gridSpan w:val="2"/>
                  <w:vAlign w:val="center"/>
                </w:tcPr>
                <w:p>
                  <w:pPr>
                    <w:widowControl/>
                    <w:jc w:val="center"/>
                    <w:rPr>
                      <w:kern w:val="0"/>
                      <w:szCs w:val="21"/>
                    </w:rPr>
                  </w:pPr>
                  <w:r>
                    <w:rPr>
                      <w:rFonts w:hint="eastAsia"/>
                      <w:kern w:val="0"/>
                      <w:szCs w:val="21"/>
                      <w:lang w:val="en-US" w:eastAsia="zh-CN"/>
                    </w:rPr>
                    <w:t>SOHO</w:t>
                  </w:r>
                  <w:r>
                    <w:rPr>
                      <w:rFonts w:hint="eastAsia"/>
                      <w:kern w:val="0"/>
                      <w:szCs w:val="21"/>
                    </w:rPr>
                    <w:t>公寓</w:t>
                  </w:r>
                  <w:r>
                    <w:rPr>
                      <w:kern w:val="0"/>
                      <w:szCs w:val="21"/>
                    </w:rPr>
                    <w:t>建筑面积：</w:t>
                  </w:r>
                  <w:r>
                    <w:rPr>
                      <w:rFonts w:hint="eastAsia"/>
                      <w:szCs w:val="21"/>
                    </w:rPr>
                    <w:t>39556.317</w:t>
                  </w:r>
                  <w:r>
                    <w:rPr>
                      <w:kern w:val="0"/>
                      <w:szCs w:val="21"/>
                    </w:rPr>
                    <w:t>m²</w:t>
                  </w:r>
                </w:p>
              </w:tc>
              <w:tc>
                <w:tcPr>
                  <w:tcW w:w="2141" w:type="dxa"/>
                  <w:vAlign w:val="center"/>
                </w:tcPr>
                <w:p>
                  <w:pPr>
                    <w:widowControl/>
                    <w:rPr>
                      <w:color w:val="FF0000"/>
                      <w:kern w:val="0"/>
                      <w:szCs w:val="21"/>
                    </w:rPr>
                  </w:pPr>
                  <w:r>
                    <w:rPr>
                      <w:rFonts w:hint="eastAsia"/>
                      <w:kern w:val="0"/>
                      <w:szCs w:val="21"/>
                    </w:rPr>
                    <w:t>04#地块S1#、S3#</w:t>
                  </w:r>
                </w:p>
              </w:tc>
              <w:tc>
                <w:tcPr>
                  <w:tcW w:w="1117" w:type="dxa"/>
                  <w:vAlign w:val="center"/>
                </w:tcPr>
                <w:p>
                  <w:pPr>
                    <w:widowControl/>
                    <w:jc w:val="center"/>
                    <w:rPr>
                      <w:kern w:val="0"/>
                      <w:szCs w:val="21"/>
                    </w:rPr>
                  </w:pPr>
                  <w:r>
                    <w:rPr>
                      <w:rFonts w:hint="eastAsia"/>
                      <w:kern w:val="0"/>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restart"/>
                  <w:vAlign w:val="center"/>
                </w:tcPr>
                <w:p>
                  <w:pPr>
                    <w:widowControl/>
                    <w:rPr>
                      <w:kern w:val="0"/>
                      <w:szCs w:val="21"/>
                    </w:rPr>
                  </w:pPr>
                  <w:r>
                    <w:rPr>
                      <w:rFonts w:hint="eastAsia"/>
                      <w:kern w:val="0"/>
                      <w:szCs w:val="21"/>
                    </w:rPr>
                    <w:t>集中商业建筑面积：</w:t>
                  </w:r>
                  <w:r>
                    <w:rPr>
                      <w:rFonts w:hint="eastAsia"/>
                      <w:szCs w:val="21"/>
                    </w:rPr>
                    <w:t>8548.917</w:t>
                  </w:r>
                  <w:r>
                    <w:rPr>
                      <w:kern w:val="0"/>
                      <w:szCs w:val="21"/>
                    </w:rPr>
                    <w:t>m²</w:t>
                  </w:r>
                </w:p>
              </w:tc>
              <w:tc>
                <w:tcPr>
                  <w:tcW w:w="2141" w:type="dxa"/>
                  <w:vAlign w:val="center"/>
                </w:tcPr>
                <w:p>
                  <w:pPr>
                    <w:widowControl/>
                    <w:rPr>
                      <w:kern w:val="0"/>
                      <w:szCs w:val="21"/>
                    </w:rPr>
                  </w:pPr>
                  <w:r>
                    <w:rPr>
                      <w:rFonts w:hint="eastAsia"/>
                      <w:kern w:val="0"/>
                      <w:szCs w:val="21"/>
                    </w:rPr>
                    <w:t>03#地块东南角（住宅5#和住宅6#之间）、住宅2#旁；</w:t>
                  </w:r>
                </w:p>
              </w:tc>
              <w:tc>
                <w:tcPr>
                  <w:tcW w:w="1117" w:type="dxa"/>
                  <w:vAlign w:val="center"/>
                </w:tcPr>
                <w:p>
                  <w:pPr>
                    <w:widowControl/>
                    <w:jc w:val="center"/>
                    <w:rPr>
                      <w:rFonts w:hint="eastAsia" w:eastAsia="宋体"/>
                      <w:kern w:val="0"/>
                      <w:szCs w:val="21"/>
                      <w:lang w:eastAsia="zh-CN"/>
                    </w:rPr>
                  </w:pPr>
                  <w:r>
                    <w:rPr>
                      <w:rFonts w:hint="eastAsia"/>
                      <w:kern w:val="0"/>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continue"/>
                  <w:vAlign w:val="center"/>
                </w:tcPr>
                <w:p>
                  <w:pPr>
                    <w:widowControl/>
                    <w:rPr>
                      <w:kern w:val="0"/>
                      <w:szCs w:val="21"/>
                    </w:rPr>
                  </w:pPr>
                </w:p>
              </w:tc>
              <w:tc>
                <w:tcPr>
                  <w:tcW w:w="2141" w:type="dxa"/>
                  <w:vAlign w:val="center"/>
                </w:tcPr>
                <w:p>
                  <w:pPr>
                    <w:widowControl/>
                    <w:rPr>
                      <w:kern w:val="0"/>
                      <w:szCs w:val="21"/>
                    </w:rPr>
                  </w:pPr>
                  <w:r>
                    <w:rPr>
                      <w:rFonts w:hint="eastAsia"/>
                      <w:kern w:val="0"/>
                      <w:szCs w:val="21"/>
                    </w:rPr>
                    <w:t>04#地块S2#</w:t>
                  </w:r>
                </w:p>
              </w:tc>
              <w:tc>
                <w:tcPr>
                  <w:tcW w:w="1117" w:type="dxa"/>
                  <w:vAlign w:val="center"/>
                </w:tcPr>
                <w:p>
                  <w:pPr>
                    <w:widowControl/>
                    <w:jc w:val="center"/>
                    <w:rPr>
                      <w:rFonts w:hint="eastAsia" w:eastAsia="宋体"/>
                      <w:kern w:val="0"/>
                      <w:szCs w:val="21"/>
                      <w:lang w:eastAsia="zh-CN"/>
                    </w:rPr>
                  </w:pPr>
                  <w:r>
                    <w:rPr>
                      <w:rFonts w:hint="eastAsia"/>
                      <w:kern w:val="0"/>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restart"/>
                  <w:vAlign w:val="center"/>
                </w:tcPr>
                <w:p>
                  <w:pPr>
                    <w:widowControl/>
                    <w:rPr>
                      <w:kern w:val="0"/>
                      <w:szCs w:val="21"/>
                    </w:rPr>
                  </w:pPr>
                  <w:r>
                    <w:rPr>
                      <w:rFonts w:hint="eastAsia"/>
                      <w:kern w:val="0"/>
                      <w:szCs w:val="21"/>
                    </w:rPr>
                    <w:t>配套商业建筑面积：</w:t>
                  </w:r>
                  <w:r>
                    <w:rPr>
                      <w:rFonts w:hint="eastAsia"/>
                      <w:szCs w:val="21"/>
                    </w:rPr>
                    <w:t>3100.193</w:t>
                  </w:r>
                  <w:r>
                    <w:rPr>
                      <w:kern w:val="0"/>
                      <w:szCs w:val="21"/>
                    </w:rPr>
                    <w:t>m²</w:t>
                  </w:r>
                </w:p>
              </w:tc>
              <w:tc>
                <w:tcPr>
                  <w:tcW w:w="2141" w:type="dxa"/>
                  <w:vAlign w:val="center"/>
                </w:tcPr>
                <w:p>
                  <w:pPr>
                    <w:widowControl/>
                    <w:rPr>
                      <w:kern w:val="0"/>
                      <w:szCs w:val="21"/>
                    </w:rPr>
                  </w:pPr>
                  <w:r>
                    <w:rPr>
                      <w:rFonts w:hint="eastAsia"/>
                      <w:kern w:val="0"/>
                      <w:szCs w:val="21"/>
                    </w:rPr>
                    <w:t>02#地块东侧沿街商铺；</w:t>
                  </w:r>
                </w:p>
              </w:tc>
              <w:tc>
                <w:tcPr>
                  <w:tcW w:w="1117" w:type="dxa"/>
                  <w:vMerge w:val="restart"/>
                  <w:vAlign w:val="center"/>
                </w:tcPr>
                <w:p>
                  <w:pPr>
                    <w:widowControl/>
                    <w:jc w:val="center"/>
                    <w:rPr>
                      <w:rFonts w:hint="eastAsia" w:eastAsia="宋体"/>
                      <w:kern w:val="0"/>
                      <w:szCs w:val="21"/>
                      <w:lang w:eastAsia="zh-CN"/>
                    </w:rPr>
                  </w:pPr>
                  <w:r>
                    <w:rPr>
                      <w:rFonts w:hint="eastAsia"/>
                      <w:kern w:val="0"/>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continue"/>
                  <w:vAlign w:val="center"/>
                </w:tcPr>
                <w:p>
                  <w:pPr>
                    <w:widowControl/>
                    <w:rPr>
                      <w:kern w:val="0"/>
                      <w:szCs w:val="21"/>
                    </w:rPr>
                  </w:pPr>
                </w:p>
              </w:tc>
              <w:tc>
                <w:tcPr>
                  <w:tcW w:w="2141" w:type="dxa"/>
                  <w:vAlign w:val="center"/>
                </w:tcPr>
                <w:p>
                  <w:pPr>
                    <w:widowControl/>
                    <w:rPr>
                      <w:kern w:val="0"/>
                      <w:szCs w:val="21"/>
                    </w:rPr>
                  </w:pPr>
                  <w:r>
                    <w:rPr>
                      <w:rFonts w:hint="eastAsia"/>
                      <w:kern w:val="0"/>
                      <w:szCs w:val="21"/>
                    </w:rPr>
                    <w:t>03#地块西侧、南侧、东侧沿街商铺；</w:t>
                  </w:r>
                </w:p>
              </w:tc>
              <w:tc>
                <w:tcPr>
                  <w:tcW w:w="1117" w:type="dxa"/>
                  <w:vMerge w:val="continue"/>
                  <w:vAlign w:val="center"/>
                </w:tcPr>
                <w:p>
                  <w:pPr>
                    <w:widowControl/>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746" w:type="dxa"/>
                  <w:vMerge w:val="continue"/>
                  <w:vAlign w:val="center"/>
                </w:tcPr>
                <w:p>
                  <w:pPr>
                    <w:widowControl/>
                  </w:pPr>
                </w:p>
              </w:tc>
              <w:tc>
                <w:tcPr>
                  <w:tcW w:w="1039" w:type="dxa"/>
                  <w:vMerge w:val="continue"/>
                  <w:vAlign w:val="center"/>
                </w:tcPr>
                <w:p>
                  <w:pPr>
                    <w:widowControl/>
                  </w:pPr>
                </w:p>
              </w:tc>
              <w:tc>
                <w:tcPr>
                  <w:tcW w:w="2800" w:type="dxa"/>
                  <w:gridSpan w:val="2"/>
                  <w:vMerge w:val="continue"/>
                  <w:vAlign w:val="center"/>
                </w:tcPr>
                <w:p>
                  <w:pPr>
                    <w:widowControl/>
                    <w:rPr>
                      <w:kern w:val="0"/>
                      <w:szCs w:val="21"/>
                    </w:rPr>
                  </w:pPr>
                </w:p>
              </w:tc>
              <w:tc>
                <w:tcPr>
                  <w:tcW w:w="2141" w:type="dxa"/>
                  <w:vAlign w:val="center"/>
                </w:tcPr>
                <w:p>
                  <w:pPr>
                    <w:widowControl/>
                    <w:rPr>
                      <w:kern w:val="0"/>
                      <w:szCs w:val="21"/>
                    </w:rPr>
                  </w:pPr>
                  <w:r>
                    <w:rPr>
                      <w:kern w:val="0"/>
                      <w:szCs w:val="21"/>
                    </w:rPr>
                    <w:t>04#地块S1# 1F-4F，S3#旁3F</w:t>
                  </w:r>
                </w:p>
              </w:tc>
              <w:tc>
                <w:tcPr>
                  <w:tcW w:w="1117" w:type="dxa"/>
                  <w:vAlign w:val="center"/>
                </w:tcPr>
                <w:p>
                  <w:pPr>
                    <w:widowControl/>
                    <w:jc w:val="center"/>
                    <w:rPr>
                      <w:rFonts w:hint="eastAsia" w:eastAsia="宋体"/>
                      <w:kern w:val="0"/>
                      <w:szCs w:val="21"/>
                      <w:lang w:eastAsia="zh-CN"/>
                    </w:rPr>
                  </w:pPr>
                  <w:r>
                    <w:rPr>
                      <w:rFonts w:hint="eastAsia"/>
                      <w:kern w:val="0"/>
                      <w:szCs w:val="21"/>
                      <w:lang w:eastAsia="zh-CN"/>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6" w:type="dxa"/>
                  <w:vMerge w:val="restart"/>
                  <w:vAlign w:val="center"/>
                </w:tcPr>
                <w:p>
                  <w:pPr>
                    <w:widowControl/>
                    <w:jc w:val="center"/>
                    <w:rPr>
                      <w:kern w:val="0"/>
                      <w:szCs w:val="21"/>
                    </w:rPr>
                  </w:pPr>
                  <w:r>
                    <w:rPr>
                      <w:kern w:val="0"/>
                      <w:szCs w:val="21"/>
                    </w:rPr>
                    <w:t>辅助工程</w:t>
                  </w:r>
                </w:p>
              </w:tc>
              <w:tc>
                <w:tcPr>
                  <w:tcW w:w="1039" w:type="dxa"/>
                  <w:vMerge w:val="restart"/>
                  <w:vAlign w:val="center"/>
                </w:tcPr>
                <w:p>
                  <w:pPr>
                    <w:widowControl/>
                    <w:jc w:val="center"/>
                    <w:rPr>
                      <w:kern w:val="0"/>
                      <w:szCs w:val="21"/>
                    </w:rPr>
                  </w:pPr>
                  <w:r>
                    <w:rPr>
                      <w:kern w:val="0"/>
                      <w:szCs w:val="21"/>
                    </w:rPr>
                    <w:t>停车场</w:t>
                  </w:r>
                </w:p>
              </w:tc>
              <w:tc>
                <w:tcPr>
                  <w:tcW w:w="1781" w:type="dxa"/>
                  <w:vMerge w:val="restart"/>
                  <w:vAlign w:val="center"/>
                </w:tcPr>
                <w:p>
                  <w:pPr>
                    <w:widowControl/>
                    <w:jc w:val="center"/>
                    <w:rPr>
                      <w:kern w:val="0"/>
                      <w:szCs w:val="21"/>
                    </w:rPr>
                  </w:pPr>
                  <w:r>
                    <w:rPr>
                      <w:kern w:val="0"/>
                      <w:szCs w:val="21"/>
                    </w:rPr>
                    <w:t>共计3103个停车位：地面303个，地下2800个</w:t>
                  </w:r>
                </w:p>
              </w:tc>
              <w:tc>
                <w:tcPr>
                  <w:tcW w:w="1019" w:type="dxa"/>
                  <w:vAlign w:val="center"/>
                </w:tcPr>
                <w:p>
                  <w:pPr>
                    <w:widowControl/>
                    <w:jc w:val="center"/>
                    <w:rPr>
                      <w:kern w:val="0"/>
                      <w:szCs w:val="21"/>
                    </w:rPr>
                  </w:pPr>
                  <w:r>
                    <w:rPr>
                      <w:kern w:val="0"/>
                      <w:szCs w:val="21"/>
                    </w:rPr>
                    <w:t>02#地块</w:t>
                  </w:r>
                </w:p>
              </w:tc>
              <w:tc>
                <w:tcPr>
                  <w:tcW w:w="2141" w:type="dxa"/>
                  <w:vAlign w:val="center"/>
                </w:tcPr>
                <w:p>
                  <w:pPr>
                    <w:widowControl/>
                    <w:jc w:val="center"/>
                    <w:rPr>
                      <w:kern w:val="0"/>
                      <w:szCs w:val="21"/>
                    </w:rPr>
                  </w:pPr>
                  <w:r>
                    <w:rPr>
                      <w:kern w:val="0"/>
                      <w:szCs w:val="21"/>
                    </w:rPr>
                    <w:t>共1501个停车位。地面：136个；地下：1365个</w:t>
                  </w:r>
                </w:p>
              </w:tc>
              <w:tc>
                <w:tcPr>
                  <w:tcW w:w="1117" w:type="dxa"/>
                  <w:vMerge w:val="restart"/>
                  <w:vAlign w:val="center"/>
                </w:tcPr>
                <w:p>
                  <w:pPr>
                    <w:widowControl/>
                    <w:jc w:val="center"/>
                    <w:rPr>
                      <w:kern w:val="0"/>
                      <w:szCs w:val="21"/>
                    </w:rPr>
                  </w:pPr>
                  <w:r>
                    <w:rPr>
                      <w:rFonts w:hint="eastAsia"/>
                      <w:kern w:val="0"/>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6" w:type="dxa"/>
                  <w:vMerge w:val="continue"/>
                  <w:vAlign w:val="center"/>
                </w:tcPr>
                <w:p>
                  <w:pPr>
                    <w:widowControl/>
                    <w:jc w:val="center"/>
                  </w:pPr>
                </w:p>
              </w:tc>
              <w:tc>
                <w:tcPr>
                  <w:tcW w:w="1039" w:type="dxa"/>
                  <w:vMerge w:val="continue"/>
                  <w:vAlign w:val="center"/>
                </w:tcPr>
                <w:p>
                  <w:pPr>
                    <w:widowControl/>
                    <w:jc w:val="center"/>
                  </w:pPr>
                </w:p>
              </w:tc>
              <w:tc>
                <w:tcPr>
                  <w:tcW w:w="1781" w:type="dxa"/>
                  <w:vMerge w:val="continue"/>
                  <w:vAlign w:val="center"/>
                </w:tcPr>
                <w:p>
                  <w:pPr>
                    <w:widowControl/>
                    <w:jc w:val="center"/>
                  </w:pPr>
                </w:p>
              </w:tc>
              <w:tc>
                <w:tcPr>
                  <w:tcW w:w="1019" w:type="dxa"/>
                  <w:vAlign w:val="center"/>
                </w:tcPr>
                <w:p>
                  <w:pPr>
                    <w:widowControl/>
                    <w:jc w:val="center"/>
                    <w:rPr>
                      <w:kern w:val="0"/>
                      <w:szCs w:val="21"/>
                    </w:rPr>
                  </w:pPr>
                  <w:r>
                    <w:rPr>
                      <w:kern w:val="0"/>
                      <w:szCs w:val="21"/>
                    </w:rPr>
                    <w:t>03#地块</w:t>
                  </w:r>
                </w:p>
              </w:tc>
              <w:tc>
                <w:tcPr>
                  <w:tcW w:w="2141" w:type="dxa"/>
                  <w:vAlign w:val="center"/>
                </w:tcPr>
                <w:p>
                  <w:pPr>
                    <w:widowControl/>
                    <w:jc w:val="center"/>
                    <w:rPr>
                      <w:kern w:val="0"/>
                      <w:szCs w:val="21"/>
                    </w:rPr>
                  </w:pPr>
                  <w:r>
                    <w:rPr>
                      <w:kern w:val="0"/>
                      <w:szCs w:val="21"/>
                    </w:rPr>
                    <w:t>共1103个停车位。地面：95个；地下：1008个</w:t>
                  </w:r>
                </w:p>
              </w:tc>
              <w:tc>
                <w:tcPr>
                  <w:tcW w:w="1117" w:type="dxa"/>
                  <w:vMerge w:val="continue"/>
                  <w:vAlign w:val="center"/>
                </w:tcPr>
                <w:p>
                  <w:pPr>
                    <w:widowControl/>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6" w:type="dxa"/>
                  <w:vMerge w:val="continue"/>
                  <w:vAlign w:val="center"/>
                </w:tcPr>
                <w:p>
                  <w:pPr>
                    <w:widowControl/>
                    <w:jc w:val="center"/>
                  </w:pPr>
                </w:p>
              </w:tc>
              <w:tc>
                <w:tcPr>
                  <w:tcW w:w="1039" w:type="dxa"/>
                  <w:vMerge w:val="continue"/>
                  <w:vAlign w:val="center"/>
                </w:tcPr>
                <w:p>
                  <w:pPr>
                    <w:widowControl/>
                    <w:jc w:val="center"/>
                  </w:pPr>
                </w:p>
              </w:tc>
              <w:tc>
                <w:tcPr>
                  <w:tcW w:w="1781" w:type="dxa"/>
                  <w:vMerge w:val="continue"/>
                  <w:vAlign w:val="center"/>
                </w:tcPr>
                <w:p>
                  <w:pPr>
                    <w:widowControl/>
                    <w:jc w:val="center"/>
                  </w:pPr>
                </w:p>
              </w:tc>
              <w:tc>
                <w:tcPr>
                  <w:tcW w:w="1019" w:type="dxa"/>
                  <w:vAlign w:val="center"/>
                </w:tcPr>
                <w:p>
                  <w:pPr>
                    <w:widowControl/>
                    <w:jc w:val="center"/>
                    <w:rPr>
                      <w:kern w:val="0"/>
                      <w:szCs w:val="21"/>
                    </w:rPr>
                  </w:pPr>
                  <w:r>
                    <w:rPr>
                      <w:kern w:val="0"/>
                      <w:szCs w:val="21"/>
                    </w:rPr>
                    <w:t>04#地块</w:t>
                  </w:r>
                </w:p>
              </w:tc>
              <w:tc>
                <w:tcPr>
                  <w:tcW w:w="2141" w:type="dxa"/>
                  <w:vAlign w:val="center"/>
                </w:tcPr>
                <w:p>
                  <w:pPr>
                    <w:widowControl/>
                    <w:jc w:val="center"/>
                    <w:rPr>
                      <w:kern w:val="0"/>
                      <w:szCs w:val="21"/>
                    </w:rPr>
                  </w:pPr>
                  <w:r>
                    <w:rPr>
                      <w:kern w:val="0"/>
                      <w:szCs w:val="21"/>
                    </w:rPr>
                    <w:t>共498个停车位。地面：72个；地下：426个</w:t>
                  </w:r>
                </w:p>
              </w:tc>
              <w:tc>
                <w:tcPr>
                  <w:tcW w:w="1117" w:type="dxa"/>
                  <w:vMerge w:val="continue"/>
                  <w:vAlign w:val="center"/>
                </w:tcPr>
                <w:p>
                  <w:pPr>
                    <w:widowControl/>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46" w:type="dxa"/>
                  <w:vMerge w:val="continue"/>
                  <w:vAlign w:val="center"/>
                </w:tcPr>
                <w:p>
                  <w:pPr>
                    <w:widowControl/>
                    <w:jc w:val="center"/>
                  </w:pPr>
                </w:p>
              </w:tc>
              <w:tc>
                <w:tcPr>
                  <w:tcW w:w="1039" w:type="dxa"/>
                  <w:vAlign w:val="center"/>
                </w:tcPr>
                <w:p>
                  <w:pPr>
                    <w:widowControl/>
                    <w:jc w:val="center"/>
                    <w:rPr>
                      <w:kern w:val="0"/>
                      <w:szCs w:val="21"/>
                    </w:rPr>
                  </w:pPr>
                  <w:r>
                    <w:rPr>
                      <w:kern w:val="0"/>
                      <w:szCs w:val="21"/>
                    </w:rPr>
                    <w:t>地下室</w:t>
                  </w:r>
                </w:p>
              </w:tc>
              <w:tc>
                <w:tcPr>
                  <w:tcW w:w="6058" w:type="dxa"/>
                  <w:gridSpan w:val="4"/>
                  <w:vAlign w:val="center"/>
                </w:tcPr>
                <w:p>
                  <w:pPr>
                    <w:widowControl/>
                    <w:jc w:val="center"/>
                    <w:rPr>
                      <w:kern w:val="0"/>
                      <w:szCs w:val="21"/>
                    </w:rPr>
                  </w:pPr>
                  <w:r>
                    <w:rPr>
                      <w:kern w:val="0"/>
                      <w:szCs w:val="21"/>
                    </w:rPr>
                    <w:t>专用设备用房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746" w:type="dxa"/>
                  <w:vMerge w:val="restart"/>
                  <w:vAlign w:val="center"/>
                </w:tcPr>
                <w:p>
                  <w:pPr>
                    <w:widowControl/>
                    <w:jc w:val="center"/>
                    <w:rPr>
                      <w:kern w:val="0"/>
                      <w:szCs w:val="21"/>
                    </w:rPr>
                  </w:pPr>
                  <w:r>
                    <w:rPr>
                      <w:kern w:val="0"/>
                      <w:szCs w:val="21"/>
                    </w:rPr>
                    <w:t>公用工程</w:t>
                  </w:r>
                </w:p>
              </w:tc>
              <w:tc>
                <w:tcPr>
                  <w:tcW w:w="1039" w:type="dxa"/>
                  <w:vAlign w:val="center"/>
                </w:tcPr>
                <w:p>
                  <w:pPr>
                    <w:widowControl/>
                    <w:jc w:val="center"/>
                    <w:rPr>
                      <w:kern w:val="0"/>
                      <w:szCs w:val="21"/>
                    </w:rPr>
                  </w:pPr>
                  <w:r>
                    <w:rPr>
                      <w:kern w:val="0"/>
                      <w:szCs w:val="21"/>
                    </w:rPr>
                    <w:t>供水</w:t>
                  </w:r>
                </w:p>
              </w:tc>
              <w:tc>
                <w:tcPr>
                  <w:tcW w:w="6058" w:type="dxa"/>
                  <w:gridSpan w:val="4"/>
                  <w:vAlign w:val="center"/>
                </w:tcPr>
                <w:p>
                  <w:pPr>
                    <w:widowControl/>
                    <w:jc w:val="left"/>
                    <w:rPr>
                      <w:kern w:val="0"/>
                      <w:szCs w:val="21"/>
                    </w:rPr>
                  </w:pPr>
                  <w:r>
                    <w:rPr>
                      <w:szCs w:val="21"/>
                    </w:rPr>
                    <w:t>生活用水、消防用水及其它用水均由城市自来水供水管网接入供给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排水</w:t>
                  </w:r>
                </w:p>
              </w:tc>
              <w:tc>
                <w:tcPr>
                  <w:tcW w:w="6058" w:type="dxa"/>
                  <w:gridSpan w:val="4"/>
                  <w:vAlign w:val="center"/>
                </w:tcPr>
                <w:p>
                  <w:pPr>
                    <w:widowControl/>
                    <w:jc w:val="left"/>
                    <w:rPr>
                      <w:kern w:val="0"/>
                      <w:szCs w:val="21"/>
                    </w:rPr>
                  </w:pPr>
                  <w:r>
                    <w:rPr>
                      <w:snapToGrid w:val="0"/>
                      <w:szCs w:val="21"/>
                    </w:rPr>
                    <w:t>雨污分流，</w:t>
                  </w:r>
                  <w:r>
                    <w:rPr>
                      <w:kern w:val="0"/>
                      <w:szCs w:val="21"/>
                    </w:rPr>
                    <w:t>雨水采用室外雨水管道收集后排入市政雨水井；</w:t>
                  </w:r>
                </w:p>
                <w:p>
                  <w:pPr>
                    <w:widowControl/>
                    <w:jc w:val="left"/>
                    <w:rPr>
                      <w:kern w:val="0"/>
                      <w:szCs w:val="21"/>
                    </w:rPr>
                  </w:pPr>
                  <w:r>
                    <w:rPr>
                      <w:rFonts w:hint="eastAsia"/>
                      <w:kern w:val="0"/>
                      <w:szCs w:val="21"/>
                      <w:lang w:eastAsia="zh-CN"/>
                    </w:rPr>
                    <w:t>三块地块设置</w:t>
                  </w:r>
                  <w:r>
                    <w:rPr>
                      <w:rFonts w:hint="eastAsia"/>
                      <w:kern w:val="0"/>
                      <w:szCs w:val="21"/>
                      <w:lang w:val="en-US" w:eastAsia="zh-CN"/>
                    </w:rPr>
                    <w:t>4处与市政污水管网接口（02#地块2处，03#、04#地块各一处）；</w:t>
                  </w:r>
                  <w:r>
                    <w:rPr>
                      <w:kern w:val="0"/>
                      <w:szCs w:val="21"/>
                    </w:rPr>
                    <w:t>地下车库冲洗废水经自建隔油池</w:t>
                  </w:r>
                  <w:r>
                    <w:rPr>
                      <w:snapToGrid w:val="0"/>
                      <w:kern w:val="0"/>
                      <w:szCs w:val="21"/>
                    </w:rPr>
                    <w:t>预处理后与生活污水</w:t>
                  </w:r>
                  <w:r>
                    <w:rPr>
                      <w:kern w:val="0"/>
                      <w:szCs w:val="21"/>
                    </w:rPr>
                    <w:t>进入自建化粪池处理后</w:t>
                  </w:r>
                  <w:r>
                    <w:rPr>
                      <w:rFonts w:hint="eastAsia"/>
                      <w:kern w:val="0"/>
                      <w:szCs w:val="21"/>
                      <w:lang w:eastAsia="zh-CN"/>
                    </w:rPr>
                    <w:t>分别</w:t>
                  </w:r>
                  <w:r>
                    <w:rPr>
                      <w:kern w:val="0"/>
                      <w:szCs w:val="21"/>
                    </w:rPr>
                    <w:t>排入</w:t>
                  </w:r>
                  <w:r>
                    <w:rPr>
                      <w:rFonts w:hint="eastAsia"/>
                      <w:kern w:val="0"/>
                      <w:szCs w:val="21"/>
                      <w:lang w:eastAsia="zh-CN"/>
                    </w:rPr>
                    <w:t>与</w:t>
                  </w:r>
                  <w:r>
                    <w:rPr>
                      <w:kern w:val="0"/>
                      <w:szCs w:val="21"/>
                    </w:rPr>
                    <w:t>市政污水管网</w:t>
                  </w:r>
                  <w:r>
                    <w:rPr>
                      <w:rFonts w:hint="eastAsia"/>
                      <w:kern w:val="0"/>
                      <w:szCs w:val="21"/>
                      <w:lang w:eastAsia="zh-CN"/>
                    </w:rPr>
                    <w:t>接口</w:t>
                  </w:r>
                  <w:r>
                    <w:rPr>
                      <w:kern w:val="0"/>
                      <w:szCs w:val="21"/>
                    </w:rPr>
                    <w:t>后</w:t>
                  </w:r>
                  <w:r>
                    <w:rPr>
                      <w:szCs w:val="21"/>
                    </w:rPr>
                    <w:t>通过</w:t>
                  </w:r>
                  <w:r>
                    <w:rPr>
                      <w:rFonts w:hint="eastAsia"/>
                      <w:szCs w:val="21"/>
                    </w:rPr>
                    <w:t>岳阳市马壕</w:t>
                  </w:r>
                  <w:r>
                    <w:rPr>
                      <w:szCs w:val="21"/>
                    </w:rPr>
                    <w:t>污水处理厂进行深度处理排入</w:t>
                  </w:r>
                  <w:r>
                    <w:rPr>
                      <w:rFonts w:hint="eastAsia"/>
                      <w:szCs w:val="21"/>
                    </w:rPr>
                    <w:t>东风湖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供电</w:t>
                  </w:r>
                </w:p>
              </w:tc>
              <w:tc>
                <w:tcPr>
                  <w:tcW w:w="6058" w:type="dxa"/>
                  <w:gridSpan w:val="4"/>
                  <w:vAlign w:val="center"/>
                </w:tcPr>
                <w:p>
                  <w:pPr>
                    <w:widowControl/>
                    <w:jc w:val="left"/>
                    <w:rPr>
                      <w:kern w:val="0"/>
                      <w:szCs w:val="21"/>
                    </w:rPr>
                  </w:pPr>
                  <w:r>
                    <w:rPr>
                      <w:rFonts w:hint="eastAsia"/>
                      <w:kern w:val="0"/>
                      <w:szCs w:val="21"/>
                    </w:rPr>
                    <w:t>市政电网供给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供气</w:t>
                  </w:r>
                </w:p>
              </w:tc>
              <w:tc>
                <w:tcPr>
                  <w:tcW w:w="6058" w:type="dxa"/>
                  <w:gridSpan w:val="4"/>
                  <w:vAlign w:val="center"/>
                </w:tcPr>
                <w:p>
                  <w:pPr>
                    <w:widowControl/>
                    <w:jc w:val="left"/>
                    <w:rPr>
                      <w:szCs w:val="21"/>
                    </w:rPr>
                  </w:pPr>
                  <w:r>
                    <w:rPr>
                      <w:szCs w:val="21"/>
                    </w:rPr>
                    <w:t>市政天然气供气管网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消防</w:t>
                  </w:r>
                </w:p>
              </w:tc>
              <w:tc>
                <w:tcPr>
                  <w:tcW w:w="6058" w:type="dxa"/>
                  <w:gridSpan w:val="4"/>
                  <w:vAlign w:val="center"/>
                </w:tcPr>
                <w:p>
                  <w:pPr>
                    <w:widowControl/>
                    <w:jc w:val="left"/>
                  </w:pPr>
                  <w:r>
                    <w:rPr>
                      <w:szCs w:val="21"/>
                    </w:rPr>
                    <w:t>道路宽度不小于 4 米，转弯半径 12 米，坡度不大于 3%。</w:t>
                  </w:r>
                  <w:r>
                    <w:rPr>
                      <w:kern w:val="0"/>
                      <w:szCs w:val="21"/>
                    </w:rPr>
                    <w:t>消防车道及消防登高操作场地内边，距建筑物外墙最小间距为 5 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6" w:type="dxa"/>
                  <w:vMerge w:val="restart"/>
                  <w:vAlign w:val="center"/>
                </w:tcPr>
                <w:p>
                  <w:pPr>
                    <w:widowControl/>
                    <w:jc w:val="center"/>
                    <w:rPr>
                      <w:kern w:val="0"/>
                      <w:szCs w:val="21"/>
                    </w:rPr>
                  </w:pPr>
                  <w:r>
                    <w:rPr>
                      <w:kern w:val="0"/>
                      <w:szCs w:val="21"/>
                    </w:rPr>
                    <w:t>环保工程</w:t>
                  </w:r>
                </w:p>
              </w:tc>
              <w:tc>
                <w:tcPr>
                  <w:tcW w:w="1039" w:type="dxa"/>
                  <w:vAlign w:val="center"/>
                </w:tcPr>
                <w:p>
                  <w:pPr>
                    <w:widowControl/>
                    <w:jc w:val="center"/>
                    <w:rPr>
                      <w:kern w:val="0"/>
                      <w:szCs w:val="21"/>
                    </w:rPr>
                  </w:pPr>
                  <w:r>
                    <w:rPr>
                      <w:kern w:val="0"/>
                      <w:szCs w:val="21"/>
                    </w:rPr>
                    <w:t>废气</w:t>
                  </w:r>
                </w:p>
              </w:tc>
              <w:tc>
                <w:tcPr>
                  <w:tcW w:w="6058" w:type="dxa"/>
                  <w:gridSpan w:val="4"/>
                  <w:vAlign w:val="center"/>
                </w:tcPr>
                <w:p>
                  <w:pPr>
                    <w:widowControl/>
                    <w:rPr>
                      <w:szCs w:val="21"/>
                    </w:rPr>
                  </w:pPr>
                  <w:r>
                    <w:rPr>
                      <w:rFonts w:hint="eastAsia"/>
                      <w:szCs w:val="21"/>
                    </w:rPr>
                    <w:t>地面停车废气：大气稀释扩散+绿植吸附</w:t>
                  </w:r>
                </w:p>
                <w:p>
                  <w:pPr>
                    <w:widowControl/>
                    <w:rPr>
                      <w:szCs w:val="21"/>
                    </w:rPr>
                  </w:pPr>
                  <w:r>
                    <w:rPr>
                      <w:szCs w:val="21"/>
                    </w:rPr>
                    <w:t>地下车库汽车废气：地下车库设有换气装置，设置多个排风出口，机动车尾气均经排风井引至地面排放，排放口朝向绿化带。</w:t>
                  </w:r>
                </w:p>
                <w:p>
                  <w:pPr>
                    <w:widowControl/>
                    <w:contextualSpacing/>
                    <w:rPr>
                      <w:kern w:val="0"/>
                      <w:szCs w:val="21"/>
                    </w:rPr>
                  </w:pPr>
                  <w:r>
                    <w:rPr>
                      <w:szCs w:val="21"/>
                    </w:rPr>
                    <w:t>厨房油烟：</w:t>
                  </w:r>
                  <w:r>
                    <w:rPr>
                      <w:kern w:val="0"/>
                      <w:szCs w:val="21"/>
                    </w:rPr>
                    <w:t>油烟经</w:t>
                  </w:r>
                  <w:r>
                    <w:rPr>
                      <w:rFonts w:hint="eastAsia"/>
                      <w:kern w:val="0"/>
                      <w:szCs w:val="21"/>
                    </w:rPr>
                    <w:t>家庭式</w:t>
                  </w:r>
                  <w:r>
                    <w:rPr>
                      <w:kern w:val="0"/>
                      <w:szCs w:val="21"/>
                    </w:rPr>
                    <w:t>油烟净化处理器后通过</w:t>
                  </w:r>
                  <w:r>
                    <w:rPr>
                      <w:szCs w:val="21"/>
                    </w:rPr>
                    <w:t>集中排烟竖井烟道</w:t>
                  </w:r>
                  <w:r>
                    <w:rPr>
                      <w:kern w:val="0"/>
                      <w:szCs w:val="21"/>
                    </w:rPr>
                    <w:t>至建筑物层顶外排</w:t>
                  </w:r>
                  <w:r>
                    <w:rPr>
                      <w:rFonts w:hint="eastAsia"/>
                      <w:kern w:val="0"/>
                      <w:szCs w:val="21"/>
                    </w:rPr>
                    <w:t>。</w:t>
                  </w:r>
                </w:p>
                <w:p>
                  <w:pPr>
                    <w:widowControl/>
                    <w:contextualSpacing/>
                    <w:rPr>
                      <w:kern w:val="0"/>
                      <w:szCs w:val="21"/>
                    </w:rPr>
                  </w:pPr>
                  <w:r>
                    <w:rPr>
                      <w:kern w:val="0"/>
                      <w:szCs w:val="21"/>
                    </w:rPr>
                    <w:t>垃圾</w:t>
                  </w:r>
                  <w:r>
                    <w:rPr>
                      <w:rFonts w:hint="eastAsia"/>
                      <w:kern w:val="0"/>
                      <w:szCs w:val="21"/>
                    </w:rPr>
                    <w:t>收集点</w:t>
                  </w:r>
                  <w:r>
                    <w:rPr>
                      <w:kern w:val="0"/>
                      <w:szCs w:val="21"/>
                    </w:rPr>
                    <w:t>废气：喷洒除臭剂+绿植吸附</w:t>
                  </w:r>
                  <w:r>
                    <w:rPr>
                      <w:rFonts w:hint="eastAsia"/>
                      <w:kern w:val="0"/>
                      <w:szCs w:val="21"/>
                    </w:rPr>
                    <w:t>。</w:t>
                  </w:r>
                </w:p>
                <w:p>
                  <w:pPr>
                    <w:widowControl/>
                    <w:contextualSpacing/>
                    <w:rPr>
                      <w:szCs w:val="21"/>
                    </w:rPr>
                  </w:pPr>
                  <w:r>
                    <w:rPr>
                      <w:kern w:val="0"/>
                      <w:szCs w:val="21"/>
                    </w:rPr>
                    <w:t>公厕废气：喷洒除臭剂+排风扇排散</w:t>
                  </w:r>
                  <w:r>
                    <w:rPr>
                      <w:rFonts w:hint="eastAsia"/>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噪声</w:t>
                  </w:r>
                </w:p>
              </w:tc>
              <w:tc>
                <w:tcPr>
                  <w:tcW w:w="6058" w:type="dxa"/>
                  <w:gridSpan w:val="4"/>
                  <w:vAlign w:val="center"/>
                </w:tcPr>
                <w:p>
                  <w:pPr>
                    <w:widowControl/>
                    <w:jc w:val="left"/>
                    <w:rPr>
                      <w:kern w:val="0"/>
                      <w:szCs w:val="21"/>
                    </w:rPr>
                  </w:pPr>
                  <w:r>
                    <w:rPr>
                      <w:snapToGrid w:val="0"/>
                      <w:szCs w:val="21"/>
                    </w:rPr>
                    <w:t>采用</w:t>
                  </w:r>
                  <w:r>
                    <w:rPr>
                      <w:kern w:val="0"/>
                      <w:szCs w:val="21"/>
                    </w:rPr>
                    <w:t>低噪声设备，同时采用减震、吸声等措施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746" w:type="dxa"/>
                  <w:vMerge w:val="continue"/>
                  <w:vAlign w:val="center"/>
                </w:tcPr>
                <w:p>
                  <w:pPr>
                    <w:widowControl/>
                    <w:jc w:val="center"/>
                    <w:rPr>
                      <w:kern w:val="0"/>
                      <w:szCs w:val="21"/>
                    </w:rPr>
                  </w:pPr>
                </w:p>
              </w:tc>
              <w:tc>
                <w:tcPr>
                  <w:tcW w:w="1039" w:type="dxa"/>
                  <w:vAlign w:val="center"/>
                </w:tcPr>
                <w:p>
                  <w:pPr>
                    <w:widowControl/>
                    <w:jc w:val="center"/>
                    <w:rPr>
                      <w:kern w:val="0"/>
                      <w:szCs w:val="21"/>
                    </w:rPr>
                  </w:pPr>
                  <w:r>
                    <w:rPr>
                      <w:kern w:val="0"/>
                      <w:szCs w:val="21"/>
                    </w:rPr>
                    <w:t>固废</w:t>
                  </w:r>
                </w:p>
              </w:tc>
              <w:tc>
                <w:tcPr>
                  <w:tcW w:w="6058" w:type="dxa"/>
                  <w:gridSpan w:val="4"/>
                  <w:vAlign w:val="center"/>
                </w:tcPr>
                <w:p>
                  <w:pPr>
                    <w:rPr>
                      <w:szCs w:val="21"/>
                    </w:rPr>
                  </w:pPr>
                  <w:r>
                    <w:rPr>
                      <w:rFonts w:hint="eastAsia"/>
                      <w:szCs w:val="21"/>
                    </w:rPr>
                    <w:t>每栋建筑周边都设有垃圾收集点（分类收集，带盖垃圾桶）；</w:t>
                  </w:r>
                </w:p>
                <w:p>
                  <w:pPr>
                    <w:rPr>
                      <w:szCs w:val="21"/>
                    </w:rPr>
                  </w:pPr>
                  <w:r>
                    <w:rPr>
                      <w:rFonts w:hint="eastAsia"/>
                      <w:szCs w:val="21"/>
                    </w:rPr>
                    <w:t>项目02#地块东北角和04#地块东南角分别设置了一个地埋式垃圾站</w:t>
                  </w:r>
                  <w:r>
                    <w:rPr>
                      <w:rFonts w:hint="eastAsia"/>
                      <w:lang w:eastAsia="zh-CN"/>
                    </w:rPr>
                    <w:t>和一个地面垃圾站</w:t>
                  </w:r>
                  <w:r>
                    <w:rPr>
                      <w:szCs w:val="21"/>
                    </w:rPr>
                    <w:t>，并定期交由当地环卫部门进行清运处置</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746" w:type="dxa"/>
                  <w:vMerge w:val="continue"/>
                  <w:vAlign w:val="center"/>
                </w:tcPr>
                <w:p>
                  <w:pPr>
                    <w:widowControl/>
                    <w:jc w:val="center"/>
                    <w:rPr>
                      <w:color w:val="FF0000"/>
                      <w:kern w:val="0"/>
                      <w:szCs w:val="21"/>
                    </w:rPr>
                  </w:pPr>
                </w:p>
              </w:tc>
              <w:tc>
                <w:tcPr>
                  <w:tcW w:w="1039" w:type="dxa"/>
                  <w:vAlign w:val="center"/>
                </w:tcPr>
                <w:p>
                  <w:pPr>
                    <w:widowControl/>
                    <w:jc w:val="center"/>
                    <w:rPr>
                      <w:kern w:val="0"/>
                      <w:szCs w:val="21"/>
                    </w:rPr>
                  </w:pPr>
                  <w:r>
                    <w:rPr>
                      <w:kern w:val="0"/>
                      <w:szCs w:val="21"/>
                    </w:rPr>
                    <w:t>废水</w:t>
                  </w:r>
                </w:p>
              </w:tc>
              <w:tc>
                <w:tcPr>
                  <w:tcW w:w="6058" w:type="dxa"/>
                  <w:gridSpan w:val="4"/>
                  <w:vAlign w:val="center"/>
                </w:tcPr>
                <w:p>
                  <w:pPr>
                    <w:widowControl/>
                    <w:rPr>
                      <w:kern w:val="0"/>
                      <w:szCs w:val="21"/>
                    </w:rPr>
                  </w:pPr>
                  <w:r>
                    <w:rPr>
                      <w:kern w:val="0"/>
                      <w:szCs w:val="21"/>
                    </w:rPr>
                    <w:t>地下车库冲洗废水经</w:t>
                  </w:r>
                  <w:r>
                    <w:rPr>
                      <w:rFonts w:hint="eastAsia"/>
                      <w:kern w:val="0"/>
                      <w:szCs w:val="21"/>
                    </w:rPr>
                    <w:t>自建</w:t>
                  </w:r>
                  <w:r>
                    <w:rPr>
                      <w:kern w:val="0"/>
                      <w:szCs w:val="21"/>
                    </w:rPr>
                    <w:t>隔油</w:t>
                  </w:r>
                  <w:r>
                    <w:rPr>
                      <w:rFonts w:hint="eastAsia"/>
                      <w:kern w:val="0"/>
                      <w:szCs w:val="21"/>
                    </w:rPr>
                    <w:t>池</w:t>
                  </w:r>
                  <w:r>
                    <w:rPr>
                      <w:snapToGrid w:val="0"/>
                      <w:kern w:val="0"/>
                      <w:szCs w:val="21"/>
                    </w:rPr>
                    <w:t>预处理后与生活污水</w:t>
                  </w:r>
                  <w:r>
                    <w:rPr>
                      <w:rFonts w:hint="eastAsia"/>
                      <w:snapToGrid w:val="0"/>
                      <w:kern w:val="0"/>
                      <w:szCs w:val="21"/>
                    </w:rPr>
                    <w:t>一起</w:t>
                  </w:r>
                  <w:r>
                    <w:rPr>
                      <w:kern w:val="0"/>
                      <w:szCs w:val="21"/>
                    </w:rPr>
                    <w:t>进入</w:t>
                  </w:r>
                  <w:r>
                    <w:rPr>
                      <w:rFonts w:hint="eastAsia"/>
                      <w:kern w:val="0"/>
                      <w:szCs w:val="21"/>
                    </w:rPr>
                    <w:t>自建</w:t>
                  </w:r>
                  <w:r>
                    <w:rPr>
                      <w:kern w:val="0"/>
                      <w:szCs w:val="21"/>
                    </w:rPr>
                    <w:t>化粪池处理</w:t>
                  </w:r>
                  <w:r>
                    <w:rPr>
                      <w:rFonts w:hint="eastAsia"/>
                      <w:kern w:val="0"/>
                      <w:szCs w:val="21"/>
                    </w:rPr>
                    <w:t>，</w:t>
                  </w:r>
                  <w:r>
                    <w:rPr>
                      <w:kern w:val="0"/>
                      <w:szCs w:val="21"/>
                    </w:rPr>
                    <w:t>排入市政污水管网后</w:t>
                  </w:r>
                  <w:r>
                    <w:rPr>
                      <w:szCs w:val="21"/>
                    </w:rPr>
                    <w:t>通过</w:t>
                  </w:r>
                  <w:r>
                    <w:rPr>
                      <w:rFonts w:hint="eastAsia"/>
                      <w:szCs w:val="21"/>
                    </w:rPr>
                    <w:t>岳阳市马壕</w:t>
                  </w:r>
                  <w:r>
                    <w:rPr>
                      <w:szCs w:val="21"/>
                    </w:rPr>
                    <w:t>污水处理厂进行深度处理再</w:t>
                  </w:r>
                  <w:r>
                    <w:rPr>
                      <w:rFonts w:hint="eastAsia"/>
                      <w:szCs w:val="21"/>
                    </w:rPr>
                    <w:t>排入东风湖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746" w:type="dxa"/>
                  <w:vMerge w:val="continue"/>
                  <w:vAlign w:val="center"/>
                </w:tcPr>
                <w:p>
                  <w:pPr>
                    <w:widowControl/>
                    <w:jc w:val="center"/>
                    <w:rPr>
                      <w:color w:val="FF0000"/>
                      <w:kern w:val="0"/>
                      <w:szCs w:val="21"/>
                    </w:rPr>
                  </w:pPr>
                </w:p>
              </w:tc>
              <w:tc>
                <w:tcPr>
                  <w:tcW w:w="1039" w:type="dxa"/>
                  <w:vAlign w:val="center"/>
                </w:tcPr>
                <w:p>
                  <w:pPr>
                    <w:widowControl/>
                    <w:jc w:val="center"/>
                    <w:rPr>
                      <w:kern w:val="0"/>
                      <w:szCs w:val="21"/>
                    </w:rPr>
                  </w:pPr>
                  <w:r>
                    <w:rPr>
                      <w:kern w:val="0"/>
                      <w:szCs w:val="21"/>
                    </w:rPr>
                    <w:t>绿化</w:t>
                  </w:r>
                </w:p>
              </w:tc>
              <w:tc>
                <w:tcPr>
                  <w:tcW w:w="6058" w:type="dxa"/>
                  <w:gridSpan w:val="4"/>
                  <w:vAlign w:val="center"/>
                </w:tcPr>
                <w:p>
                  <w:pPr>
                    <w:widowControl/>
                    <w:jc w:val="left"/>
                    <w:rPr>
                      <w:rFonts w:hint="default"/>
                      <w:kern w:val="0"/>
                      <w:szCs w:val="21"/>
                    </w:rPr>
                  </w:pPr>
                  <w:r>
                    <w:rPr>
                      <w:kern w:val="0"/>
                      <w:szCs w:val="21"/>
                    </w:rPr>
                    <w:t>绿化</w:t>
                  </w:r>
                  <w:r>
                    <w:rPr>
                      <w:rFonts w:hint="eastAsia"/>
                      <w:kern w:val="0"/>
                      <w:szCs w:val="21"/>
                      <w:lang w:eastAsia="zh-CN"/>
                    </w:rPr>
                    <w:t>总</w:t>
                  </w:r>
                  <w:r>
                    <w:rPr>
                      <w:kern w:val="0"/>
                      <w:szCs w:val="21"/>
                    </w:rPr>
                    <w:t>面积</w:t>
                  </w:r>
                  <w:r>
                    <w:rPr>
                      <w:rFonts w:hint="eastAsia"/>
                      <w:kern w:val="0"/>
                      <w:szCs w:val="21"/>
                    </w:rPr>
                    <w:t>38735</w:t>
                  </w:r>
                  <w:r>
                    <w:rPr>
                      <w:kern w:val="0"/>
                      <w:szCs w:val="21"/>
                    </w:rPr>
                    <w:t>m</w:t>
                  </w:r>
                  <w:r>
                    <w:rPr>
                      <w:kern w:val="0"/>
                      <w:szCs w:val="21"/>
                      <w:vertAlign w:val="superscript"/>
                    </w:rPr>
                    <w:t>2</w:t>
                  </w:r>
                  <w:r>
                    <w:rPr>
                      <w:rFonts w:hint="eastAsia"/>
                      <w:kern w:val="0"/>
                      <w:sz w:val="21"/>
                      <w:szCs w:val="21"/>
                      <w:vertAlign w:val="baseline"/>
                      <w:lang w:eastAsia="zh-CN"/>
                    </w:rPr>
                    <w:t>；其中，</w:t>
                  </w:r>
                  <w:r>
                    <w:rPr>
                      <w:rFonts w:hint="eastAsia"/>
                      <w:kern w:val="0"/>
                      <w:sz w:val="21"/>
                      <w:szCs w:val="21"/>
                      <w:vertAlign w:val="baseline"/>
                      <w:lang w:val="en-US" w:eastAsia="zh-CN"/>
                    </w:rPr>
                    <w:t>02#地块绿化面积：24181</w:t>
                  </w:r>
                  <w:r>
                    <w:rPr>
                      <w:kern w:val="0"/>
                      <w:szCs w:val="21"/>
                    </w:rPr>
                    <w:t>m</w:t>
                  </w:r>
                  <w:r>
                    <w:rPr>
                      <w:kern w:val="0"/>
                      <w:szCs w:val="21"/>
                      <w:vertAlign w:val="superscript"/>
                    </w:rPr>
                    <w:t>2</w:t>
                  </w:r>
                  <w:r>
                    <w:rPr>
                      <w:rFonts w:hint="eastAsia"/>
                      <w:kern w:val="0"/>
                      <w:sz w:val="21"/>
                      <w:szCs w:val="21"/>
                      <w:vertAlign w:val="baseline"/>
                      <w:lang w:val="en-US" w:eastAsia="zh-CN"/>
                    </w:rPr>
                    <w:t>，03#地块绿化面积：10256</w:t>
                  </w:r>
                  <w:r>
                    <w:rPr>
                      <w:kern w:val="0"/>
                      <w:szCs w:val="21"/>
                    </w:rPr>
                    <w:t>m</w:t>
                  </w:r>
                  <w:r>
                    <w:rPr>
                      <w:kern w:val="0"/>
                      <w:szCs w:val="21"/>
                      <w:vertAlign w:val="superscript"/>
                    </w:rPr>
                    <w:t>2</w:t>
                  </w:r>
                  <w:r>
                    <w:rPr>
                      <w:rFonts w:hint="eastAsia"/>
                      <w:kern w:val="0"/>
                      <w:sz w:val="21"/>
                      <w:szCs w:val="21"/>
                      <w:vertAlign w:val="baseline"/>
                      <w:lang w:val="en-US" w:eastAsia="zh-CN"/>
                    </w:rPr>
                    <w:t>，04#地块绿化面积：4298</w:t>
                  </w:r>
                  <w:r>
                    <w:rPr>
                      <w:kern w:val="0"/>
                      <w:szCs w:val="21"/>
                    </w:rPr>
                    <w:t>m</w:t>
                  </w:r>
                  <w:r>
                    <w:rPr>
                      <w:kern w:val="0"/>
                      <w:szCs w:val="21"/>
                      <w:vertAlign w:val="superscript"/>
                    </w:rPr>
                    <w:t>2</w:t>
                  </w:r>
                  <w:r>
                    <w:rPr>
                      <w:rFonts w:hint="eastAsia"/>
                      <w:kern w:val="0"/>
                      <w:sz w:val="21"/>
                      <w:szCs w:val="21"/>
                      <w:vertAlign w:val="baseline"/>
                      <w:lang w:val="en-US" w:eastAsia="zh-CN"/>
                    </w:rPr>
                    <w:t>。</w:t>
                  </w:r>
                </w:p>
              </w:tc>
            </w:tr>
          </w:tbl>
          <w:p>
            <w:pPr>
              <w:pStyle w:val="2"/>
              <w:ind w:firstLine="482"/>
              <w:rPr>
                <w:b/>
                <w:bCs/>
              </w:rPr>
            </w:pPr>
            <w:r>
              <w:rPr>
                <w:rFonts w:hint="eastAsia"/>
                <w:b/>
                <w:bCs/>
              </w:rPr>
              <w:t>二、经济技术指标</w:t>
            </w:r>
          </w:p>
          <w:p>
            <w:pPr>
              <w:pStyle w:val="2"/>
              <w:ind w:firstLine="480"/>
              <w:rPr>
                <w:b/>
                <w:snapToGrid w:val="0"/>
                <w:szCs w:val="21"/>
              </w:rPr>
            </w:pPr>
            <w:r>
              <w:rPr>
                <w:rFonts w:hint="eastAsia"/>
              </w:rPr>
              <w:t>本项目主要经济技术指标见下表。</w:t>
            </w:r>
          </w:p>
          <w:p>
            <w:pPr>
              <w:ind w:firstLine="422"/>
              <w:jc w:val="center"/>
              <w:rPr>
                <w:rFonts w:ascii="宋体" w:hAnsi="宋体"/>
                <w:b/>
                <w:snapToGrid w:val="0"/>
                <w:szCs w:val="21"/>
              </w:rPr>
            </w:pPr>
            <w:r>
              <w:rPr>
                <w:b/>
                <w:snapToGrid w:val="0"/>
                <w:szCs w:val="21"/>
              </w:rPr>
              <w:t>表</w:t>
            </w:r>
            <w:r>
              <w:rPr>
                <w:rFonts w:hint="eastAsia"/>
                <w:b/>
                <w:snapToGrid w:val="0"/>
                <w:szCs w:val="21"/>
              </w:rPr>
              <w:t>2</w:t>
            </w:r>
            <w:r>
              <w:rPr>
                <w:b/>
                <w:snapToGrid w:val="0"/>
                <w:szCs w:val="21"/>
              </w:rPr>
              <w:t>-2</w:t>
            </w:r>
            <w:r>
              <w:rPr>
                <w:rFonts w:hint="eastAsia"/>
                <w:b/>
                <w:snapToGrid w:val="0"/>
                <w:szCs w:val="21"/>
              </w:rPr>
              <w:t xml:space="preserve">  02#地块</w:t>
            </w:r>
            <w:r>
              <w:rPr>
                <w:rFonts w:hint="eastAsia" w:ascii="宋体" w:hAnsi="宋体"/>
                <w:b/>
                <w:snapToGrid w:val="0"/>
                <w:szCs w:val="21"/>
              </w:rPr>
              <w:t>主要技术经济指标表</w:t>
            </w:r>
          </w:p>
          <w:tbl>
            <w:tblPr>
              <w:tblStyle w:val="18"/>
              <w:tblW w:w="81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450"/>
              <w:gridCol w:w="210"/>
              <w:gridCol w:w="300"/>
              <w:gridCol w:w="240"/>
              <w:gridCol w:w="1560"/>
              <w:gridCol w:w="1095"/>
              <w:gridCol w:w="1905"/>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72" w:type="dxa"/>
                  <w:vAlign w:val="center"/>
                </w:tcPr>
                <w:p>
                  <w:pPr>
                    <w:jc w:val="center"/>
                    <w:rPr>
                      <w:szCs w:val="21"/>
                    </w:rPr>
                  </w:pPr>
                  <w:r>
                    <w:rPr>
                      <w:szCs w:val="21"/>
                    </w:rPr>
                    <w:t>序号</w:t>
                  </w:r>
                </w:p>
              </w:tc>
              <w:tc>
                <w:tcPr>
                  <w:tcW w:w="2760" w:type="dxa"/>
                  <w:gridSpan w:val="5"/>
                  <w:vAlign w:val="center"/>
                </w:tcPr>
                <w:p>
                  <w:pPr>
                    <w:jc w:val="center"/>
                    <w:rPr>
                      <w:szCs w:val="21"/>
                    </w:rPr>
                  </w:pPr>
                  <w:r>
                    <w:rPr>
                      <w:szCs w:val="21"/>
                    </w:rPr>
                    <w:t>指标名称</w:t>
                  </w:r>
                </w:p>
              </w:tc>
              <w:tc>
                <w:tcPr>
                  <w:tcW w:w="1095" w:type="dxa"/>
                  <w:vAlign w:val="center"/>
                </w:tcPr>
                <w:p>
                  <w:pPr>
                    <w:jc w:val="center"/>
                    <w:rPr>
                      <w:szCs w:val="21"/>
                    </w:rPr>
                  </w:pPr>
                  <w:r>
                    <w:rPr>
                      <w:szCs w:val="21"/>
                    </w:rPr>
                    <w:t>单位</w:t>
                  </w:r>
                </w:p>
              </w:tc>
              <w:tc>
                <w:tcPr>
                  <w:tcW w:w="1905" w:type="dxa"/>
                  <w:vAlign w:val="center"/>
                </w:tcPr>
                <w:p>
                  <w:pPr>
                    <w:jc w:val="center"/>
                    <w:rPr>
                      <w:szCs w:val="21"/>
                    </w:rPr>
                  </w:pPr>
                  <w:r>
                    <w:rPr>
                      <w:szCs w:val="21"/>
                    </w:rPr>
                    <w:t>指标值</w:t>
                  </w:r>
                </w:p>
              </w:tc>
              <w:tc>
                <w:tcPr>
                  <w:tcW w:w="1315" w:type="dxa"/>
                  <w:vAlign w:val="center"/>
                </w:tcPr>
                <w:p>
                  <w:pPr>
                    <w:jc w:val="center"/>
                    <w:rPr>
                      <w:szCs w:val="21"/>
                    </w:rPr>
                  </w:pPr>
                  <w:r>
                    <w:rPr>
                      <w:rFonts w:hint="eastAsia"/>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1</w:t>
                  </w:r>
                </w:p>
              </w:tc>
              <w:tc>
                <w:tcPr>
                  <w:tcW w:w="2760" w:type="dxa"/>
                  <w:gridSpan w:val="5"/>
                  <w:vAlign w:val="center"/>
                </w:tcPr>
                <w:p>
                  <w:pPr>
                    <w:jc w:val="center"/>
                    <w:rPr>
                      <w:szCs w:val="21"/>
                    </w:rPr>
                  </w:pPr>
                  <w:r>
                    <w:rPr>
                      <w:szCs w:val="21"/>
                    </w:rPr>
                    <w:t>总</w:t>
                  </w:r>
                  <w:r>
                    <w:rPr>
                      <w:rFonts w:hint="eastAsia"/>
                      <w:szCs w:val="21"/>
                      <w:lang w:eastAsia="zh-CN"/>
                    </w:rPr>
                    <w:t>净</w:t>
                  </w:r>
                  <w:r>
                    <w:rPr>
                      <w:szCs w:val="21"/>
                    </w:rPr>
                    <w:t>用地面积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69068</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2" w:type="dxa"/>
                  <w:vAlign w:val="center"/>
                </w:tcPr>
                <w:p>
                  <w:pPr>
                    <w:jc w:val="center"/>
                    <w:rPr>
                      <w:szCs w:val="21"/>
                    </w:rPr>
                  </w:pPr>
                  <w:r>
                    <w:rPr>
                      <w:szCs w:val="21"/>
                    </w:rPr>
                    <w:t>2</w:t>
                  </w:r>
                </w:p>
              </w:tc>
              <w:tc>
                <w:tcPr>
                  <w:tcW w:w="2760" w:type="dxa"/>
                  <w:gridSpan w:val="5"/>
                  <w:vAlign w:val="center"/>
                </w:tcPr>
                <w:p>
                  <w:pPr>
                    <w:jc w:val="center"/>
                    <w:rPr>
                      <w:szCs w:val="21"/>
                    </w:rPr>
                  </w:pPr>
                  <w:r>
                    <w:rPr>
                      <w:szCs w:val="21"/>
                    </w:rPr>
                    <w:t>总建筑面积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201964.116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szCs w:val="21"/>
                    </w:rPr>
                    <w:t>3</w:t>
                  </w:r>
                </w:p>
              </w:tc>
              <w:tc>
                <w:tcPr>
                  <w:tcW w:w="2760" w:type="dxa"/>
                  <w:gridSpan w:val="5"/>
                  <w:vAlign w:val="center"/>
                </w:tcPr>
                <w:p>
                  <w:pPr>
                    <w:jc w:val="center"/>
                    <w:rPr>
                      <w:szCs w:val="21"/>
                    </w:rPr>
                  </w:pPr>
                  <w:r>
                    <w:rPr>
                      <w:rFonts w:hint="eastAsia"/>
                      <w:szCs w:val="21"/>
                    </w:rPr>
                    <w:t>总</w:t>
                  </w:r>
                  <w:r>
                    <w:rPr>
                      <w:szCs w:val="21"/>
                    </w:rPr>
                    <w:t>计容建筑面积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149883.305</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r>
                    <w:rPr>
                      <w:rFonts w:hint="eastAsia"/>
                      <w:szCs w:val="21"/>
                    </w:rPr>
                    <w:t>其中</w:t>
                  </w:r>
                </w:p>
              </w:tc>
              <w:tc>
                <w:tcPr>
                  <w:tcW w:w="2100" w:type="dxa"/>
                  <w:gridSpan w:val="3"/>
                  <w:vAlign w:val="center"/>
                </w:tcPr>
                <w:p>
                  <w:pPr>
                    <w:jc w:val="center"/>
                    <w:rPr>
                      <w:szCs w:val="21"/>
                    </w:rPr>
                  </w:pPr>
                  <w:r>
                    <w:rPr>
                      <w:szCs w:val="21"/>
                    </w:rPr>
                    <w:t>住宅面积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143258.731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560" w:type="dxa"/>
                  <w:vAlign w:val="center"/>
                </w:tcPr>
                <w:p>
                  <w:pPr>
                    <w:jc w:val="center"/>
                    <w:rPr>
                      <w:szCs w:val="21"/>
                    </w:rPr>
                  </w:pPr>
                  <w:r>
                    <w:rPr>
                      <w:rFonts w:hint="eastAsia"/>
                      <w:szCs w:val="21"/>
                    </w:rPr>
                    <w:t>多层住宅</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25462.173</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高层</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117796.5588</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商业面积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 xml:space="preserve">1497.229                                                                                                                                                                                                                                                                                                                                                                                                                                                                                                                                                                                                                                                                                                                        </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公共服务配套</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5127.345</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560" w:type="dxa"/>
                  <w:vAlign w:val="center"/>
                </w:tcPr>
                <w:p>
                  <w:pPr>
                    <w:jc w:val="center"/>
                    <w:rPr>
                      <w:szCs w:val="21"/>
                    </w:rPr>
                  </w:pPr>
                  <w:r>
                    <w:rPr>
                      <w:rFonts w:hint="eastAsia"/>
                      <w:szCs w:val="21"/>
                    </w:rPr>
                    <w:t>养老服务设施</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360.89</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垃圾站</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40.2</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szCs w:val="21"/>
                    </w:rPr>
                    <w:t>物管用房</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954.075</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幼儿园（9班）</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2707.050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对外公厕</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63.78</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社区服务站</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1001.350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2760" w:type="dxa"/>
                  <w:gridSpan w:val="5"/>
                  <w:vAlign w:val="center"/>
                </w:tcPr>
                <w:p>
                  <w:pPr>
                    <w:jc w:val="center"/>
                    <w:rPr>
                      <w:szCs w:val="21"/>
                    </w:rPr>
                  </w:pPr>
                  <w:r>
                    <w:rPr>
                      <w:rFonts w:hint="eastAsia"/>
                      <w:szCs w:val="21"/>
                    </w:rPr>
                    <w:t>总不计容建筑面积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52080.811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p>
              </w:tc>
              <w:tc>
                <w:tcPr>
                  <w:tcW w:w="2100" w:type="dxa"/>
                  <w:gridSpan w:val="3"/>
                  <w:vAlign w:val="center"/>
                </w:tcPr>
                <w:p>
                  <w:pPr>
                    <w:jc w:val="center"/>
                    <w:rPr>
                      <w:szCs w:val="21"/>
                    </w:rPr>
                  </w:pPr>
                  <w:r>
                    <w:rPr>
                      <w:rFonts w:hint="eastAsia"/>
                      <w:szCs w:val="21"/>
                    </w:rPr>
                    <w:t>架空层</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434.220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地下车库面积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51646.591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4</w:t>
                  </w:r>
                </w:p>
              </w:tc>
              <w:tc>
                <w:tcPr>
                  <w:tcW w:w="2760" w:type="dxa"/>
                  <w:gridSpan w:val="5"/>
                  <w:vAlign w:val="center"/>
                </w:tcPr>
                <w:p>
                  <w:pPr>
                    <w:jc w:val="center"/>
                    <w:rPr>
                      <w:szCs w:val="21"/>
                    </w:rPr>
                  </w:pPr>
                  <w:r>
                    <w:rPr>
                      <w:rFonts w:hint="eastAsia"/>
                      <w:szCs w:val="21"/>
                    </w:rPr>
                    <w:t>总占地面积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13436.214</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5</w:t>
                  </w:r>
                </w:p>
              </w:tc>
              <w:tc>
                <w:tcPr>
                  <w:tcW w:w="2760" w:type="dxa"/>
                  <w:gridSpan w:val="5"/>
                  <w:vAlign w:val="center"/>
                </w:tcPr>
                <w:p>
                  <w:pPr>
                    <w:jc w:val="center"/>
                    <w:rPr>
                      <w:szCs w:val="21"/>
                    </w:rPr>
                  </w:pPr>
                  <w:r>
                    <w:rPr>
                      <w:rFonts w:hint="eastAsia"/>
                      <w:szCs w:val="21"/>
                    </w:rPr>
                    <w:t>建筑密度</w:t>
                  </w:r>
                </w:p>
              </w:tc>
              <w:tc>
                <w:tcPr>
                  <w:tcW w:w="1095" w:type="dxa"/>
                  <w:vAlign w:val="center"/>
                </w:tcPr>
                <w:p>
                  <w:pPr>
                    <w:jc w:val="center"/>
                    <w:rPr>
                      <w:szCs w:val="21"/>
                    </w:rPr>
                  </w:pPr>
                  <w:r>
                    <w:rPr>
                      <w:rFonts w:hint="eastAsia"/>
                      <w:szCs w:val="21"/>
                    </w:rPr>
                    <w:t>%</w:t>
                  </w:r>
                </w:p>
              </w:tc>
              <w:tc>
                <w:tcPr>
                  <w:tcW w:w="1905" w:type="dxa"/>
                  <w:vAlign w:val="center"/>
                </w:tcPr>
                <w:p>
                  <w:pPr>
                    <w:jc w:val="center"/>
                    <w:rPr>
                      <w:szCs w:val="21"/>
                    </w:rPr>
                  </w:pPr>
                  <w:r>
                    <w:rPr>
                      <w:rFonts w:hint="eastAsia"/>
                      <w:szCs w:val="21"/>
                    </w:rPr>
                    <w:t>19.45</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6</w:t>
                  </w:r>
                </w:p>
              </w:tc>
              <w:tc>
                <w:tcPr>
                  <w:tcW w:w="2760" w:type="dxa"/>
                  <w:gridSpan w:val="5"/>
                  <w:vAlign w:val="center"/>
                </w:tcPr>
                <w:p>
                  <w:pPr>
                    <w:jc w:val="center"/>
                    <w:rPr>
                      <w:szCs w:val="21"/>
                    </w:rPr>
                  </w:pPr>
                  <w:r>
                    <w:rPr>
                      <w:rFonts w:hint="eastAsia"/>
                      <w:szCs w:val="21"/>
                    </w:rPr>
                    <w:t>容积率</w:t>
                  </w:r>
                </w:p>
              </w:tc>
              <w:tc>
                <w:tcPr>
                  <w:tcW w:w="1095" w:type="dxa"/>
                  <w:vAlign w:val="center"/>
                </w:tcPr>
                <w:p>
                  <w:pPr>
                    <w:jc w:val="center"/>
                    <w:rPr>
                      <w:szCs w:val="21"/>
                    </w:rPr>
                  </w:pPr>
                </w:p>
              </w:tc>
              <w:tc>
                <w:tcPr>
                  <w:tcW w:w="1905" w:type="dxa"/>
                  <w:vAlign w:val="center"/>
                </w:tcPr>
                <w:p>
                  <w:pPr>
                    <w:jc w:val="center"/>
                    <w:rPr>
                      <w:szCs w:val="21"/>
                    </w:rPr>
                  </w:pPr>
                  <w:r>
                    <w:rPr>
                      <w:rFonts w:hint="eastAsia"/>
                      <w:szCs w:val="21"/>
                    </w:rPr>
                    <w:t>2.170</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7</w:t>
                  </w:r>
                </w:p>
              </w:tc>
              <w:tc>
                <w:tcPr>
                  <w:tcW w:w="2760" w:type="dxa"/>
                  <w:gridSpan w:val="5"/>
                  <w:vAlign w:val="center"/>
                </w:tcPr>
                <w:p>
                  <w:pPr>
                    <w:jc w:val="center"/>
                    <w:rPr>
                      <w:szCs w:val="21"/>
                    </w:rPr>
                  </w:pPr>
                  <w:r>
                    <w:rPr>
                      <w:rFonts w:hint="eastAsia"/>
                      <w:szCs w:val="21"/>
                    </w:rPr>
                    <w:t>住户数</w:t>
                  </w:r>
                </w:p>
              </w:tc>
              <w:tc>
                <w:tcPr>
                  <w:tcW w:w="1095" w:type="dxa"/>
                  <w:vAlign w:val="center"/>
                </w:tcPr>
                <w:p>
                  <w:pPr>
                    <w:jc w:val="center"/>
                    <w:rPr>
                      <w:szCs w:val="21"/>
                    </w:rPr>
                  </w:pPr>
                  <w:r>
                    <w:rPr>
                      <w:rFonts w:hint="eastAsia"/>
                      <w:szCs w:val="21"/>
                    </w:rPr>
                    <w:t>户（套）</w:t>
                  </w:r>
                </w:p>
              </w:tc>
              <w:tc>
                <w:tcPr>
                  <w:tcW w:w="1905" w:type="dxa"/>
                  <w:vAlign w:val="center"/>
                </w:tcPr>
                <w:p>
                  <w:pPr>
                    <w:jc w:val="center"/>
                    <w:rPr>
                      <w:szCs w:val="21"/>
                    </w:rPr>
                  </w:pPr>
                  <w:r>
                    <w:rPr>
                      <w:rFonts w:hint="eastAsia"/>
                      <w:szCs w:val="21"/>
                    </w:rPr>
                    <w:t>1128</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8</w:t>
                  </w:r>
                </w:p>
              </w:tc>
              <w:tc>
                <w:tcPr>
                  <w:tcW w:w="2760" w:type="dxa"/>
                  <w:gridSpan w:val="5"/>
                  <w:vAlign w:val="center"/>
                </w:tcPr>
                <w:p>
                  <w:pPr>
                    <w:jc w:val="center"/>
                    <w:rPr>
                      <w:szCs w:val="21"/>
                    </w:rPr>
                  </w:pPr>
                  <w:r>
                    <w:rPr>
                      <w:rFonts w:hint="eastAsia"/>
                      <w:szCs w:val="21"/>
                    </w:rPr>
                    <w:t>居住人数</w:t>
                  </w:r>
                </w:p>
              </w:tc>
              <w:tc>
                <w:tcPr>
                  <w:tcW w:w="1095" w:type="dxa"/>
                  <w:vAlign w:val="center"/>
                </w:tcPr>
                <w:p>
                  <w:pPr>
                    <w:jc w:val="center"/>
                    <w:rPr>
                      <w:szCs w:val="21"/>
                    </w:rPr>
                  </w:pPr>
                  <w:r>
                    <w:rPr>
                      <w:rFonts w:hint="eastAsia"/>
                      <w:szCs w:val="21"/>
                    </w:rPr>
                    <w:t>人</w:t>
                  </w:r>
                </w:p>
              </w:tc>
              <w:tc>
                <w:tcPr>
                  <w:tcW w:w="1905" w:type="dxa"/>
                  <w:vAlign w:val="center"/>
                </w:tcPr>
                <w:p>
                  <w:pPr>
                    <w:jc w:val="center"/>
                    <w:rPr>
                      <w:szCs w:val="21"/>
                    </w:rPr>
                  </w:pPr>
                  <w:r>
                    <w:rPr>
                      <w:rFonts w:hint="eastAsia"/>
                      <w:szCs w:val="21"/>
                    </w:rPr>
                    <w:t>3610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9</w:t>
                  </w:r>
                </w:p>
              </w:tc>
              <w:tc>
                <w:tcPr>
                  <w:tcW w:w="2760" w:type="dxa"/>
                  <w:gridSpan w:val="5"/>
                  <w:vAlign w:val="center"/>
                </w:tcPr>
                <w:p>
                  <w:pPr>
                    <w:jc w:val="center"/>
                    <w:rPr>
                      <w:szCs w:val="21"/>
                    </w:rPr>
                  </w:pPr>
                  <w:r>
                    <w:rPr>
                      <w:rFonts w:hint="eastAsia"/>
                      <w:szCs w:val="21"/>
                    </w:rPr>
                    <w:t>建筑高度</w:t>
                  </w:r>
                </w:p>
              </w:tc>
              <w:tc>
                <w:tcPr>
                  <w:tcW w:w="1095" w:type="dxa"/>
                  <w:vAlign w:val="center"/>
                </w:tcPr>
                <w:p>
                  <w:pPr>
                    <w:jc w:val="center"/>
                    <w:rPr>
                      <w:szCs w:val="21"/>
                    </w:rPr>
                  </w:pPr>
                  <w:r>
                    <w:rPr>
                      <w:szCs w:val="21"/>
                    </w:rPr>
                    <w:t>m</w:t>
                  </w:r>
                </w:p>
              </w:tc>
              <w:tc>
                <w:tcPr>
                  <w:tcW w:w="1905" w:type="dxa"/>
                  <w:vAlign w:val="center"/>
                </w:tcPr>
                <w:p>
                  <w:pPr>
                    <w:jc w:val="center"/>
                    <w:rPr>
                      <w:szCs w:val="21"/>
                    </w:rPr>
                  </w:pPr>
                  <w:r>
                    <w:rPr>
                      <w:rFonts w:hint="eastAsia"/>
                      <w:szCs w:val="21"/>
                    </w:rPr>
                    <w:t>100/60/24</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10</w:t>
                  </w:r>
                </w:p>
              </w:tc>
              <w:tc>
                <w:tcPr>
                  <w:tcW w:w="2760" w:type="dxa"/>
                  <w:gridSpan w:val="5"/>
                  <w:vAlign w:val="center"/>
                </w:tcPr>
                <w:p>
                  <w:pPr>
                    <w:jc w:val="center"/>
                    <w:rPr>
                      <w:szCs w:val="21"/>
                    </w:rPr>
                  </w:pPr>
                  <w:r>
                    <w:rPr>
                      <w:rFonts w:hint="eastAsia"/>
                      <w:szCs w:val="21"/>
                    </w:rPr>
                    <w:t>绿地率</w:t>
                  </w:r>
                </w:p>
              </w:tc>
              <w:tc>
                <w:tcPr>
                  <w:tcW w:w="1095" w:type="dxa"/>
                  <w:vAlign w:val="center"/>
                </w:tcPr>
                <w:p>
                  <w:pPr>
                    <w:jc w:val="center"/>
                    <w:rPr>
                      <w:szCs w:val="21"/>
                    </w:rPr>
                  </w:pPr>
                  <w:r>
                    <w:rPr>
                      <w:rFonts w:hint="eastAsia"/>
                      <w:szCs w:val="21"/>
                    </w:rPr>
                    <w:t>%</w:t>
                  </w:r>
                </w:p>
              </w:tc>
              <w:tc>
                <w:tcPr>
                  <w:tcW w:w="1905" w:type="dxa"/>
                  <w:vAlign w:val="center"/>
                </w:tcPr>
                <w:p>
                  <w:pPr>
                    <w:jc w:val="center"/>
                    <w:rPr>
                      <w:szCs w:val="21"/>
                    </w:rPr>
                  </w:pPr>
                  <w:r>
                    <w:rPr>
                      <w:rFonts w:hint="eastAsia"/>
                      <w:szCs w:val="21"/>
                    </w:rPr>
                    <w:t>35.01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rFonts w:hint="eastAsia"/>
                      <w:szCs w:val="21"/>
                    </w:rPr>
                    <w:t>11</w:t>
                  </w:r>
                </w:p>
              </w:tc>
              <w:tc>
                <w:tcPr>
                  <w:tcW w:w="2760" w:type="dxa"/>
                  <w:gridSpan w:val="5"/>
                  <w:vAlign w:val="center"/>
                </w:tcPr>
                <w:p>
                  <w:pPr>
                    <w:jc w:val="center"/>
                    <w:rPr>
                      <w:szCs w:val="21"/>
                    </w:rPr>
                  </w:pPr>
                  <w:r>
                    <w:rPr>
                      <w:rFonts w:hint="eastAsia"/>
                      <w:szCs w:val="21"/>
                    </w:rPr>
                    <w:t>机动车</w:t>
                  </w:r>
                  <w:r>
                    <w:rPr>
                      <w:szCs w:val="21"/>
                    </w:rPr>
                    <w:t>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1501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restart"/>
                  <w:vAlign w:val="center"/>
                </w:tcPr>
                <w:p>
                  <w:pPr>
                    <w:jc w:val="center"/>
                    <w:rPr>
                      <w:szCs w:val="21"/>
                    </w:rPr>
                  </w:pPr>
                  <w:r>
                    <w:rPr>
                      <w:rFonts w:hint="eastAsia"/>
                      <w:szCs w:val="21"/>
                    </w:rPr>
                    <w:t>其中</w:t>
                  </w:r>
                </w:p>
              </w:tc>
              <w:tc>
                <w:tcPr>
                  <w:tcW w:w="2310" w:type="dxa"/>
                  <w:gridSpan w:val="4"/>
                  <w:vAlign w:val="center"/>
                </w:tcPr>
                <w:p>
                  <w:pPr>
                    <w:jc w:val="center"/>
                    <w:rPr>
                      <w:szCs w:val="21"/>
                    </w:rPr>
                  </w:pPr>
                  <w:r>
                    <w:rPr>
                      <w:rFonts w:hint="eastAsia"/>
                      <w:szCs w:val="21"/>
                    </w:rPr>
                    <w:t>地面停车位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136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2310" w:type="dxa"/>
                  <w:gridSpan w:val="4"/>
                  <w:vAlign w:val="center"/>
                </w:tcPr>
                <w:p>
                  <w:pPr>
                    <w:jc w:val="center"/>
                    <w:rPr>
                      <w:szCs w:val="21"/>
                    </w:rPr>
                  </w:pPr>
                  <w:r>
                    <w:rPr>
                      <w:rFonts w:hint="eastAsia"/>
                      <w:szCs w:val="21"/>
                    </w:rPr>
                    <w:t>地下停车位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1365</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restart"/>
                  <w:vAlign w:val="center"/>
                </w:tcPr>
                <w:p>
                  <w:pPr>
                    <w:jc w:val="center"/>
                    <w:rPr>
                      <w:szCs w:val="21"/>
                    </w:rPr>
                  </w:pPr>
                  <w:r>
                    <w:rPr>
                      <w:rFonts w:hint="eastAsia"/>
                      <w:szCs w:val="21"/>
                    </w:rPr>
                    <w:t>其中</w:t>
                  </w:r>
                </w:p>
              </w:tc>
              <w:tc>
                <w:tcPr>
                  <w:tcW w:w="1800" w:type="dxa"/>
                  <w:gridSpan w:val="2"/>
                  <w:vAlign w:val="center"/>
                </w:tcPr>
                <w:p>
                  <w:pPr>
                    <w:jc w:val="center"/>
                    <w:rPr>
                      <w:szCs w:val="21"/>
                    </w:rPr>
                  </w:pPr>
                  <w:r>
                    <w:rPr>
                      <w:rFonts w:hint="eastAsia"/>
                      <w:szCs w:val="21"/>
                    </w:rPr>
                    <w:t>普通车位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1051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无障碍车位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9</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充电桩车位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169</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子母车位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126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微型车位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10</w:t>
                  </w:r>
                </w:p>
              </w:tc>
              <w:tc>
                <w:tcPr>
                  <w:tcW w:w="1315" w:type="dxa"/>
                  <w:vAlign w:val="center"/>
                </w:tcPr>
                <w:p>
                  <w:pPr>
                    <w:jc w:val="center"/>
                    <w:rPr>
                      <w:szCs w:val="21"/>
                    </w:rPr>
                  </w:pPr>
                </w:p>
              </w:tc>
            </w:tr>
          </w:tbl>
          <w:p>
            <w:pPr>
              <w:jc w:val="center"/>
              <w:rPr>
                <w:sz w:val="24"/>
              </w:rPr>
            </w:pPr>
            <w:r>
              <w:rPr>
                <w:b/>
                <w:snapToGrid w:val="0"/>
                <w:szCs w:val="21"/>
              </w:rPr>
              <w:t>表</w:t>
            </w:r>
            <w:r>
              <w:rPr>
                <w:rFonts w:hint="eastAsia"/>
                <w:b/>
                <w:snapToGrid w:val="0"/>
                <w:szCs w:val="21"/>
              </w:rPr>
              <w:t>2</w:t>
            </w:r>
            <w:r>
              <w:rPr>
                <w:b/>
                <w:snapToGrid w:val="0"/>
                <w:szCs w:val="21"/>
              </w:rPr>
              <w:t>-</w:t>
            </w:r>
            <w:r>
              <w:rPr>
                <w:rFonts w:hint="eastAsia"/>
                <w:b/>
                <w:snapToGrid w:val="0"/>
                <w:szCs w:val="21"/>
              </w:rPr>
              <w:t>3  03#地块</w:t>
            </w:r>
            <w:r>
              <w:rPr>
                <w:rFonts w:hint="eastAsia" w:ascii="宋体" w:hAnsi="宋体"/>
                <w:b/>
                <w:snapToGrid w:val="0"/>
                <w:szCs w:val="21"/>
              </w:rPr>
              <w:t>主要技术经济指标表</w:t>
            </w:r>
          </w:p>
          <w:tbl>
            <w:tblPr>
              <w:tblStyle w:val="18"/>
              <w:tblW w:w="81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450"/>
              <w:gridCol w:w="210"/>
              <w:gridCol w:w="300"/>
              <w:gridCol w:w="240"/>
              <w:gridCol w:w="1560"/>
              <w:gridCol w:w="1095"/>
              <w:gridCol w:w="1905"/>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72" w:type="dxa"/>
                  <w:vAlign w:val="center"/>
                </w:tcPr>
                <w:p>
                  <w:pPr>
                    <w:jc w:val="center"/>
                    <w:rPr>
                      <w:szCs w:val="21"/>
                    </w:rPr>
                  </w:pPr>
                  <w:r>
                    <w:rPr>
                      <w:szCs w:val="21"/>
                    </w:rPr>
                    <w:t>序号</w:t>
                  </w:r>
                </w:p>
              </w:tc>
              <w:tc>
                <w:tcPr>
                  <w:tcW w:w="2760" w:type="dxa"/>
                  <w:gridSpan w:val="5"/>
                  <w:vAlign w:val="center"/>
                </w:tcPr>
                <w:p>
                  <w:pPr>
                    <w:jc w:val="center"/>
                    <w:rPr>
                      <w:szCs w:val="21"/>
                    </w:rPr>
                  </w:pPr>
                  <w:r>
                    <w:rPr>
                      <w:szCs w:val="21"/>
                    </w:rPr>
                    <w:t>指标名称</w:t>
                  </w:r>
                </w:p>
              </w:tc>
              <w:tc>
                <w:tcPr>
                  <w:tcW w:w="1095" w:type="dxa"/>
                  <w:vAlign w:val="center"/>
                </w:tcPr>
                <w:p>
                  <w:pPr>
                    <w:jc w:val="center"/>
                    <w:rPr>
                      <w:szCs w:val="21"/>
                    </w:rPr>
                  </w:pPr>
                  <w:r>
                    <w:rPr>
                      <w:szCs w:val="21"/>
                    </w:rPr>
                    <w:t>单位</w:t>
                  </w:r>
                </w:p>
              </w:tc>
              <w:tc>
                <w:tcPr>
                  <w:tcW w:w="1905" w:type="dxa"/>
                  <w:vAlign w:val="center"/>
                </w:tcPr>
                <w:p>
                  <w:pPr>
                    <w:jc w:val="center"/>
                    <w:rPr>
                      <w:szCs w:val="21"/>
                    </w:rPr>
                  </w:pPr>
                  <w:r>
                    <w:rPr>
                      <w:szCs w:val="21"/>
                    </w:rPr>
                    <w:t>指标值</w:t>
                  </w:r>
                </w:p>
              </w:tc>
              <w:tc>
                <w:tcPr>
                  <w:tcW w:w="1315" w:type="dxa"/>
                  <w:vAlign w:val="center"/>
                </w:tcPr>
                <w:p>
                  <w:pPr>
                    <w:jc w:val="center"/>
                    <w:rPr>
                      <w:szCs w:val="21"/>
                    </w:rPr>
                  </w:pPr>
                  <w:r>
                    <w:rPr>
                      <w:rFonts w:hint="eastAsia"/>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1</w:t>
                  </w:r>
                </w:p>
              </w:tc>
              <w:tc>
                <w:tcPr>
                  <w:tcW w:w="2760" w:type="dxa"/>
                  <w:gridSpan w:val="5"/>
                  <w:vAlign w:val="center"/>
                </w:tcPr>
                <w:p>
                  <w:pPr>
                    <w:jc w:val="center"/>
                    <w:rPr>
                      <w:szCs w:val="21"/>
                    </w:rPr>
                  </w:pPr>
                  <w:r>
                    <w:rPr>
                      <w:szCs w:val="21"/>
                    </w:rPr>
                    <w:t>总</w:t>
                  </w:r>
                  <w:r>
                    <w:rPr>
                      <w:rFonts w:hint="eastAsia"/>
                      <w:szCs w:val="21"/>
                      <w:lang w:eastAsia="zh-CN"/>
                    </w:rPr>
                    <w:t>净</w:t>
                  </w:r>
                  <w:r>
                    <w:rPr>
                      <w:szCs w:val="21"/>
                    </w:rPr>
                    <w:t>用地面积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29294</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2" w:type="dxa"/>
                  <w:vAlign w:val="center"/>
                </w:tcPr>
                <w:p>
                  <w:pPr>
                    <w:jc w:val="center"/>
                    <w:rPr>
                      <w:szCs w:val="21"/>
                    </w:rPr>
                  </w:pPr>
                  <w:r>
                    <w:rPr>
                      <w:szCs w:val="21"/>
                    </w:rPr>
                    <w:t>2</w:t>
                  </w:r>
                </w:p>
              </w:tc>
              <w:tc>
                <w:tcPr>
                  <w:tcW w:w="2760" w:type="dxa"/>
                  <w:gridSpan w:val="5"/>
                  <w:vAlign w:val="center"/>
                </w:tcPr>
                <w:p>
                  <w:pPr>
                    <w:jc w:val="center"/>
                    <w:rPr>
                      <w:szCs w:val="21"/>
                    </w:rPr>
                  </w:pPr>
                  <w:r>
                    <w:rPr>
                      <w:szCs w:val="21"/>
                    </w:rPr>
                    <w:t>总建筑面积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145713.126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szCs w:val="21"/>
                    </w:rPr>
                    <w:t>3</w:t>
                  </w:r>
                </w:p>
              </w:tc>
              <w:tc>
                <w:tcPr>
                  <w:tcW w:w="2760" w:type="dxa"/>
                  <w:gridSpan w:val="5"/>
                  <w:vAlign w:val="center"/>
                </w:tcPr>
                <w:p>
                  <w:pPr>
                    <w:jc w:val="center"/>
                    <w:rPr>
                      <w:szCs w:val="21"/>
                    </w:rPr>
                  </w:pPr>
                  <w:r>
                    <w:rPr>
                      <w:rFonts w:hint="eastAsia"/>
                      <w:szCs w:val="21"/>
                    </w:rPr>
                    <w:t>总</w:t>
                  </w:r>
                  <w:r>
                    <w:rPr>
                      <w:szCs w:val="21"/>
                    </w:rPr>
                    <w:t>计容建筑面积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110177.266</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r>
                    <w:rPr>
                      <w:rFonts w:hint="eastAsia"/>
                      <w:szCs w:val="21"/>
                    </w:rPr>
                    <w:t>其中</w:t>
                  </w:r>
                </w:p>
              </w:tc>
              <w:tc>
                <w:tcPr>
                  <w:tcW w:w="2100" w:type="dxa"/>
                  <w:gridSpan w:val="3"/>
                  <w:vAlign w:val="center"/>
                </w:tcPr>
                <w:p>
                  <w:pPr>
                    <w:jc w:val="center"/>
                    <w:rPr>
                      <w:szCs w:val="21"/>
                    </w:rPr>
                  </w:pPr>
                  <w:r>
                    <w:rPr>
                      <w:szCs w:val="21"/>
                    </w:rPr>
                    <w:t>住宅面积</w:t>
                  </w:r>
                  <w:r>
                    <w:rPr>
                      <w:rFonts w:hint="eastAsia"/>
                      <w:szCs w:val="21"/>
                    </w:rPr>
                    <w:t>（高层）</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107282.641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商业面积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1602.964</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公共服务配套</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1291.661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560" w:type="dxa"/>
                  <w:vAlign w:val="center"/>
                </w:tcPr>
                <w:p>
                  <w:pPr>
                    <w:jc w:val="center"/>
                    <w:rPr>
                      <w:szCs w:val="21"/>
                    </w:rPr>
                  </w:pPr>
                  <w:r>
                    <w:rPr>
                      <w:rFonts w:hint="eastAsia"/>
                      <w:szCs w:val="21"/>
                    </w:rPr>
                    <w:t>养老服务设施</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329.503</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szCs w:val="21"/>
                    </w:rPr>
                    <w:t>物管用房</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900.578</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560" w:type="dxa"/>
                  <w:vAlign w:val="center"/>
                </w:tcPr>
                <w:p>
                  <w:pPr>
                    <w:jc w:val="center"/>
                    <w:rPr>
                      <w:szCs w:val="21"/>
                    </w:rPr>
                  </w:pPr>
                  <w:r>
                    <w:rPr>
                      <w:rFonts w:hint="eastAsia"/>
                      <w:szCs w:val="21"/>
                    </w:rPr>
                    <w:t>对外公厕</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61.58</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2760" w:type="dxa"/>
                  <w:gridSpan w:val="5"/>
                  <w:vAlign w:val="center"/>
                </w:tcPr>
                <w:p>
                  <w:pPr>
                    <w:jc w:val="center"/>
                    <w:rPr>
                      <w:szCs w:val="21"/>
                    </w:rPr>
                  </w:pPr>
                  <w:r>
                    <w:rPr>
                      <w:rFonts w:hint="eastAsia"/>
                      <w:szCs w:val="21"/>
                    </w:rPr>
                    <w:t>总不计容建筑面积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35535.860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p>
              </w:tc>
              <w:tc>
                <w:tcPr>
                  <w:tcW w:w="2100" w:type="dxa"/>
                  <w:gridSpan w:val="3"/>
                  <w:vAlign w:val="center"/>
                </w:tcPr>
                <w:p>
                  <w:pPr>
                    <w:jc w:val="center"/>
                    <w:rPr>
                      <w:szCs w:val="21"/>
                    </w:rPr>
                  </w:pPr>
                  <w:r>
                    <w:rPr>
                      <w:rFonts w:hint="eastAsia"/>
                      <w:szCs w:val="21"/>
                    </w:rPr>
                    <w:t>架空层</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658.690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00" w:type="dxa"/>
                  <w:gridSpan w:val="3"/>
                  <w:vAlign w:val="center"/>
                </w:tcPr>
                <w:p>
                  <w:pPr>
                    <w:jc w:val="center"/>
                    <w:rPr>
                      <w:szCs w:val="21"/>
                    </w:rPr>
                  </w:pPr>
                  <w:r>
                    <w:rPr>
                      <w:rFonts w:hint="eastAsia"/>
                      <w:szCs w:val="21"/>
                    </w:rPr>
                    <w:t>地下车库面积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34877.170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2" w:type="dxa"/>
                  <w:vAlign w:val="center"/>
                </w:tcPr>
                <w:p>
                  <w:pPr>
                    <w:jc w:val="center"/>
                    <w:rPr>
                      <w:szCs w:val="21"/>
                    </w:rPr>
                  </w:pPr>
                  <w:r>
                    <w:rPr>
                      <w:rFonts w:hint="eastAsia"/>
                      <w:szCs w:val="21"/>
                    </w:rPr>
                    <w:t>4</w:t>
                  </w:r>
                </w:p>
              </w:tc>
              <w:tc>
                <w:tcPr>
                  <w:tcW w:w="2760" w:type="dxa"/>
                  <w:gridSpan w:val="5"/>
                  <w:vAlign w:val="center"/>
                </w:tcPr>
                <w:p>
                  <w:pPr>
                    <w:jc w:val="center"/>
                    <w:rPr>
                      <w:szCs w:val="21"/>
                    </w:rPr>
                  </w:pPr>
                  <w:r>
                    <w:rPr>
                      <w:rFonts w:hint="eastAsia"/>
                      <w:szCs w:val="21"/>
                    </w:rPr>
                    <w:t>总占地面积</w:t>
                  </w:r>
                </w:p>
              </w:tc>
              <w:tc>
                <w:tcPr>
                  <w:tcW w:w="1095" w:type="dxa"/>
                  <w:vAlign w:val="center"/>
                </w:tcPr>
                <w:p>
                  <w:pPr>
                    <w:jc w:val="center"/>
                    <w:rPr>
                      <w:szCs w:val="21"/>
                    </w:rPr>
                  </w:pPr>
                  <w:r>
                    <w:rPr>
                      <w:szCs w:val="21"/>
                    </w:rPr>
                    <w:t>m</w:t>
                  </w:r>
                  <w:r>
                    <w:rPr>
                      <w:szCs w:val="21"/>
                      <w:vertAlign w:val="superscript"/>
                    </w:rPr>
                    <w:t>2</w:t>
                  </w:r>
                </w:p>
              </w:tc>
              <w:tc>
                <w:tcPr>
                  <w:tcW w:w="1905" w:type="dxa"/>
                  <w:vAlign w:val="center"/>
                </w:tcPr>
                <w:p>
                  <w:pPr>
                    <w:jc w:val="center"/>
                    <w:rPr>
                      <w:szCs w:val="21"/>
                    </w:rPr>
                  </w:pPr>
                  <w:r>
                    <w:rPr>
                      <w:rFonts w:hint="eastAsia"/>
                      <w:szCs w:val="21"/>
                    </w:rPr>
                    <w:t>5128.641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5</w:t>
                  </w:r>
                </w:p>
              </w:tc>
              <w:tc>
                <w:tcPr>
                  <w:tcW w:w="2760" w:type="dxa"/>
                  <w:gridSpan w:val="5"/>
                  <w:vAlign w:val="center"/>
                </w:tcPr>
                <w:p>
                  <w:pPr>
                    <w:jc w:val="center"/>
                    <w:rPr>
                      <w:szCs w:val="21"/>
                    </w:rPr>
                  </w:pPr>
                  <w:r>
                    <w:rPr>
                      <w:rFonts w:hint="eastAsia"/>
                      <w:szCs w:val="21"/>
                    </w:rPr>
                    <w:t>建筑密度</w:t>
                  </w:r>
                </w:p>
              </w:tc>
              <w:tc>
                <w:tcPr>
                  <w:tcW w:w="1095" w:type="dxa"/>
                  <w:vAlign w:val="center"/>
                </w:tcPr>
                <w:p>
                  <w:pPr>
                    <w:jc w:val="center"/>
                    <w:rPr>
                      <w:szCs w:val="21"/>
                    </w:rPr>
                  </w:pPr>
                  <w:r>
                    <w:rPr>
                      <w:rFonts w:hint="eastAsia"/>
                      <w:szCs w:val="21"/>
                    </w:rPr>
                    <w:t>%</w:t>
                  </w:r>
                </w:p>
              </w:tc>
              <w:tc>
                <w:tcPr>
                  <w:tcW w:w="1905" w:type="dxa"/>
                  <w:vAlign w:val="center"/>
                </w:tcPr>
                <w:p>
                  <w:pPr>
                    <w:jc w:val="center"/>
                    <w:rPr>
                      <w:szCs w:val="21"/>
                    </w:rPr>
                  </w:pPr>
                  <w:r>
                    <w:rPr>
                      <w:rFonts w:hint="eastAsia"/>
                      <w:szCs w:val="21"/>
                    </w:rPr>
                    <w:t>17.51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6</w:t>
                  </w:r>
                </w:p>
              </w:tc>
              <w:tc>
                <w:tcPr>
                  <w:tcW w:w="2760" w:type="dxa"/>
                  <w:gridSpan w:val="5"/>
                  <w:vAlign w:val="center"/>
                </w:tcPr>
                <w:p>
                  <w:pPr>
                    <w:jc w:val="center"/>
                    <w:rPr>
                      <w:szCs w:val="21"/>
                    </w:rPr>
                  </w:pPr>
                  <w:r>
                    <w:rPr>
                      <w:rFonts w:hint="eastAsia"/>
                      <w:szCs w:val="21"/>
                    </w:rPr>
                    <w:t>容积率</w:t>
                  </w:r>
                </w:p>
              </w:tc>
              <w:tc>
                <w:tcPr>
                  <w:tcW w:w="1095" w:type="dxa"/>
                  <w:vAlign w:val="center"/>
                </w:tcPr>
                <w:p>
                  <w:pPr>
                    <w:jc w:val="center"/>
                    <w:rPr>
                      <w:szCs w:val="21"/>
                    </w:rPr>
                  </w:pPr>
                </w:p>
              </w:tc>
              <w:tc>
                <w:tcPr>
                  <w:tcW w:w="1905" w:type="dxa"/>
                  <w:vAlign w:val="center"/>
                </w:tcPr>
                <w:p>
                  <w:pPr>
                    <w:jc w:val="center"/>
                    <w:rPr>
                      <w:szCs w:val="21"/>
                    </w:rPr>
                  </w:pPr>
                  <w:r>
                    <w:rPr>
                      <w:rFonts w:hint="eastAsia"/>
                      <w:szCs w:val="21"/>
                    </w:rPr>
                    <w:t>3.761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2" w:type="dxa"/>
                  <w:vAlign w:val="center"/>
                </w:tcPr>
                <w:p>
                  <w:pPr>
                    <w:jc w:val="center"/>
                    <w:rPr>
                      <w:szCs w:val="21"/>
                    </w:rPr>
                  </w:pPr>
                  <w:r>
                    <w:rPr>
                      <w:rFonts w:hint="eastAsia"/>
                      <w:szCs w:val="21"/>
                    </w:rPr>
                    <w:t>7</w:t>
                  </w:r>
                </w:p>
              </w:tc>
              <w:tc>
                <w:tcPr>
                  <w:tcW w:w="2760" w:type="dxa"/>
                  <w:gridSpan w:val="5"/>
                  <w:vAlign w:val="center"/>
                </w:tcPr>
                <w:p>
                  <w:pPr>
                    <w:jc w:val="center"/>
                    <w:rPr>
                      <w:szCs w:val="21"/>
                    </w:rPr>
                  </w:pPr>
                  <w:r>
                    <w:rPr>
                      <w:rFonts w:hint="eastAsia"/>
                      <w:szCs w:val="21"/>
                    </w:rPr>
                    <w:t>住户数</w:t>
                  </w:r>
                </w:p>
              </w:tc>
              <w:tc>
                <w:tcPr>
                  <w:tcW w:w="1095" w:type="dxa"/>
                  <w:vAlign w:val="center"/>
                </w:tcPr>
                <w:p>
                  <w:pPr>
                    <w:jc w:val="center"/>
                    <w:rPr>
                      <w:szCs w:val="21"/>
                    </w:rPr>
                  </w:pPr>
                  <w:r>
                    <w:rPr>
                      <w:rFonts w:hint="eastAsia"/>
                      <w:szCs w:val="21"/>
                    </w:rPr>
                    <w:t>户（套）</w:t>
                  </w:r>
                </w:p>
              </w:tc>
              <w:tc>
                <w:tcPr>
                  <w:tcW w:w="1905" w:type="dxa"/>
                  <w:vAlign w:val="center"/>
                </w:tcPr>
                <w:p>
                  <w:pPr>
                    <w:jc w:val="center"/>
                    <w:rPr>
                      <w:szCs w:val="21"/>
                    </w:rPr>
                  </w:pPr>
                  <w:r>
                    <w:rPr>
                      <w:rFonts w:hint="eastAsia"/>
                      <w:szCs w:val="21"/>
                    </w:rPr>
                    <w:t>916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8</w:t>
                  </w:r>
                </w:p>
              </w:tc>
              <w:tc>
                <w:tcPr>
                  <w:tcW w:w="2760" w:type="dxa"/>
                  <w:gridSpan w:val="5"/>
                  <w:vAlign w:val="center"/>
                </w:tcPr>
                <w:p>
                  <w:pPr>
                    <w:jc w:val="center"/>
                    <w:rPr>
                      <w:szCs w:val="21"/>
                    </w:rPr>
                  </w:pPr>
                  <w:r>
                    <w:rPr>
                      <w:rFonts w:hint="eastAsia"/>
                      <w:szCs w:val="21"/>
                    </w:rPr>
                    <w:t>居住人数</w:t>
                  </w:r>
                </w:p>
              </w:tc>
              <w:tc>
                <w:tcPr>
                  <w:tcW w:w="1095" w:type="dxa"/>
                  <w:vAlign w:val="center"/>
                </w:tcPr>
                <w:p>
                  <w:pPr>
                    <w:jc w:val="center"/>
                    <w:rPr>
                      <w:szCs w:val="21"/>
                    </w:rPr>
                  </w:pPr>
                  <w:r>
                    <w:rPr>
                      <w:rFonts w:hint="eastAsia"/>
                      <w:szCs w:val="21"/>
                    </w:rPr>
                    <w:t>人</w:t>
                  </w:r>
                </w:p>
              </w:tc>
              <w:tc>
                <w:tcPr>
                  <w:tcW w:w="1905" w:type="dxa"/>
                  <w:vAlign w:val="center"/>
                </w:tcPr>
                <w:p>
                  <w:pPr>
                    <w:jc w:val="center"/>
                    <w:rPr>
                      <w:szCs w:val="21"/>
                    </w:rPr>
                  </w:pPr>
                  <w:r>
                    <w:rPr>
                      <w:rFonts w:hint="eastAsia"/>
                      <w:szCs w:val="21"/>
                    </w:rPr>
                    <w:t>2931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9</w:t>
                  </w:r>
                </w:p>
              </w:tc>
              <w:tc>
                <w:tcPr>
                  <w:tcW w:w="2760" w:type="dxa"/>
                  <w:gridSpan w:val="5"/>
                  <w:vAlign w:val="center"/>
                </w:tcPr>
                <w:p>
                  <w:pPr>
                    <w:jc w:val="center"/>
                    <w:rPr>
                      <w:szCs w:val="21"/>
                    </w:rPr>
                  </w:pPr>
                  <w:r>
                    <w:rPr>
                      <w:rFonts w:hint="eastAsia"/>
                      <w:szCs w:val="21"/>
                    </w:rPr>
                    <w:t>建筑高度</w:t>
                  </w:r>
                </w:p>
              </w:tc>
              <w:tc>
                <w:tcPr>
                  <w:tcW w:w="1095" w:type="dxa"/>
                  <w:vAlign w:val="center"/>
                </w:tcPr>
                <w:p>
                  <w:pPr>
                    <w:jc w:val="center"/>
                    <w:rPr>
                      <w:szCs w:val="21"/>
                    </w:rPr>
                  </w:pPr>
                  <w:r>
                    <w:rPr>
                      <w:szCs w:val="21"/>
                    </w:rPr>
                    <w:t>m</w:t>
                  </w:r>
                </w:p>
              </w:tc>
              <w:tc>
                <w:tcPr>
                  <w:tcW w:w="1905" w:type="dxa"/>
                  <w:vAlign w:val="center"/>
                </w:tcPr>
                <w:p>
                  <w:pPr>
                    <w:jc w:val="center"/>
                    <w:rPr>
                      <w:szCs w:val="21"/>
                    </w:rPr>
                  </w:pPr>
                  <w:r>
                    <w:rPr>
                      <w:rFonts w:hint="eastAsia"/>
                      <w:szCs w:val="21"/>
                    </w:rPr>
                    <w:t>100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2" w:type="dxa"/>
                  <w:vAlign w:val="center"/>
                </w:tcPr>
                <w:p>
                  <w:pPr>
                    <w:jc w:val="center"/>
                    <w:rPr>
                      <w:szCs w:val="21"/>
                    </w:rPr>
                  </w:pPr>
                  <w:r>
                    <w:rPr>
                      <w:rFonts w:hint="eastAsia"/>
                      <w:szCs w:val="21"/>
                    </w:rPr>
                    <w:t>10</w:t>
                  </w:r>
                </w:p>
              </w:tc>
              <w:tc>
                <w:tcPr>
                  <w:tcW w:w="2760" w:type="dxa"/>
                  <w:gridSpan w:val="5"/>
                  <w:vAlign w:val="center"/>
                </w:tcPr>
                <w:p>
                  <w:pPr>
                    <w:jc w:val="center"/>
                    <w:rPr>
                      <w:szCs w:val="21"/>
                    </w:rPr>
                  </w:pPr>
                  <w:r>
                    <w:rPr>
                      <w:rFonts w:hint="eastAsia"/>
                      <w:szCs w:val="21"/>
                    </w:rPr>
                    <w:t>绿地率</w:t>
                  </w:r>
                </w:p>
              </w:tc>
              <w:tc>
                <w:tcPr>
                  <w:tcW w:w="1095" w:type="dxa"/>
                  <w:vAlign w:val="center"/>
                </w:tcPr>
                <w:p>
                  <w:pPr>
                    <w:jc w:val="center"/>
                    <w:rPr>
                      <w:szCs w:val="21"/>
                    </w:rPr>
                  </w:pPr>
                  <w:r>
                    <w:rPr>
                      <w:rFonts w:hint="eastAsia"/>
                      <w:szCs w:val="21"/>
                    </w:rPr>
                    <w:t>%</w:t>
                  </w:r>
                </w:p>
              </w:tc>
              <w:tc>
                <w:tcPr>
                  <w:tcW w:w="1905" w:type="dxa"/>
                  <w:vAlign w:val="center"/>
                </w:tcPr>
                <w:p>
                  <w:pPr>
                    <w:jc w:val="center"/>
                    <w:rPr>
                      <w:szCs w:val="21"/>
                    </w:rPr>
                  </w:pPr>
                  <w:r>
                    <w:rPr>
                      <w:rFonts w:hint="eastAsia"/>
                      <w:szCs w:val="21"/>
                    </w:rPr>
                    <w:t>35.01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rFonts w:hint="eastAsia"/>
                      <w:szCs w:val="21"/>
                    </w:rPr>
                    <w:t>11</w:t>
                  </w:r>
                </w:p>
              </w:tc>
              <w:tc>
                <w:tcPr>
                  <w:tcW w:w="2760" w:type="dxa"/>
                  <w:gridSpan w:val="5"/>
                  <w:vAlign w:val="center"/>
                </w:tcPr>
                <w:p>
                  <w:pPr>
                    <w:jc w:val="center"/>
                    <w:rPr>
                      <w:szCs w:val="21"/>
                    </w:rPr>
                  </w:pPr>
                  <w:r>
                    <w:rPr>
                      <w:rFonts w:hint="eastAsia"/>
                      <w:szCs w:val="21"/>
                    </w:rPr>
                    <w:t>机动车</w:t>
                  </w:r>
                  <w:r>
                    <w:rPr>
                      <w:szCs w:val="21"/>
                    </w:rPr>
                    <w:t>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1103</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restart"/>
                  <w:vAlign w:val="center"/>
                </w:tcPr>
                <w:p>
                  <w:pPr>
                    <w:jc w:val="center"/>
                    <w:rPr>
                      <w:szCs w:val="21"/>
                    </w:rPr>
                  </w:pPr>
                  <w:r>
                    <w:rPr>
                      <w:rFonts w:hint="eastAsia"/>
                      <w:szCs w:val="21"/>
                    </w:rPr>
                    <w:t>其中</w:t>
                  </w:r>
                </w:p>
              </w:tc>
              <w:tc>
                <w:tcPr>
                  <w:tcW w:w="2310" w:type="dxa"/>
                  <w:gridSpan w:val="4"/>
                  <w:vAlign w:val="center"/>
                </w:tcPr>
                <w:p>
                  <w:pPr>
                    <w:jc w:val="center"/>
                    <w:rPr>
                      <w:szCs w:val="21"/>
                    </w:rPr>
                  </w:pPr>
                  <w:r>
                    <w:rPr>
                      <w:rFonts w:hint="eastAsia"/>
                      <w:szCs w:val="21"/>
                    </w:rPr>
                    <w:t>地面停车位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95</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2310" w:type="dxa"/>
                  <w:gridSpan w:val="4"/>
                  <w:vAlign w:val="center"/>
                </w:tcPr>
                <w:p>
                  <w:pPr>
                    <w:jc w:val="center"/>
                    <w:rPr>
                      <w:szCs w:val="21"/>
                    </w:rPr>
                  </w:pPr>
                  <w:r>
                    <w:rPr>
                      <w:rFonts w:hint="eastAsia"/>
                      <w:szCs w:val="21"/>
                    </w:rPr>
                    <w:t>地下停车位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1008</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restart"/>
                  <w:vAlign w:val="center"/>
                </w:tcPr>
                <w:p>
                  <w:pPr>
                    <w:jc w:val="center"/>
                    <w:rPr>
                      <w:szCs w:val="21"/>
                    </w:rPr>
                  </w:pPr>
                  <w:r>
                    <w:rPr>
                      <w:rFonts w:hint="eastAsia"/>
                      <w:szCs w:val="21"/>
                    </w:rPr>
                    <w:t>其中</w:t>
                  </w:r>
                </w:p>
              </w:tc>
              <w:tc>
                <w:tcPr>
                  <w:tcW w:w="1800" w:type="dxa"/>
                  <w:gridSpan w:val="2"/>
                  <w:vAlign w:val="center"/>
                </w:tcPr>
                <w:p>
                  <w:pPr>
                    <w:jc w:val="center"/>
                    <w:rPr>
                      <w:szCs w:val="21"/>
                    </w:rPr>
                  </w:pPr>
                  <w:r>
                    <w:rPr>
                      <w:rFonts w:hint="eastAsia"/>
                      <w:szCs w:val="21"/>
                    </w:rPr>
                    <w:t>普通车位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813</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无障碍车位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12</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充电桩车位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96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子母车位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76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00" w:type="dxa"/>
                  <w:gridSpan w:val="2"/>
                  <w:vAlign w:val="center"/>
                </w:tcPr>
                <w:p>
                  <w:pPr>
                    <w:jc w:val="center"/>
                    <w:rPr>
                      <w:szCs w:val="21"/>
                    </w:rPr>
                  </w:pPr>
                  <w:r>
                    <w:rPr>
                      <w:rFonts w:hint="eastAsia"/>
                      <w:szCs w:val="21"/>
                    </w:rPr>
                    <w:t>微型车位</w:t>
                  </w:r>
                </w:p>
              </w:tc>
              <w:tc>
                <w:tcPr>
                  <w:tcW w:w="1095" w:type="dxa"/>
                  <w:vAlign w:val="center"/>
                </w:tcPr>
                <w:p>
                  <w:pPr>
                    <w:jc w:val="center"/>
                    <w:rPr>
                      <w:szCs w:val="21"/>
                    </w:rPr>
                  </w:pPr>
                  <w:r>
                    <w:rPr>
                      <w:rFonts w:hint="eastAsia"/>
                      <w:szCs w:val="21"/>
                    </w:rPr>
                    <w:t>辆</w:t>
                  </w:r>
                </w:p>
              </w:tc>
              <w:tc>
                <w:tcPr>
                  <w:tcW w:w="1905" w:type="dxa"/>
                  <w:vAlign w:val="center"/>
                </w:tcPr>
                <w:p>
                  <w:pPr>
                    <w:jc w:val="center"/>
                    <w:rPr>
                      <w:szCs w:val="21"/>
                    </w:rPr>
                  </w:pPr>
                  <w:r>
                    <w:rPr>
                      <w:rFonts w:hint="eastAsia"/>
                      <w:szCs w:val="21"/>
                    </w:rPr>
                    <w:t>11</w:t>
                  </w:r>
                </w:p>
              </w:tc>
              <w:tc>
                <w:tcPr>
                  <w:tcW w:w="1315" w:type="dxa"/>
                  <w:vAlign w:val="center"/>
                </w:tcPr>
                <w:p>
                  <w:pPr>
                    <w:jc w:val="center"/>
                    <w:rPr>
                      <w:szCs w:val="21"/>
                    </w:rPr>
                  </w:pPr>
                </w:p>
              </w:tc>
            </w:tr>
          </w:tbl>
          <w:p>
            <w:pPr>
              <w:jc w:val="center"/>
              <w:rPr>
                <w:sz w:val="24"/>
              </w:rPr>
            </w:pPr>
            <w:r>
              <w:rPr>
                <w:b/>
                <w:snapToGrid w:val="0"/>
                <w:szCs w:val="21"/>
              </w:rPr>
              <w:t>表</w:t>
            </w:r>
            <w:r>
              <w:rPr>
                <w:rFonts w:hint="eastAsia"/>
                <w:b/>
                <w:snapToGrid w:val="0"/>
                <w:szCs w:val="21"/>
              </w:rPr>
              <w:t>2</w:t>
            </w:r>
            <w:r>
              <w:rPr>
                <w:b/>
                <w:snapToGrid w:val="0"/>
                <w:szCs w:val="21"/>
              </w:rPr>
              <w:t>-</w:t>
            </w:r>
            <w:r>
              <w:rPr>
                <w:rFonts w:hint="eastAsia"/>
                <w:b/>
                <w:snapToGrid w:val="0"/>
                <w:szCs w:val="21"/>
              </w:rPr>
              <w:t>4  04#地块</w:t>
            </w:r>
            <w:r>
              <w:rPr>
                <w:rFonts w:hint="eastAsia" w:ascii="宋体" w:hAnsi="宋体"/>
                <w:b/>
                <w:snapToGrid w:val="0"/>
                <w:szCs w:val="21"/>
              </w:rPr>
              <w:t>主要技术经济指标表</w:t>
            </w:r>
          </w:p>
          <w:tbl>
            <w:tblPr>
              <w:tblStyle w:val="18"/>
              <w:tblW w:w="81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450"/>
              <w:gridCol w:w="210"/>
              <w:gridCol w:w="300"/>
              <w:gridCol w:w="165"/>
              <w:gridCol w:w="75"/>
              <w:gridCol w:w="1650"/>
              <w:gridCol w:w="1230"/>
              <w:gridCol w:w="1815"/>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72" w:type="dxa"/>
                  <w:vAlign w:val="center"/>
                </w:tcPr>
                <w:p>
                  <w:pPr>
                    <w:jc w:val="center"/>
                    <w:rPr>
                      <w:szCs w:val="21"/>
                    </w:rPr>
                  </w:pPr>
                  <w:r>
                    <w:rPr>
                      <w:szCs w:val="21"/>
                    </w:rPr>
                    <w:t>序号</w:t>
                  </w:r>
                </w:p>
              </w:tc>
              <w:tc>
                <w:tcPr>
                  <w:tcW w:w="2850" w:type="dxa"/>
                  <w:gridSpan w:val="6"/>
                  <w:vAlign w:val="center"/>
                </w:tcPr>
                <w:p>
                  <w:pPr>
                    <w:jc w:val="center"/>
                    <w:rPr>
                      <w:szCs w:val="21"/>
                    </w:rPr>
                  </w:pPr>
                  <w:r>
                    <w:rPr>
                      <w:szCs w:val="21"/>
                    </w:rPr>
                    <w:t>指标名称</w:t>
                  </w:r>
                </w:p>
              </w:tc>
              <w:tc>
                <w:tcPr>
                  <w:tcW w:w="1230" w:type="dxa"/>
                  <w:vAlign w:val="center"/>
                </w:tcPr>
                <w:p>
                  <w:pPr>
                    <w:jc w:val="center"/>
                    <w:rPr>
                      <w:szCs w:val="21"/>
                    </w:rPr>
                  </w:pPr>
                  <w:r>
                    <w:rPr>
                      <w:szCs w:val="21"/>
                    </w:rPr>
                    <w:t>单位</w:t>
                  </w:r>
                </w:p>
              </w:tc>
              <w:tc>
                <w:tcPr>
                  <w:tcW w:w="1815" w:type="dxa"/>
                  <w:vAlign w:val="center"/>
                </w:tcPr>
                <w:p>
                  <w:pPr>
                    <w:jc w:val="center"/>
                    <w:rPr>
                      <w:szCs w:val="21"/>
                    </w:rPr>
                  </w:pPr>
                  <w:r>
                    <w:rPr>
                      <w:szCs w:val="21"/>
                    </w:rPr>
                    <w:t>指标值</w:t>
                  </w:r>
                </w:p>
              </w:tc>
              <w:tc>
                <w:tcPr>
                  <w:tcW w:w="1180" w:type="dxa"/>
                  <w:vAlign w:val="center"/>
                </w:tcPr>
                <w:p>
                  <w:pPr>
                    <w:jc w:val="center"/>
                    <w:rPr>
                      <w:szCs w:val="21"/>
                    </w:rPr>
                  </w:pPr>
                  <w:r>
                    <w:rPr>
                      <w:rFonts w:hint="eastAsia"/>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1</w:t>
                  </w:r>
                </w:p>
              </w:tc>
              <w:tc>
                <w:tcPr>
                  <w:tcW w:w="2850" w:type="dxa"/>
                  <w:gridSpan w:val="6"/>
                  <w:vAlign w:val="center"/>
                </w:tcPr>
                <w:p>
                  <w:pPr>
                    <w:jc w:val="center"/>
                    <w:rPr>
                      <w:szCs w:val="21"/>
                    </w:rPr>
                  </w:pPr>
                  <w:r>
                    <w:rPr>
                      <w:szCs w:val="21"/>
                    </w:rPr>
                    <w:t>总</w:t>
                  </w:r>
                  <w:r>
                    <w:rPr>
                      <w:rFonts w:hint="eastAsia"/>
                      <w:szCs w:val="21"/>
                      <w:lang w:eastAsia="zh-CN"/>
                    </w:rPr>
                    <w:t>净</w:t>
                  </w:r>
                  <w:r>
                    <w:rPr>
                      <w:szCs w:val="21"/>
                    </w:rPr>
                    <w:t>用地面积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12276</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2</w:t>
                  </w:r>
                </w:p>
              </w:tc>
              <w:tc>
                <w:tcPr>
                  <w:tcW w:w="2850" w:type="dxa"/>
                  <w:gridSpan w:val="6"/>
                  <w:vAlign w:val="center"/>
                </w:tcPr>
                <w:p>
                  <w:pPr>
                    <w:jc w:val="center"/>
                    <w:rPr>
                      <w:szCs w:val="21"/>
                    </w:rPr>
                  </w:pPr>
                  <w:r>
                    <w:rPr>
                      <w:szCs w:val="21"/>
                    </w:rPr>
                    <w:t>总建筑面积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67982.594</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szCs w:val="21"/>
                    </w:rPr>
                    <w:t>3</w:t>
                  </w:r>
                </w:p>
              </w:tc>
              <w:tc>
                <w:tcPr>
                  <w:tcW w:w="2850" w:type="dxa"/>
                  <w:gridSpan w:val="6"/>
                  <w:vAlign w:val="center"/>
                </w:tcPr>
                <w:p>
                  <w:pPr>
                    <w:jc w:val="center"/>
                    <w:rPr>
                      <w:szCs w:val="21"/>
                    </w:rPr>
                  </w:pPr>
                  <w:r>
                    <w:rPr>
                      <w:rFonts w:hint="eastAsia"/>
                      <w:szCs w:val="21"/>
                    </w:rPr>
                    <w:t>总</w:t>
                  </w:r>
                  <w:r>
                    <w:rPr>
                      <w:szCs w:val="21"/>
                    </w:rPr>
                    <w:t>计容建筑面积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49042.118</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1072" w:type="dxa"/>
                  <w:vMerge w:val="continue"/>
                  <w:vAlign w:val="center"/>
                </w:tcPr>
                <w:p>
                  <w:pPr>
                    <w:jc w:val="center"/>
                    <w:rPr>
                      <w:szCs w:val="21"/>
                    </w:rPr>
                  </w:pPr>
                </w:p>
              </w:tc>
              <w:tc>
                <w:tcPr>
                  <w:tcW w:w="660" w:type="dxa"/>
                  <w:gridSpan w:val="2"/>
                  <w:vMerge w:val="restart"/>
                  <w:vAlign w:val="center"/>
                </w:tcPr>
                <w:p>
                  <w:pPr>
                    <w:jc w:val="center"/>
                    <w:rPr>
                      <w:szCs w:val="21"/>
                    </w:rPr>
                  </w:pPr>
                  <w:r>
                    <w:rPr>
                      <w:rFonts w:hint="eastAsia"/>
                      <w:szCs w:val="21"/>
                    </w:rPr>
                    <w:t>其中</w:t>
                  </w:r>
                </w:p>
              </w:tc>
              <w:tc>
                <w:tcPr>
                  <w:tcW w:w="2190" w:type="dxa"/>
                  <w:gridSpan w:val="4"/>
                  <w:vAlign w:val="center"/>
                </w:tcPr>
                <w:p>
                  <w:pPr>
                    <w:jc w:val="center"/>
                    <w:rPr>
                      <w:szCs w:val="21"/>
                    </w:rPr>
                  </w:pPr>
                  <w:r>
                    <w:rPr>
                      <w:rFonts w:hint="eastAsia"/>
                      <w:szCs w:val="21"/>
                    </w:rPr>
                    <w:t>公寓面积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39556.317</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90" w:type="dxa"/>
                  <w:gridSpan w:val="4"/>
                  <w:vAlign w:val="center"/>
                </w:tcPr>
                <w:p>
                  <w:pPr>
                    <w:jc w:val="center"/>
                    <w:rPr>
                      <w:szCs w:val="21"/>
                    </w:rPr>
                  </w:pPr>
                  <w:r>
                    <w:rPr>
                      <w:rFonts w:hint="eastAsia"/>
                      <w:szCs w:val="21"/>
                    </w:rPr>
                    <w:t>商业面积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8545.917</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190" w:type="dxa"/>
                  <w:gridSpan w:val="4"/>
                  <w:vAlign w:val="center"/>
                </w:tcPr>
                <w:p>
                  <w:pPr>
                    <w:jc w:val="center"/>
                    <w:rPr>
                      <w:szCs w:val="21"/>
                    </w:rPr>
                  </w:pPr>
                  <w:r>
                    <w:rPr>
                      <w:rFonts w:hint="eastAsia"/>
                      <w:szCs w:val="21"/>
                    </w:rPr>
                    <w:t>公共服务配套</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936.884</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3"/>
                  <w:vMerge w:val="restart"/>
                  <w:vAlign w:val="center"/>
                </w:tcPr>
                <w:p>
                  <w:pPr>
                    <w:jc w:val="center"/>
                    <w:rPr>
                      <w:szCs w:val="21"/>
                    </w:rPr>
                  </w:pPr>
                  <w:r>
                    <w:rPr>
                      <w:rFonts w:hint="eastAsia"/>
                      <w:szCs w:val="21"/>
                    </w:rPr>
                    <w:t>其中</w:t>
                  </w:r>
                </w:p>
              </w:tc>
              <w:tc>
                <w:tcPr>
                  <w:tcW w:w="1650" w:type="dxa"/>
                  <w:vAlign w:val="center"/>
                </w:tcPr>
                <w:p>
                  <w:pPr>
                    <w:jc w:val="center"/>
                    <w:rPr>
                      <w:szCs w:val="21"/>
                    </w:rPr>
                  </w:pPr>
                  <w:r>
                    <w:rPr>
                      <w:rFonts w:hint="eastAsia"/>
                      <w:szCs w:val="21"/>
                    </w:rPr>
                    <w:t>对外公厕</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60.390</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3"/>
                  <w:vMerge w:val="continue"/>
                  <w:vAlign w:val="center"/>
                </w:tcPr>
                <w:p>
                  <w:pPr>
                    <w:jc w:val="center"/>
                    <w:rPr>
                      <w:szCs w:val="21"/>
                    </w:rPr>
                  </w:pPr>
                </w:p>
              </w:tc>
              <w:tc>
                <w:tcPr>
                  <w:tcW w:w="1650" w:type="dxa"/>
                  <w:vAlign w:val="center"/>
                </w:tcPr>
                <w:p>
                  <w:pPr>
                    <w:jc w:val="center"/>
                    <w:rPr>
                      <w:szCs w:val="21"/>
                    </w:rPr>
                  </w:pPr>
                  <w:r>
                    <w:rPr>
                      <w:rFonts w:hint="eastAsia"/>
                      <w:szCs w:val="21"/>
                    </w:rPr>
                    <w:t>垃圾站</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40.200</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3"/>
                  <w:vMerge w:val="continue"/>
                  <w:vAlign w:val="center"/>
                </w:tcPr>
                <w:p>
                  <w:pPr>
                    <w:jc w:val="center"/>
                    <w:rPr>
                      <w:szCs w:val="21"/>
                    </w:rPr>
                  </w:pPr>
                </w:p>
              </w:tc>
              <w:tc>
                <w:tcPr>
                  <w:tcW w:w="1650" w:type="dxa"/>
                  <w:vAlign w:val="center"/>
                </w:tcPr>
                <w:p>
                  <w:pPr>
                    <w:jc w:val="center"/>
                    <w:rPr>
                      <w:szCs w:val="21"/>
                    </w:rPr>
                  </w:pPr>
                  <w:r>
                    <w:rPr>
                      <w:szCs w:val="21"/>
                    </w:rPr>
                    <w:t>物管用房</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836.294</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2850" w:type="dxa"/>
                  <w:gridSpan w:val="6"/>
                  <w:vAlign w:val="center"/>
                </w:tcPr>
                <w:p>
                  <w:pPr>
                    <w:jc w:val="center"/>
                    <w:rPr>
                      <w:szCs w:val="21"/>
                    </w:rPr>
                  </w:pPr>
                  <w:r>
                    <w:rPr>
                      <w:rFonts w:hint="eastAsia"/>
                      <w:szCs w:val="21"/>
                    </w:rPr>
                    <w:t>总不计容建筑面积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18940..476</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p>
              </w:tc>
              <w:tc>
                <w:tcPr>
                  <w:tcW w:w="2190" w:type="dxa"/>
                  <w:gridSpan w:val="4"/>
                  <w:vAlign w:val="center"/>
                </w:tcPr>
                <w:p>
                  <w:pPr>
                    <w:jc w:val="center"/>
                    <w:rPr>
                      <w:szCs w:val="21"/>
                    </w:rPr>
                  </w:pPr>
                  <w:r>
                    <w:rPr>
                      <w:rFonts w:hint="eastAsia"/>
                      <w:szCs w:val="21"/>
                    </w:rPr>
                    <w:t>地下车库面积</w:t>
                  </w:r>
                </w:p>
              </w:tc>
              <w:tc>
                <w:tcPr>
                  <w:tcW w:w="1230" w:type="dxa"/>
                  <w:vAlign w:val="center"/>
                </w:tcPr>
                <w:p>
                  <w:pPr>
                    <w:jc w:val="center"/>
                    <w:rPr>
                      <w:szCs w:val="21"/>
                    </w:rPr>
                  </w:pPr>
                </w:p>
              </w:tc>
              <w:tc>
                <w:tcPr>
                  <w:tcW w:w="1815" w:type="dxa"/>
                  <w:vAlign w:val="center"/>
                </w:tcPr>
                <w:p>
                  <w:pPr>
                    <w:jc w:val="center"/>
                    <w:rPr>
                      <w:szCs w:val="21"/>
                    </w:rPr>
                  </w:pPr>
                  <w:r>
                    <w:rPr>
                      <w:rFonts w:hint="eastAsia"/>
                      <w:szCs w:val="21"/>
                    </w:rPr>
                    <w:t>18940..476</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465" w:type="dxa"/>
                  <w:gridSpan w:val="2"/>
                  <w:vMerge w:val="restart"/>
                  <w:vAlign w:val="center"/>
                </w:tcPr>
                <w:p>
                  <w:pPr>
                    <w:jc w:val="center"/>
                    <w:rPr>
                      <w:szCs w:val="21"/>
                    </w:rPr>
                  </w:pPr>
                  <w:r>
                    <w:rPr>
                      <w:rFonts w:hint="eastAsia"/>
                      <w:szCs w:val="21"/>
                    </w:rPr>
                    <w:t>其中</w:t>
                  </w:r>
                </w:p>
              </w:tc>
              <w:tc>
                <w:tcPr>
                  <w:tcW w:w="1725" w:type="dxa"/>
                  <w:gridSpan w:val="2"/>
                  <w:vAlign w:val="center"/>
                </w:tcPr>
                <w:p>
                  <w:pPr>
                    <w:jc w:val="center"/>
                    <w:rPr>
                      <w:szCs w:val="21"/>
                    </w:rPr>
                  </w:pPr>
                  <w:r>
                    <w:rPr>
                      <w:rFonts w:hint="eastAsia"/>
                      <w:szCs w:val="21"/>
                    </w:rPr>
                    <w:t>人防机动车库</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12268.000</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465" w:type="dxa"/>
                  <w:gridSpan w:val="2"/>
                  <w:vMerge w:val="continue"/>
                  <w:vAlign w:val="center"/>
                </w:tcPr>
                <w:p>
                  <w:pPr>
                    <w:jc w:val="center"/>
                    <w:rPr>
                      <w:szCs w:val="21"/>
                    </w:rPr>
                  </w:pPr>
                </w:p>
              </w:tc>
              <w:tc>
                <w:tcPr>
                  <w:tcW w:w="1725" w:type="dxa"/>
                  <w:gridSpan w:val="2"/>
                  <w:vAlign w:val="center"/>
                </w:tcPr>
                <w:p>
                  <w:pPr>
                    <w:jc w:val="center"/>
                    <w:rPr>
                      <w:szCs w:val="21"/>
                    </w:rPr>
                  </w:pPr>
                  <w:r>
                    <w:rPr>
                      <w:rFonts w:hint="eastAsia"/>
                      <w:szCs w:val="21"/>
                    </w:rPr>
                    <w:t>非人防机动车库</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6672.476</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4</w:t>
                  </w:r>
                </w:p>
              </w:tc>
              <w:tc>
                <w:tcPr>
                  <w:tcW w:w="2850" w:type="dxa"/>
                  <w:gridSpan w:val="6"/>
                  <w:vAlign w:val="center"/>
                </w:tcPr>
                <w:p>
                  <w:pPr>
                    <w:jc w:val="center"/>
                    <w:rPr>
                      <w:szCs w:val="21"/>
                    </w:rPr>
                  </w:pPr>
                  <w:r>
                    <w:rPr>
                      <w:rFonts w:hint="eastAsia"/>
                      <w:szCs w:val="21"/>
                    </w:rPr>
                    <w:t>总占地面积</w:t>
                  </w:r>
                </w:p>
              </w:tc>
              <w:tc>
                <w:tcPr>
                  <w:tcW w:w="1230" w:type="dxa"/>
                  <w:vAlign w:val="center"/>
                </w:tcPr>
                <w:p>
                  <w:pPr>
                    <w:jc w:val="center"/>
                    <w:rPr>
                      <w:szCs w:val="21"/>
                    </w:rPr>
                  </w:pPr>
                  <w:r>
                    <w:rPr>
                      <w:szCs w:val="21"/>
                    </w:rPr>
                    <w:t>m</w:t>
                  </w:r>
                  <w:r>
                    <w:rPr>
                      <w:szCs w:val="21"/>
                      <w:vertAlign w:val="superscript"/>
                    </w:rPr>
                    <w:t>2</w:t>
                  </w:r>
                </w:p>
              </w:tc>
              <w:tc>
                <w:tcPr>
                  <w:tcW w:w="1815" w:type="dxa"/>
                  <w:vAlign w:val="center"/>
                </w:tcPr>
                <w:p>
                  <w:pPr>
                    <w:jc w:val="center"/>
                    <w:rPr>
                      <w:szCs w:val="21"/>
                    </w:rPr>
                  </w:pPr>
                  <w:r>
                    <w:rPr>
                      <w:rFonts w:hint="eastAsia"/>
                      <w:szCs w:val="21"/>
                    </w:rPr>
                    <w:t>2801.505</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5</w:t>
                  </w:r>
                </w:p>
              </w:tc>
              <w:tc>
                <w:tcPr>
                  <w:tcW w:w="2850" w:type="dxa"/>
                  <w:gridSpan w:val="6"/>
                  <w:vAlign w:val="center"/>
                </w:tcPr>
                <w:p>
                  <w:pPr>
                    <w:jc w:val="center"/>
                    <w:rPr>
                      <w:szCs w:val="21"/>
                    </w:rPr>
                  </w:pPr>
                  <w:r>
                    <w:rPr>
                      <w:rFonts w:hint="eastAsia"/>
                      <w:szCs w:val="21"/>
                    </w:rPr>
                    <w:t>建筑密度</w:t>
                  </w:r>
                </w:p>
              </w:tc>
              <w:tc>
                <w:tcPr>
                  <w:tcW w:w="1230" w:type="dxa"/>
                  <w:vAlign w:val="center"/>
                </w:tcPr>
                <w:p>
                  <w:pPr>
                    <w:jc w:val="center"/>
                    <w:rPr>
                      <w:szCs w:val="21"/>
                    </w:rPr>
                  </w:pPr>
                  <w:r>
                    <w:rPr>
                      <w:rFonts w:hint="eastAsia"/>
                      <w:szCs w:val="21"/>
                    </w:rPr>
                    <w:t>%</w:t>
                  </w:r>
                </w:p>
              </w:tc>
              <w:tc>
                <w:tcPr>
                  <w:tcW w:w="1815" w:type="dxa"/>
                  <w:vAlign w:val="center"/>
                </w:tcPr>
                <w:p>
                  <w:pPr>
                    <w:jc w:val="center"/>
                    <w:rPr>
                      <w:szCs w:val="21"/>
                    </w:rPr>
                  </w:pPr>
                  <w:r>
                    <w:rPr>
                      <w:rFonts w:hint="eastAsia"/>
                      <w:szCs w:val="21"/>
                    </w:rPr>
                    <w:t>22.82</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6</w:t>
                  </w:r>
                </w:p>
              </w:tc>
              <w:tc>
                <w:tcPr>
                  <w:tcW w:w="2850" w:type="dxa"/>
                  <w:gridSpan w:val="6"/>
                  <w:vAlign w:val="center"/>
                </w:tcPr>
                <w:p>
                  <w:pPr>
                    <w:jc w:val="center"/>
                    <w:rPr>
                      <w:szCs w:val="21"/>
                    </w:rPr>
                  </w:pPr>
                  <w:r>
                    <w:rPr>
                      <w:rFonts w:hint="eastAsia"/>
                      <w:szCs w:val="21"/>
                    </w:rPr>
                    <w:t>容积率</w:t>
                  </w:r>
                </w:p>
              </w:tc>
              <w:tc>
                <w:tcPr>
                  <w:tcW w:w="1230" w:type="dxa"/>
                  <w:vAlign w:val="center"/>
                </w:tcPr>
                <w:p>
                  <w:pPr>
                    <w:jc w:val="center"/>
                    <w:rPr>
                      <w:szCs w:val="21"/>
                    </w:rPr>
                  </w:pPr>
                </w:p>
              </w:tc>
              <w:tc>
                <w:tcPr>
                  <w:tcW w:w="1815" w:type="dxa"/>
                  <w:vAlign w:val="center"/>
                </w:tcPr>
                <w:p>
                  <w:pPr>
                    <w:jc w:val="center"/>
                    <w:rPr>
                      <w:szCs w:val="21"/>
                    </w:rPr>
                  </w:pPr>
                  <w:r>
                    <w:rPr>
                      <w:rFonts w:hint="eastAsia"/>
                      <w:szCs w:val="21"/>
                    </w:rPr>
                    <w:t>3.995</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7</w:t>
                  </w:r>
                </w:p>
              </w:tc>
              <w:tc>
                <w:tcPr>
                  <w:tcW w:w="2850" w:type="dxa"/>
                  <w:gridSpan w:val="6"/>
                  <w:vAlign w:val="center"/>
                </w:tcPr>
                <w:p>
                  <w:pPr>
                    <w:jc w:val="center"/>
                    <w:rPr>
                      <w:szCs w:val="21"/>
                    </w:rPr>
                  </w:pPr>
                  <w:r>
                    <w:rPr>
                      <w:rFonts w:hint="eastAsia"/>
                      <w:szCs w:val="21"/>
                    </w:rPr>
                    <w:t>建筑高度</w:t>
                  </w:r>
                </w:p>
              </w:tc>
              <w:tc>
                <w:tcPr>
                  <w:tcW w:w="1230" w:type="dxa"/>
                  <w:vAlign w:val="center"/>
                </w:tcPr>
                <w:p>
                  <w:pPr>
                    <w:jc w:val="center"/>
                    <w:rPr>
                      <w:szCs w:val="21"/>
                    </w:rPr>
                  </w:pPr>
                  <w:r>
                    <w:rPr>
                      <w:szCs w:val="21"/>
                    </w:rPr>
                    <w:t>m</w:t>
                  </w:r>
                </w:p>
              </w:tc>
              <w:tc>
                <w:tcPr>
                  <w:tcW w:w="1815" w:type="dxa"/>
                  <w:vAlign w:val="center"/>
                </w:tcPr>
                <w:p>
                  <w:pPr>
                    <w:jc w:val="center"/>
                    <w:rPr>
                      <w:szCs w:val="21"/>
                    </w:rPr>
                  </w:pPr>
                  <w:r>
                    <w:rPr>
                      <w:rFonts w:hint="eastAsia"/>
                      <w:szCs w:val="21"/>
                    </w:rPr>
                    <w:t>100</w:t>
                  </w:r>
                </w:p>
              </w:tc>
              <w:tc>
                <w:tcPr>
                  <w:tcW w:w="1180"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8</w:t>
                  </w:r>
                </w:p>
              </w:tc>
              <w:tc>
                <w:tcPr>
                  <w:tcW w:w="2850" w:type="dxa"/>
                  <w:gridSpan w:val="6"/>
                  <w:vAlign w:val="center"/>
                </w:tcPr>
                <w:p>
                  <w:pPr>
                    <w:jc w:val="center"/>
                    <w:rPr>
                      <w:szCs w:val="21"/>
                    </w:rPr>
                  </w:pPr>
                  <w:r>
                    <w:rPr>
                      <w:rFonts w:hint="eastAsia"/>
                      <w:szCs w:val="21"/>
                    </w:rPr>
                    <w:t>绿地率</w:t>
                  </w:r>
                </w:p>
              </w:tc>
              <w:tc>
                <w:tcPr>
                  <w:tcW w:w="1230" w:type="dxa"/>
                  <w:vAlign w:val="center"/>
                </w:tcPr>
                <w:p>
                  <w:pPr>
                    <w:jc w:val="center"/>
                    <w:rPr>
                      <w:szCs w:val="21"/>
                    </w:rPr>
                  </w:pPr>
                  <w:r>
                    <w:rPr>
                      <w:rFonts w:hint="eastAsia"/>
                      <w:szCs w:val="21"/>
                    </w:rPr>
                    <w:t>%</w:t>
                  </w:r>
                </w:p>
              </w:tc>
              <w:tc>
                <w:tcPr>
                  <w:tcW w:w="1815" w:type="dxa"/>
                  <w:vAlign w:val="center"/>
                </w:tcPr>
                <w:p>
                  <w:pPr>
                    <w:jc w:val="center"/>
                    <w:rPr>
                      <w:szCs w:val="21"/>
                    </w:rPr>
                  </w:pPr>
                  <w:r>
                    <w:rPr>
                      <w:rFonts w:hint="eastAsia"/>
                      <w:szCs w:val="21"/>
                    </w:rPr>
                    <w:t>35.01</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rFonts w:hint="eastAsia"/>
                      <w:szCs w:val="21"/>
                    </w:rPr>
                    <w:t>9</w:t>
                  </w:r>
                </w:p>
              </w:tc>
              <w:tc>
                <w:tcPr>
                  <w:tcW w:w="2850" w:type="dxa"/>
                  <w:gridSpan w:val="6"/>
                  <w:vAlign w:val="center"/>
                </w:tcPr>
                <w:p>
                  <w:pPr>
                    <w:jc w:val="center"/>
                    <w:rPr>
                      <w:szCs w:val="21"/>
                    </w:rPr>
                  </w:pPr>
                  <w:r>
                    <w:rPr>
                      <w:rFonts w:hint="eastAsia"/>
                      <w:szCs w:val="21"/>
                    </w:rPr>
                    <w:t>机动车</w:t>
                  </w:r>
                  <w:r>
                    <w:rPr>
                      <w:szCs w:val="21"/>
                    </w:rPr>
                    <w:t>停车位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498</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restart"/>
                  <w:vAlign w:val="center"/>
                </w:tcPr>
                <w:p>
                  <w:pPr>
                    <w:jc w:val="center"/>
                    <w:rPr>
                      <w:szCs w:val="21"/>
                    </w:rPr>
                  </w:pPr>
                  <w:r>
                    <w:rPr>
                      <w:rFonts w:hint="eastAsia"/>
                      <w:szCs w:val="21"/>
                    </w:rPr>
                    <w:t>其中</w:t>
                  </w:r>
                </w:p>
              </w:tc>
              <w:tc>
                <w:tcPr>
                  <w:tcW w:w="2400" w:type="dxa"/>
                  <w:gridSpan w:val="5"/>
                  <w:vAlign w:val="center"/>
                </w:tcPr>
                <w:p>
                  <w:pPr>
                    <w:jc w:val="center"/>
                    <w:rPr>
                      <w:szCs w:val="21"/>
                    </w:rPr>
                  </w:pPr>
                  <w:r>
                    <w:rPr>
                      <w:rFonts w:hint="eastAsia"/>
                      <w:szCs w:val="21"/>
                    </w:rPr>
                    <w:t>地面停车位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72</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2400" w:type="dxa"/>
                  <w:gridSpan w:val="5"/>
                  <w:vAlign w:val="center"/>
                </w:tcPr>
                <w:p>
                  <w:pPr>
                    <w:jc w:val="center"/>
                    <w:rPr>
                      <w:szCs w:val="21"/>
                    </w:rPr>
                  </w:pPr>
                  <w:r>
                    <w:rPr>
                      <w:rFonts w:hint="eastAsia"/>
                      <w:szCs w:val="21"/>
                    </w:rPr>
                    <w:t>地下停车位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426</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restart"/>
                  <w:vAlign w:val="center"/>
                </w:tcPr>
                <w:p>
                  <w:pPr>
                    <w:jc w:val="center"/>
                    <w:rPr>
                      <w:szCs w:val="21"/>
                    </w:rPr>
                  </w:pPr>
                  <w:r>
                    <w:rPr>
                      <w:rFonts w:hint="eastAsia"/>
                      <w:szCs w:val="21"/>
                    </w:rPr>
                    <w:t>其中</w:t>
                  </w:r>
                </w:p>
              </w:tc>
              <w:tc>
                <w:tcPr>
                  <w:tcW w:w="1890" w:type="dxa"/>
                  <w:gridSpan w:val="3"/>
                  <w:vAlign w:val="center"/>
                </w:tcPr>
                <w:p>
                  <w:pPr>
                    <w:jc w:val="center"/>
                    <w:rPr>
                      <w:szCs w:val="21"/>
                    </w:rPr>
                  </w:pPr>
                  <w:r>
                    <w:rPr>
                      <w:rFonts w:hint="eastAsia"/>
                      <w:szCs w:val="21"/>
                    </w:rPr>
                    <w:t>普通车位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298</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90" w:type="dxa"/>
                  <w:gridSpan w:val="3"/>
                  <w:vAlign w:val="center"/>
                </w:tcPr>
                <w:p>
                  <w:pPr>
                    <w:jc w:val="center"/>
                    <w:rPr>
                      <w:szCs w:val="21"/>
                    </w:rPr>
                  </w:pPr>
                  <w:r>
                    <w:rPr>
                      <w:rFonts w:hint="eastAsia"/>
                      <w:szCs w:val="21"/>
                    </w:rPr>
                    <w:t>无障碍车位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6</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90" w:type="dxa"/>
                  <w:gridSpan w:val="3"/>
                  <w:vAlign w:val="center"/>
                </w:tcPr>
                <w:p>
                  <w:pPr>
                    <w:jc w:val="center"/>
                    <w:rPr>
                      <w:szCs w:val="21"/>
                    </w:rPr>
                  </w:pPr>
                  <w:r>
                    <w:rPr>
                      <w:rFonts w:hint="eastAsia"/>
                      <w:szCs w:val="21"/>
                    </w:rPr>
                    <w:t>充电桩车位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102</w:t>
                  </w:r>
                </w:p>
              </w:tc>
              <w:tc>
                <w:tcPr>
                  <w:tcW w:w="11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890" w:type="dxa"/>
                  <w:gridSpan w:val="3"/>
                  <w:vAlign w:val="center"/>
                </w:tcPr>
                <w:p>
                  <w:pPr>
                    <w:jc w:val="center"/>
                    <w:rPr>
                      <w:szCs w:val="21"/>
                    </w:rPr>
                  </w:pPr>
                  <w:r>
                    <w:rPr>
                      <w:rFonts w:hint="eastAsia"/>
                      <w:szCs w:val="21"/>
                    </w:rPr>
                    <w:t>子母车位</w:t>
                  </w:r>
                </w:p>
              </w:tc>
              <w:tc>
                <w:tcPr>
                  <w:tcW w:w="1230" w:type="dxa"/>
                  <w:vAlign w:val="center"/>
                </w:tcPr>
                <w:p>
                  <w:pPr>
                    <w:jc w:val="center"/>
                    <w:rPr>
                      <w:szCs w:val="21"/>
                    </w:rPr>
                  </w:pPr>
                  <w:r>
                    <w:rPr>
                      <w:rFonts w:hint="eastAsia"/>
                      <w:szCs w:val="21"/>
                    </w:rPr>
                    <w:t>辆</w:t>
                  </w:r>
                </w:p>
              </w:tc>
              <w:tc>
                <w:tcPr>
                  <w:tcW w:w="1815" w:type="dxa"/>
                  <w:vAlign w:val="center"/>
                </w:tcPr>
                <w:p>
                  <w:pPr>
                    <w:jc w:val="center"/>
                    <w:rPr>
                      <w:szCs w:val="21"/>
                    </w:rPr>
                  </w:pPr>
                  <w:r>
                    <w:rPr>
                      <w:rFonts w:hint="eastAsia"/>
                      <w:szCs w:val="21"/>
                    </w:rPr>
                    <w:t>20</w:t>
                  </w:r>
                </w:p>
              </w:tc>
              <w:tc>
                <w:tcPr>
                  <w:tcW w:w="1180" w:type="dxa"/>
                  <w:vAlign w:val="center"/>
                </w:tcPr>
                <w:p>
                  <w:pPr>
                    <w:jc w:val="center"/>
                    <w:rPr>
                      <w:szCs w:val="21"/>
                    </w:rPr>
                  </w:pPr>
                </w:p>
              </w:tc>
            </w:tr>
          </w:tbl>
          <w:p>
            <w:pPr>
              <w:jc w:val="center"/>
              <w:rPr>
                <w:sz w:val="24"/>
              </w:rPr>
            </w:pPr>
            <w:r>
              <w:rPr>
                <w:b/>
                <w:snapToGrid w:val="0"/>
                <w:szCs w:val="21"/>
              </w:rPr>
              <w:t>表</w:t>
            </w:r>
            <w:r>
              <w:rPr>
                <w:rFonts w:hint="eastAsia"/>
                <w:b/>
                <w:snapToGrid w:val="0"/>
                <w:szCs w:val="21"/>
              </w:rPr>
              <w:t>2</w:t>
            </w:r>
            <w:r>
              <w:rPr>
                <w:b/>
                <w:snapToGrid w:val="0"/>
                <w:szCs w:val="21"/>
              </w:rPr>
              <w:t>-</w:t>
            </w:r>
            <w:r>
              <w:rPr>
                <w:rFonts w:hint="eastAsia"/>
                <w:b/>
                <w:snapToGrid w:val="0"/>
                <w:szCs w:val="21"/>
              </w:rPr>
              <w:t>5  3个地块</w:t>
            </w:r>
            <w:r>
              <w:rPr>
                <w:rFonts w:hint="eastAsia" w:ascii="宋体" w:hAnsi="宋体"/>
                <w:b/>
                <w:snapToGrid w:val="0"/>
                <w:szCs w:val="21"/>
              </w:rPr>
              <w:t>整体主要技术经济指标表</w:t>
            </w:r>
          </w:p>
          <w:tbl>
            <w:tblPr>
              <w:tblStyle w:val="18"/>
              <w:tblW w:w="81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450"/>
              <w:gridCol w:w="210"/>
              <w:gridCol w:w="300"/>
              <w:gridCol w:w="240"/>
              <w:gridCol w:w="1755"/>
              <w:gridCol w:w="1185"/>
              <w:gridCol w:w="1620"/>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72" w:type="dxa"/>
                  <w:vAlign w:val="center"/>
                </w:tcPr>
                <w:p>
                  <w:pPr>
                    <w:jc w:val="center"/>
                    <w:rPr>
                      <w:szCs w:val="21"/>
                    </w:rPr>
                  </w:pPr>
                  <w:r>
                    <w:rPr>
                      <w:szCs w:val="21"/>
                    </w:rPr>
                    <w:t>序号</w:t>
                  </w:r>
                </w:p>
              </w:tc>
              <w:tc>
                <w:tcPr>
                  <w:tcW w:w="2955" w:type="dxa"/>
                  <w:gridSpan w:val="5"/>
                  <w:vAlign w:val="center"/>
                </w:tcPr>
                <w:p>
                  <w:pPr>
                    <w:jc w:val="center"/>
                    <w:rPr>
                      <w:szCs w:val="21"/>
                    </w:rPr>
                  </w:pPr>
                  <w:r>
                    <w:rPr>
                      <w:szCs w:val="21"/>
                    </w:rPr>
                    <w:t>指标名称</w:t>
                  </w:r>
                </w:p>
              </w:tc>
              <w:tc>
                <w:tcPr>
                  <w:tcW w:w="1185" w:type="dxa"/>
                  <w:vAlign w:val="center"/>
                </w:tcPr>
                <w:p>
                  <w:pPr>
                    <w:jc w:val="center"/>
                    <w:rPr>
                      <w:szCs w:val="21"/>
                    </w:rPr>
                  </w:pPr>
                  <w:r>
                    <w:rPr>
                      <w:szCs w:val="21"/>
                    </w:rPr>
                    <w:t>单位</w:t>
                  </w:r>
                </w:p>
              </w:tc>
              <w:tc>
                <w:tcPr>
                  <w:tcW w:w="1620" w:type="dxa"/>
                  <w:vAlign w:val="center"/>
                </w:tcPr>
                <w:p>
                  <w:pPr>
                    <w:jc w:val="center"/>
                    <w:rPr>
                      <w:szCs w:val="21"/>
                    </w:rPr>
                  </w:pPr>
                  <w:r>
                    <w:rPr>
                      <w:szCs w:val="21"/>
                    </w:rPr>
                    <w:t>指标值</w:t>
                  </w:r>
                </w:p>
              </w:tc>
              <w:tc>
                <w:tcPr>
                  <w:tcW w:w="1315" w:type="dxa"/>
                  <w:vAlign w:val="center"/>
                </w:tcPr>
                <w:p>
                  <w:pPr>
                    <w:jc w:val="center"/>
                    <w:rPr>
                      <w:szCs w:val="21"/>
                    </w:rPr>
                  </w:pPr>
                  <w:r>
                    <w:rPr>
                      <w:rFonts w:hint="eastAsia"/>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1</w:t>
                  </w:r>
                </w:p>
              </w:tc>
              <w:tc>
                <w:tcPr>
                  <w:tcW w:w="2955" w:type="dxa"/>
                  <w:gridSpan w:val="5"/>
                  <w:vAlign w:val="center"/>
                </w:tcPr>
                <w:p>
                  <w:pPr>
                    <w:jc w:val="center"/>
                    <w:rPr>
                      <w:szCs w:val="21"/>
                    </w:rPr>
                  </w:pPr>
                  <w:r>
                    <w:rPr>
                      <w:szCs w:val="21"/>
                    </w:rPr>
                    <w:t>总</w:t>
                  </w:r>
                  <w:r>
                    <w:rPr>
                      <w:rFonts w:hint="eastAsia"/>
                      <w:szCs w:val="21"/>
                      <w:lang w:eastAsia="zh-CN"/>
                    </w:rPr>
                    <w:t>净</w:t>
                  </w:r>
                  <w:r>
                    <w:rPr>
                      <w:szCs w:val="21"/>
                    </w:rPr>
                    <w:t>用地面积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110638</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szCs w:val="21"/>
                    </w:rPr>
                    <w:t>2</w:t>
                  </w:r>
                </w:p>
              </w:tc>
              <w:tc>
                <w:tcPr>
                  <w:tcW w:w="2955" w:type="dxa"/>
                  <w:gridSpan w:val="5"/>
                  <w:vAlign w:val="center"/>
                </w:tcPr>
                <w:p>
                  <w:pPr>
                    <w:jc w:val="center"/>
                    <w:rPr>
                      <w:szCs w:val="21"/>
                    </w:rPr>
                  </w:pPr>
                  <w:r>
                    <w:rPr>
                      <w:szCs w:val="21"/>
                    </w:rPr>
                    <w:t>总建筑面积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415659.836</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szCs w:val="21"/>
                    </w:rPr>
                    <w:t>3</w:t>
                  </w:r>
                </w:p>
              </w:tc>
              <w:tc>
                <w:tcPr>
                  <w:tcW w:w="2955" w:type="dxa"/>
                  <w:gridSpan w:val="5"/>
                  <w:vAlign w:val="center"/>
                </w:tcPr>
                <w:p>
                  <w:pPr>
                    <w:jc w:val="center"/>
                    <w:rPr>
                      <w:szCs w:val="21"/>
                    </w:rPr>
                  </w:pPr>
                  <w:r>
                    <w:rPr>
                      <w:rFonts w:hint="eastAsia"/>
                      <w:szCs w:val="21"/>
                    </w:rPr>
                    <w:t>总</w:t>
                  </w:r>
                  <w:r>
                    <w:rPr>
                      <w:szCs w:val="21"/>
                    </w:rPr>
                    <w:t>计容建筑面积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309102.689</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1072" w:type="dxa"/>
                  <w:vMerge w:val="continue"/>
                  <w:vAlign w:val="center"/>
                </w:tcPr>
                <w:p>
                  <w:pPr>
                    <w:jc w:val="center"/>
                    <w:rPr>
                      <w:szCs w:val="21"/>
                    </w:rPr>
                  </w:pPr>
                </w:p>
              </w:tc>
              <w:tc>
                <w:tcPr>
                  <w:tcW w:w="660" w:type="dxa"/>
                  <w:gridSpan w:val="2"/>
                  <w:vMerge w:val="restart"/>
                  <w:vAlign w:val="center"/>
                </w:tcPr>
                <w:p>
                  <w:pPr>
                    <w:jc w:val="center"/>
                    <w:rPr>
                      <w:szCs w:val="21"/>
                    </w:rPr>
                  </w:pPr>
                  <w:r>
                    <w:rPr>
                      <w:rFonts w:hint="eastAsia"/>
                      <w:szCs w:val="21"/>
                    </w:rPr>
                    <w:t>其中</w:t>
                  </w:r>
                </w:p>
              </w:tc>
              <w:tc>
                <w:tcPr>
                  <w:tcW w:w="2295" w:type="dxa"/>
                  <w:gridSpan w:val="3"/>
                  <w:vAlign w:val="center"/>
                </w:tcPr>
                <w:p>
                  <w:pPr>
                    <w:jc w:val="center"/>
                    <w:rPr>
                      <w:szCs w:val="21"/>
                    </w:rPr>
                  </w:pPr>
                  <w:r>
                    <w:rPr>
                      <w:szCs w:val="21"/>
                    </w:rPr>
                    <w:t>住宅面积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250541.372</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755" w:type="dxa"/>
                  <w:vAlign w:val="center"/>
                </w:tcPr>
                <w:p>
                  <w:pPr>
                    <w:jc w:val="center"/>
                    <w:rPr>
                      <w:szCs w:val="21"/>
                    </w:rPr>
                  </w:pPr>
                  <w:r>
                    <w:rPr>
                      <w:rFonts w:hint="eastAsia"/>
                      <w:szCs w:val="21"/>
                    </w:rPr>
                    <w:t>多层住宅</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25462.173</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高层</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225079.199</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295" w:type="dxa"/>
                  <w:gridSpan w:val="3"/>
                  <w:vAlign w:val="center"/>
                </w:tcPr>
                <w:p>
                  <w:pPr>
                    <w:jc w:val="center"/>
                    <w:rPr>
                      <w:szCs w:val="21"/>
                    </w:rPr>
                  </w:pPr>
                  <w:r>
                    <w:rPr>
                      <w:rFonts w:hint="eastAsia"/>
                      <w:szCs w:val="21"/>
                    </w:rPr>
                    <w:t>商业</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48105.234</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755" w:type="dxa"/>
                  <w:vAlign w:val="center"/>
                </w:tcPr>
                <w:p>
                  <w:pPr>
                    <w:jc w:val="center"/>
                    <w:rPr>
                      <w:szCs w:val="21"/>
                    </w:rPr>
                  </w:pPr>
                  <w:r>
                    <w:rPr>
                      <w:rFonts w:hint="eastAsia"/>
                      <w:szCs w:val="21"/>
                    </w:rPr>
                    <w:t>公寓面积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39556.317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集中商业</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8548.917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295" w:type="dxa"/>
                  <w:gridSpan w:val="3"/>
                  <w:vAlign w:val="center"/>
                </w:tcPr>
                <w:p>
                  <w:pPr>
                    <w:jc w:val="center"/>
                    <w:rPr>
                      <w:szCs w:val="21"/>
                    </w:rPr>
                  </w:pPr>
                  <w:r>
                    <w:rPr>
                      <w:rFonts w:hint="eastAsia"/>
                      <w:szCs w:val="21"/>
                    </w:rPr>
                    <w:t>配套商业</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3100.193</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295" w:type="dxa"/>
                  <w:gridSpan w:val="3"/>
                  <w:vAlign w:val="center"/>
                </w:tcPr>
                <w:p>
                  <w:pPr>
                    <w:jc w:val="center"/>
                    <w:rPr>
                      <w:szCs w:val="21"/>
                    </w:rPr>
                  </w:pPr>
                  <w:r>
                    <w:rPr>
                      <w:rFonts w:hint="eastAsia"/>
                      <w:szCs w:val="21"/>
                    </w:rPr>
                    <w:t>公共服务配套</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7355.89</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755" w:type="dxa"/>
                  <w:vAlign w:val="center"/>
                </w:tcPr>
                <w:p>
                  <w:pPr>
                    <w:jc w:val="center"/>
                    <w:rPr>
                      <w:szCs w:val="21"/>
                    </w:rPr>
                  </w:pPr>
                  <w:r>
                    <w:rPr>
                      <w:rFonts w:hint="eastAsia"/>
                      <w:szCs w:val="21"/>
                    </w:rPr>
                    <w:t>养老服务设施</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690.393</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szCs w:val="21"/>
                    </w:rPr>
                    <w:t>物管</w:t>
                  </w:r>
                  <w:r>
                    <w:rPr>
                      <w:rFonts w:hint="eastAsia"/>
                      <w:szCs w:val="21"/>
                    </w:rPr>
                    <w:t>及门卫面积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2690.947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幼儿园（9班）</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2707.050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垃圾站</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80.400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对外公厕</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185.750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社区服务站</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1001.350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2955" w:type="dxa"/>
                  <w:gridSpan w:val="5"/>
                  <w:vAlign w:val="center"/>
                </w:tcPr>
                <w:p>
                  <w:pPr>
                    <w:jc w:val="center"/>
                    <w:rPr>
                      <w:szCs w:val="21"/>
                    </w:rPr>
                  </w:pPr>
                  <w:r>
                    <w:rPr>
                      <w:rFonts w:hint="eastAsia"/>
                      <w:szCs w:val="21"/>
                    </w:rPr>
                    <w:t>总不计容建筑面积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106557.147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restart"/>
                  <w:vAlign w:val="center"/>
                </w:tcPr>
                <w:p>
                  <w:pPr>
                    <w:jc w:val="center"/>
                    <w:rPr>
                      <w:szCs w:val="21"/>
                    </w:rPr>
                  </w:pPr>
                </w:p>
              </w:tc>
              <w:tc>
                <w:tcPr>
                  <w:tcW w:w="2295" w:type="dxa"/>
                  <w:gridSpan w:val="3"/>
                  <w:vAlign w:val="center"/>
                </w:tcPr>
                <w:p>
                  <w:pPr>
                    <w:jc w:val="center"/>
                    <w:rPr>
                      <w:szCs w:val="21"/>
                    </w:rPr>
                  </w:pPr>
                  <w:r>
                    <w:rPr>
                      <w:rFonts w:hint="eastAsia"/>
                      <w:szCs w:val="21"/>
                    </w:rPr>
                    <w:t>架空层</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1092.910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2295" w:type="dxa"/>
                  <w:gridSpan w:val="3"/>
                  <w:vAlign w:val="center"/>
                </w:tcPr>
                <w:p>
                  <w:pPr>
                    <w:jc w:val="center"/>
                    <w:rPr>
                      <w:szCs w:val="21"/>
                    </w:rPr>
                  </w:pPr>
                  <w:r>
                    <w:rPr>
                      <w:rFonts w:hint="eastAsia"/>
                      <w:szCs w:val="21"/>
                    </w:rPr>
                    <w:t>地下车库面积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105464.237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restart"/>
                  <w:vAlign w:val="center"/>
                </w:tcPr>
                <w:p>
                  <w:pPr>
                    <w:jc w:val="center"/>
                    <w:rPr>
                      <w:szCs w:val="21"/>
                    </w:rPr>
                  </w:pPr>
                  <w:r>
                    <w:rPr>
                      <w:rFonts w:hint="eastAsia"/>
                      <w:szCs w:val="21"/>
                    </w:rPr>
                    <w:t>其中</w:t>
                  </w:r>
                </w:p>
              </w:tc>
              <w:tc>
                <w:tcPr>
                  <w:tcW w:w="1755" w:type="dxa"/>
                  <w:vAlign w:val="center"/>
                </w:tcPr>
                <w:p>
                  <w:pPr>
                    <w:jc w:val="center"/>
                    <w:rPr>
                      <w:szCs w:val="21"/>
                    </w:rPr>
                  </w:pPr>
                  <w:r>
                    <w:rPr>
                      <w:rFonts w:hint="eastAsia"/>
                      <w:szCs w:val="21"/>
                    </w:rPr>
                    <w:t>人防机动车库</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12268.000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660" w:type="dxa"/>
                  <w:gridSpan w:val="2"/>
                  <w:vMerge w:val="continue"/>
                  <w:vAlign w:val="center"/>
                </w:tcPr>
                <w:p>
                  <w:pPr>
                    <w:jc w:val="center"/>
                    <w:rPr>
                      <w:szCs w:val="21"/>
                    </w:rPr>
                  </w:pPr>
                </w:p>
              </w:tc>
              <w:tc>
                <w:tcPr>
                  <w:tcW w:w="540" w:type="dxa"/>
                  <w:gridSpan w:val="2"/>
                  <w:vMerge w:val="continue"/>
                  <w:vAlign w:val="center"/>
                </w:tcPr>
                <w:p>
                  <w:pPr>
                    <w:jc w:val="center"/>
                    <w:rPr>
                      <w:szCs w:val="21"/>
                    </w:rPr>
                  </w:pPr>
                </w:p>
              </w:tc>
              <w:tc>
                <w:tcPr>
                  <w:tcW w:w="1755" w:type="dxa"/>
                  <w:vAlign w:val="center"/>
                </w:tcPr>
                <w:p>
                  <w:pPr>
                    <w:jc w:val="center"/>
                    <w:rPr>
                      <w:szCs w:val="21"/>
                    </w:rPr>
                  </w:pPr>
                  <w:r>
                    <w:rPr>
                      <w:rFonts w:hint="eastAsia"/>
                      <w:szCs w:val="21"/>
                    </w:rPr>
                    <w:t>非人防机动车库</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93196.237</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4</w:t>
                  </w:r>
                </w:p>
              </w:tc>
              <w:tc>
                <w:tcPr>
                  <w:tcW w:w="2955" w:type="dxa"/>
                  <w:gridSpan w:val="5"/>
                  <w:vAlign w:val="center"/>
                </w:tcPr>
                <w:p>
                  <w:pPr>
                    <w:jc w:val="center"/>
                    <w:rPr>
                      <w:szCs w:val="21"/>
                    </w:rPr>
                  </w:pPr>
                  <w:r>
                    <w:rPr>
                      <w:rFonts w:hint="eastAsia"/>
                      <w:szCs w:val="21"/>
                    </w:rPr>
                    <w:t>总占地面积</w:t>
                  </w:r>
                </w:p>
              </w:tc>
              <w:tc>
                <w:tcPr>
                  <w:tcW w:w="1185" w:type="dxa"/>
                  <w:vAlign w:val="center"/>
                </w:tcPr>
                <w:p>
                  <w:pPr>
                    <w:jc w:val="center"/>
                    <w:rPr>
                      <w:szCs w:val="21"/>
                    </w:rPr>
                  </w:pPr>
                  <w:r>
                    <w:rPr>
                      <w:szCs w:val="21"/>
                    </w:rPr>
                    <w:t>m</w:t>
                  </w:r>
                  <w:r>
                    <w:rPr>
                      <w:szCs w:val="21"/>
                      <w:vertAlign w:val="superscript"/>
                    </w:rPr>
                    <w:t>2</w:t>
                  </w:r>
                </w:p>
              </w:tc>
              <w:tc>
                <w:tcPr>
                  <w:tcW w:w="1620" w:type="dxa"/>
                  <w:vAlign w:val="center"/>
                </w:tcPr>
                <w:p>
                  <w:pPr>
                    <w:jc w:val="center"/>
                    <w:rPr>
                      <w:szCs w:val="21"/>
                    </w:rPr>
                  </w:pPr>
                  <w:r>
                    <w:rPr>
                      <w:rFonts w:hint="eastAsia"/>
                      <w:szCs w:val="21"/>
                    </w:rPr>
                    <w:t>21366.360</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5</w:t>
                  </w:r>
                </w:p>
              </w:tc>
              <w:tc>
                <w:tcPr>
                  <w:tcW w:w="2955" w:type="dxa"/>
                  <w:gridSpan w:val="5"/>
                  <w:vAlign w:val="center"/>
                </w:tcPr>
                <w:p>
                  <w:pPr>
                    <w:jc w:val="center"/>
                    <w:rPr>
                      <w:szCs w:val="21"/>
                    </w:rPr>
                  </w:pPr>
                  <w:r>
                    <w:rPr>
                      <w:rFonts w:hint="eastAsia"/>
                      <w:szCs w:val="21"/>
                    </w:rPr>
                    <w:t>建筑密度</w:t>
                  </w:r>
                </w:p>
              </w:tc>
              <w:tc>
                <w:tcPr>
                  <w:tcW w:w="1185" w:type="dxa"/>
                  <w:vAlign w:val="center"/>
                </w:tcPr>
                <w:p>
                  <w:pPr>
                    <w:jc w:val="center"/>
                    <w:rPr>
                      <w:szCs w:val="21"/>
                    </w:rPr>
                  </w:pPr>
                  <w:r>
                    <w:rPr>
                      <w:rFonts w:hint="eastAsia"/>
                      <w:szCs w:val="21"/>
                    </w:rPr>
                    <w:t>%</w:t>
                  </w:r>
                </w:p>
              </w:tc>
              <w:tc>
                <w:tcPr>
                  <w:tcW w:w="1620" w:type="dxa"/>
                  <w:vAlign w:val="center"/>
                </w:tcPr>
                <w:p>
                  <w:pPr>
                    <w:jc w:val="center"/>
                    <w:rPr>
                      <w:szCs w:val="21"/>
                    </w:rPr>
                  </w:pPr>
                  <w:r>
                    <w:rPr>
                      <w:rFonts w:hint="eastAsia"/>
                      <w:szCs w:val="21"/>
                    </w:rPr>
                    <w:t>19.31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6</w:t>
                  </w:r>
                </w:p>
              </w:tc>
              <w:tc>
                <w:tcPr>
                  <w:tcW w:w="2955" w:type="dxa"/>
                  <w:gridSpan w:val="5"/>
                  <w:vAlign w:val="center"/>
                </w:tcPr>
                <w:p>
                  <w:pPr>
                    <w:jc w:val="center"/>
                    <w:rPr>
                      <w:szCs w:val="21"/>
                    </w:rPr>
                  </w:pPr>
                  <w:r>
                    <w:rPr>
                      <w:rFonts w:hint="eastAsia"/>
                      <w:szCs w:val="21"/>
                    </w:rPr>
                    <w:t>容积率</w:t>
                  </w:r>
                </w:p>
              </w:tc>
              <w:tc>
                <w:tcPr>
                  <w:tcW w:w="1185" w:type="dxa"/>
                  <w:vAlign w:val="center"/>
                </w:tcPr>
                <w:p>
                  <w:pPr>
                    <w:jc w:val="center"/>
                    <w:rPr>
                      <w:szCs w:val="21"/>
                    </w:rPr>
                  </w:pPr>
                </w:p>
              </w:tc>
              <w:tc>
                <w:tcPr>
                  <w:tcW w:w="1620" w:type="dxa"/>
                  <w:vAlign w:val="center"/>
                </w:tcPr>
                <w:p>
                  <w:pPr>
                    <w:jc w:val="center"/>
                    <w:rPr>
                      <w:szCs w:val="21"/>
                    </w:rPr>
                  </w:pPr>
                  <w:r>
                    <w:rPr>
                      <w:rFonts w:hint="eastAsia"/>
                      <w:szCs w:val="21"/>
                    </w:rPr>
                    <w:t>2.794</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7</w:t>
                  </w:r>
                </w:p>
              </w:tc>
              <w:tc>
                <w:tcPr>
                  <w:tcW w:w="2955" w:type="dxa"/>
                  <w:gridSpan w:val="5"/>
                  <w:vAlign w:val="center"/>
                </w:tcPr>
                <w:p>
                  <w:pPr>
                    <w:jc w:val="center"/>
                    <w:rPr>
                      <w:szCs w:val="21"/>
                    </w:rPr>
                  </w:pPr>
                  <w:r>
                    <w:rPr>
                      <w:rFonts w:hint="eastAsia"/>
                      <w:szCs w:val="21"/>
                    </w:rPr>
                    <w:t>住户数</w:t>
                  </w:r>
                </w:p>
              </w:tc>
              <w:tc>
                <w:tcPr>
                  <w:tcW w:w="1185" w:type="dxa"/>
                  <w:vAlign w:val="center"/>
                </w:tcPr>
                <w:p>
                  <w:pPr>
                    <w:jc w:val="center"/>
                    <w:rPr>
                      <w:szCs w:val="21"/>
                    </w:rPr>
                  </w:pPr>
                  <w:r>
                    <w:rPr>
                      <w:rFonts w:hint="eastAsia"/>
                      <w:szCs w:val="21"/>
                    </w:rPr>
                    <w:t>户（套）</w:t>
                  </w:r>
                </w:p>
              </w:tc>
              <w:tc>
                <w:tcPr>
                  <w:tcW w:w="1620" w:type="dxa"/>
                  <w:vAlign w:val="center"/>
                </w:tcPr>
                <w:p>
                  <w:pPr>
                    <w:jc w:val="center"/>
                    <w:rPr>
                      <w:szCs w:val="21"/>
                    </w:rPr>
                  </w:pPr>
                  <w:r>
                    <w:rPr>
                      <w:rFonts w:hint="eastAsia"/>
                      <w:szCs w:val="21"/>
                    </w:rPr>
                    <w:t>2044</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8</w:t>
                  </w:r>
                </w:p>
              </w:tc>
              <w:tc>
                <w:tcPr>
                  <w:tcW w:w="2955" w:type="dxa"/>
                  <w:gridSpan w:val="5"/>
                  <w:vAlign w:val="center"/>
                </w:tcPr>
                <w:p>
                  <w:pPr>
                    <w:jc w:val="center"/>
                    <w:rPr>
                      <w:szCs w:val="21"/>
                    </w:rPr>
                  </w:pPr>
                  <w:r>
                    <w:rPr>
                      <w:rFonts w:hint="eastAsia"/>
                      <w:szCs w:val="21"/>
                    </w:rPr>
                    <w:t>居住人数</w:t>
                  </w:r>
                </w:p>
              </w:tc>
              <w:tc>
                <w:tcPr>
                  <w:tcW w:w="1185" w:type="dxa"/>
                  <w:vAlign w:val="center"/>
                </w:tcPr>
                <w:p>
                  <w:pPr>
                    <w:jc w:val="center"/>
                    <w:rPr>
                      <w:szCs w:val="21"/>
                    </w:rPr>
                  </w:pPr>
                  <w:r>
                    <w:rPr>
                      <w:rFonts w:hint="eastAsia"/>
                      <w:szCs w:val="21"/>
                    </w:rPr>
                    <w:t>人</w:t>
                  </w:r>
                </w:p>
              </w:tc>
              <w:tc>
                <w:tcPr>
                  <w:tcW w:w="1620" w:type="dxa"/>
                  <w:vAlign w:val="center"/>
                </w:tcPr>
                <w:p>
                  <w:pPr>
                    <w:jc w:val="center"/>
                    <w:rPr>
                      <w:szCs w:val="21"/>
                    </w:rPr>
                  </w:pPr>
                  <w:r>
                    <w:rPr>
                      <w:rFonts w:hint="eastAsia"/>
                      <w:szCs w:val="21"/>
                    </w:rPr>
                    <w:t>6541</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9</w:t>
                  </w:r>
                </w:p>
              </w:tc>
              <w:tc>
                <w:tcPr>
                  <w:tcW w:w="2955" w:type="dxa"/>
                  <w:gridSpan w:val="5"/>
                  <w:vAlign w:val="center"/>
                </w:tcPr>
                <w:p>
                  <w:pPr>
                    <w:jc w:val="center"/>
                    <w:rPr>
                      <w:szCs w:val="21"/>
                    </w:rPr>
                  </w:pPr>
                  <w:r>
                    <w:rPr>
                      <w:rFonts w:hint="eastAsia"/>
                      <w:szCs w:val="21"/>
                    </w:rPr>
                    <w:t>建筑高度</w:t>
                  </w:r>
                </w:p>
              </w:tc>
              <w:tc>
                <w:tcPr>
                  <w:tcW w:w="1185" w:type="dxa"/>
                  <w:vAlign w:val="center"/>
                </w:tcPr>
                <w:p>
                  <w:pPr>
                    <w:jc w:val="center"/>
                    <w:rPr>
                      <w:szCs w:val="21"/>
                    </w:rPr>
                  </w:pPr>
                  <w:r>
                    <w:rPr>
                      <w:szCs w:val="21"/>
                    </w:rPr>
                    <w:t>m</w:t>
                  </w:r>
                </w:p>
              </w:tc>
              <w:tc>
                <w:tcPr>
                  <w:tcW w:w="1620" w:type="dxa"/>
                  <w:vAlign w:val="center"/>
                </w:tcPr>
                <w:p>
                  <w:pPr>
                    <w:jc w:val="center"/>
                    <w:rPr>
                      <w:szCs w:val="21"/>
                    </w:rPr>
                  </w:pPr>
                  <w:r>
                    <w:rPr>
                      <w:rFonts w:hint="eastAsia"/>
                      <w:szCs w:val="21"/>
                    </w:rPr>
                    <w:t>100/60/80/24</w:t>
                  </w:r>
                </w:p>
              </w:tc>
              <w:tc>
                <w:tcPr>
                  <w:tcW w:w="1315" w:type="dxa"/>
                  <w:vAlign w:val="center"/>
                </w:tcPr>
                <w:p>
                  <w:pPr>
                    <w:jc w:val="center"/>
                    <w:rPr>
                      <w:rFonts w:eastAsia="仿宋"/>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Align w:val="center"/>
                </w:tcPr>
                <w:p>
                  <w:pPr>
                    <w:jc w:val="center"/>
                    <w:rPr>
                      <w:szCs w:val="21"/>
                    </w:rPr>
                  </w:pPr>
                  <w:r>
                    <w:rPr>
                      <w:rFonts w:hint="eastAsia"/>
                      <w:szCs w:val="21"/>
                    </w:rPr>
                    <w:t>10</w:t>
                  </w:r>
                </w:p>
              </w:tc>
              <w:tc>
                <w:tcPr>
                  <w:tcW w:w="2955" w:type="dxa"/>
                  <w:gridSpan w:val="5"/>
                  <w:vAlign w:val="center"/>
                </w:tcPr>
                <w:p>
                  <w:pPr>
                    <w:jc w:val="center"/>
                    <w:rPr>
                      <w:szCs w:val="21"/>
                    </w:rPr>
                  </w:pPr>
                  <w:r>
                    <w:rPr>
                      <w:rFonts w:hint="eastAsia"/>
                      <w:szCs w:val="21"/>
                    </w:rPr>
                    <w:t>绿地率</w:t>
                  </w:r>
                </w:p>
              </w:tc>
              <w:tc>
                <w:tcPr>
                  <w:tcW w:w="1185" w:type="dxa"/>
                  <w:vAlign w:val="center"/>
                </w:tcPr>
                <w:p>
                  <w:pPr>
                    <w:jc w:val="center"/>
                    <w:rPr>
                      <w:szCs w:val="21"/>
                    </w:rPr>
                  </w:pPr>
                  <w:r>
                    <w:rPr>
                      <w:rFonts w:hint="eastAsia"/>
                      <w:szCs w:val="21"/>
                    </w:rPr>
                    <w:t>%</w:t>
                  </w:r>
                </w:p>
              </w:tc>
              <w:tc>
                <w:tcPr>
                  <w:tcW w:w="1620" w:type="dxa"/>
                  <w:vAlign w:val="center"/>
                </w:tcPr>
                <w:p>
                  <w:pPr>
                    <w:jc w:val="center"/>
                    <w:rPr>
                      <w:szCs w:val="21"/>
                    </w:rPr>
                  </w:pPr>
                  <w:r>
                    <w:rPr>
                      <w:rFonts w:hint="eastAsia"/>
                      <w:szCs w:val="21"/>
                    </w:rPr>
                    <w:t>35.01</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restart"/>
                  <w:vAlign w:val="center"/>
                </w:tcPr>
                <w:p>
                  <w:pPr>
                    <w:jc w:val="center"/>
                    <w:rPr>
                      <w:szCs w:val="21"/>
                    </w:rPr>
                  </w:pPr>
                  <w:r>
                    <w:rPr>
                      <w:rFonts w:hint="eastAsia"/>
                      <w:szCs w:val="21"/>
                    </w:rPr>
                    <w:t>11</w:t>
                  </w:r>
                </w:p>
              </w:tc>
              <w:tc>
                <w:tcPr>
                  <w:tcW w:w="2955" w:type="dxa"/>
                  <w:gridSpan w:val="5"/>
                  <w:vAlign w:val="center"/>
                </w:tcPr>
                <w:p>
                  <w:pPr>
                    <w:jc w:val="center"/>
                    <w:rPr>
                      <w:szCs w:val="21"/>
                    </w:rPr>
                  </w:pPr>
                  <w:r>
                    <w:rPr>
                      <w:rFonts w:hint="eastAsia"/>
                      <w:szCs w:val="21"/>
                    </w:rPr>
                    <w:t>机动车</w:t>
                  </w:r>
                  <w:r>
                    <w:rPr>
                      <w:szCs w:val="21"/>
                    </w:rPr>
                    <w:t>停车位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3103</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restart"/>
                  <w:vAlign w:val="center"/>
                </w:tcPr>
                <w:p>
                  <w:pPr>
                    <w:jc w:val="center"/>
                    <w:rPr>
                      <w:szCs w:val="21"/>
                    </w:rPr>
                  </w:pPr>
                  <w:r>
                    <w:rPr>
                      <w:rFonts w:hint="eastAsia"/>
                      <w:szCs w:val="21"/>
                    </w:rPr>
                    <w:t>其中</w:t>
                  </w:r>
                </w:p>
              </w:tc>
              <w:tc>
                <w:tcPr>
                  <w:tcW w:w="2505" w:type="dxa"/>
                  <w:gridSpan w:val="4"/>
                  <w:vAlign w:val="center"/>
                </w:tcPr>
                <w:p>
                  <w:pPr>
                    <w:jc w:val="center"/>
                    <w:rPr>
                      <w:szCs w:val="21"/>
                    </w:rPr>
                  </w:pPr>
                  <w:r>
                    <w:rPr>
                      <w:rFonts w:hint="eastAsia"/>
                      <w:szCs w:val="21"/>
                    </w:rPr>
                    <w:t>地面停车位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303</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2505" w:type="dxa"/>
                  <w:gridSpan w:val="4"/>
                  <w:vAlign w:val="center"/>
                </w:tcPr>
                <w:p>
                  <w:pPr>
                    <w:jc w:val="center"/>
                    <w:rPr>
                      <w:szCs w:val="21"/>
                    </w:rPr>
                  </w:pPr>
                  <w:r>
                    <w:rPr>
                      <w:rFonts w:hint="eastAsia"/>
                      <w:szCs w:val="21"/>
                    </w:rPr>
                    <w:t>地下停车位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2800</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restart"/>
                  <w:vAlign w:val="center"/>
                </w:tcPr>
                <w:p>
                  <w:pPr>
                    <w:jc w:val="center"/>
                    <w:rPr>
                      <w:szCs w:val="21"/>
                    </w:rPr>
                  </w:pPr>
                  <w:r>
                    <w:rPr>
                      <w:rFonts w:hint="eastAsia"/>
                      <w:szCs w:val="21"/>
                    </w:rPr>
                    <w:t>其中</w:t>
                  </w:r>
                </w:p>
              </w:tc>
              <w:tc>
                <w:tcPr>
                  <w:tcW w:w="1995" w:type="dxa"/>
                  <w:gridSpan w:val="2"/>
                  <w:vAlign w:val="center"/>
                </w:tcPr>
                <w:p>
                  <w:pPr>
                    <w:jc w:val="center"/>
                    <w:rPr>
                      <w:szCs w:val="21"/>
                    </w:rPr>
                  </w:pPr>
                  <w:r>
                    <w:rPr>
                      <w:rFonts w:hint="eastAsia"/>
                      <w:szCs w:val="21"/>
                    </w:rPr>
                    <w:t>普通车位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2162</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995" w:type="dxa"/>
                  <w:gridSpan w:val="2"/>
                  <w:vAlign w:val="center"/>
                </w:tcPr>
                <w:p>
                  <w:pPr>
                    <w:jc w:val="center"/>
                    <w:rPr>
                      <w:szCs w:val="21"/>
                    </w:rPr>
                  </w:pPr>
                  <w:r>
                    <w:rPr>
                      <w:rFonts w:hint="eastAsia"/>
                      <w:szCs w:val="21"/>
                    </w:rPr>
                    <w:t>无障碍车位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27</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995" w:type="dxa"/>
                  <w:gridSpan w:val="2"/>
                  <w:vAlign w:val="center"/>
                </w:tcPr>
                <w:p>
                  <w:pPr>
                    <w:jc w:val="center"/>
                    <w:rPr>
                      <w:szCs w:val="21"/>
                    </w:rPr>
                  </w:pPr>
                  <w:r>
                    <w:rPr>
                      <w:rFonts w:hint="eastAsia"/>
                      <w:szCs w:val="21"/>
                    </w:rPr>
                    <w:t>充电桩车位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367</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995" w:type="dxa"/>
                  <w:gridSpan w:val="2"/>
                  <w:vAlign w:val="center"/>
                </w:tcPr>
                <w:p>
                  <w:pPr>
                    <w:jc w:val="center"/>
                    <w:rPr>
                      <w:szCs w:val="21"/>
                    </w:rPr>
                  </w:pPr>
                  <w:r>
                    <w:rPr>
                      <w:rFonts w:hint="eastAsia"/>
                      <w:szCs w:val="21"/>
                    </w:rPr>
                    <w:t>子母车位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222</w:t>
                  </w:r>
                </w:p>
              </w:tc>
              <w:tc>
                <w:tcPr>
                  <w:tcW w:w="13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2" w:type="dxa"/>
                  <w:vMerge w:val="continue"/>
                  <w:vAlign w:val="center"/>
                </w:tcPr>
                <w:p>
                  <w:pPr>
                    <w:jc w:val="center"/>
                    <w:rPr>
                      <w:szCs w:val="21"/>
                    </w:rPr>
                  </w:pPr>
                </w:p>
              </w:tc>
              <w:tc>
                <w:tcPr>
                  <w:tcW w:w="450" w:type="dxa"/>
                  <w:vMerge w:val="continue"/>
                  <w:vAlign w:val="center"/>
                </w:tcPr>
                <w:p>
                  <w:pPr>
                    <w:jc w:val="center"/>
                    <w:rPr>
                      <w:szCs w:val="21"/>
                    </w:rPr>
                  </w:pPr>
                </w:p>
              </w:tc>
              <w:tc>
                <w:tcPr>
                  <w:tcW w:w="510" w:type="dxa"/>
                  <w:gridSpan w:val="2"/>
                  <w:vMerge w:val="continue"/>
                  <w:vAlign w:val="center"/>
                </w:tcPr>
                <w:p>
                  <w:pPr>
                    <w:jc w:val="center"/>
                    <w:rPr>
                      <w:szCs w:val="21"/>
                    </w:rPr>
                  </w:pPr>
                </w:p>
              </w:tc>
              <w:tc>
                <w:tcPr>
                  <w:tcW w:w="1995" w:type="dxa"/>
                  <w:gridSpan w:val="2"/>
                  <w:vAlign w:val="center"/>
                </w:tcPr>
                <w:p>
                  <w:pPr>
                    <w:jc w:val="center"/>
                    <w:rPr>
                      <w:szCs w:val="21"/>
                    </w:rPr>
                  </w:pPr>
                  <w:r>
                    <w:rPr>
                      <w:rFonts w:hint="eastAsia"/>
                      <w:szCs w:val="21"/>
                    </w:rPr>
                    <w:t>微型车位</w:t>
                  </w:r>
                </w:p>
              </w:tc>
              <w:tc>
                <w:tcPr>
                  <w:tcW w:w="1185" w:type="dxa"/>
                  <w:vAlign w:val="center"/>
                </w:tcPr>
                <w:p>
                  <w:pPr>
                    <w:jc w:val="center"/>
                    <w:rPr>
                      <w:szCs w:val="21"/>
                    </w:rPr>
                  </w:pPr>
                  <w:r>
                    <w:rPr>
                      <w:rFonts w:hint="eastAsia"/>
                      <w:szCs w:val="21"/>
                    </w:rPr>
                    <w:t>辆</w:t>
                  </w:r>
                </w:p>
              </w:tc>
              <w:tc>
                <w:tcPr>
                  <w:tcW w:w="1620" w:type="dxa"/>
                  <w:vAlign w:val="center"/>
                </w:tcPr>
                <w:p>
                  <w:pPr>
                    <w:jc w:val="center"/>
                    <w:rPr>
                      <w:szCs w:val="21"/>
                    </w:rPr>
                  </w:pPr>
                  <w:r>
                    <w:rPr>
                      <w:rFonts w:hint="eastAsia"/>
                      <w:szCs w:val="21"/>
                    </w:rPr>
                    <w:t>22</w:t>
                  </w:r>
                </w:p>
              </w:tc>
              <w:tc>
                <w:tcPr>
                  <w:tcW w:w="1315" w:type="dxa"/>
                  <w:vAlign w:val="center"/>
                </w:tcPr>
                <w:p>
                  <w:pPr>
                    <w:jc w:val="center"/>
                    <w:rPr>
                      <w:szCs w:val="21"/>
                    </w:rPr>
                  </w:pPr>
                </w:p>
              </w:tc>
            </w:tr>
          </w:tbl>
          <w:p>
            <w:pPr>
              <w:spacing w:line="360" w:lineRule="auto"/>
              <w:ind w:firstLine="482" w:firstLineChars="200"/>
              <w:rPr>
                <w:sz w:val="24"/>
              </w:rPr>
            </w:pPr>
            <w:r>
              <w:rPr>
                <w:rFonts w:hint="eastAsia"/>
                <w:b/>
                <w:bCs/>
                <w:sz w:val="24"/>
              </w:rPr>
              <w:t>三、项目选址用地、项目四至情况</w:t>
            </w:r>
          </w:p>
          <w:p>
            <w:pPr>
              <w:pStyle w:val="9"/>
              <w:tabs>
                <w:tab w:val="left" w:pos="780"/>
              </w:tabs>
              <w:spacing w:after="0" w:line="360" w:lineRule="auto"/>
              <w:ind w:left="0" w:leftChars="0" w:firstLine="480" w:firstLineChars="200"/>
              <w:jc w:val="left"/>
              <w:outlineLvl w:val="2"/>
              <w:rPr>
                <w:szCs w:val="24"/>
              </w:rPr>
            </w:pPr>
            <w:r>
              <w:rPr>
                <w:rFonts w:hint="eastAsia"/>
                <w:szCs w:val="24"/>
              </w:rPr>
              <w:t>（1）项目选址用地</w:t>
            </w:r>
          </w:p>
          <w:p>
            <w:pPr>
              <w:pStyle w:val="9"/>
              <w:tabs>
                <w:tab w:val="left" w:pos="780"/>
              </w:tabs>
              <w:spacing w:after="0" w:line="360" w:lineRule="auto"/>
              <w:ind w:left="0" w:leftChars="0" w:firstLine="480" w:firstLineChars="200"/>
              <w:jc w:val="left"/>
              <w:outlineLvl w:val="2"/>
              <w:rPr>
                <w:szCs w:val="24"/>
              </w:rPr>
            </w:pPr>
            <w:r>
              <w:rPr>
                <w:rFonts w:hint="eastAsia"/>
                <w:szCs w:val="24"/>
              </w:rPr>
              <w:t>项目选址位于</w:t>
            </w:r>
            <w:r>
              <w:rPr>
                <w:rFonts w:hint="eastAsia" w:ascii="宋体" w:hAnsi="宋体" w:cs="宋体"/>
                <w:szCs w:val="24"/>
              </w:rPr>
              <w:t>湖南省岳阳市岳阳楼区沿湖大道与九华山交界处</w:t>
            </w:r>
            <w:r>
              <w:rPr>
                <w:rFonts w:hint="eastAsia"/>
              </w:rPr>
              <w:t>，用地性质为商业、住宅用地，建设单位已竞得该地块用地使用权。</w:t>
            </w:r>
          </w:p>
          <w:p>
            <w:pPr>
              <w:pStyle w:val="9"/>
              <w:tabs>
                <w:tab w:val="left" w:pos="780"/>
              </w:tabs>
              <w:spacing w:after="0" w:line="360" w:lineRule="auto"/>
              <w:ind w:left="0" w:leftChars="0" w:firstLine="480" w:firstLineChars="200"/>
              <w:jc w:val="left"/>
              <w:outlineLvl w:val="2"/>
              <w:rPr>
                <w:szCs w:val="24"/>
              </w:rPr>
            </w:pPr>
            <w:r>
              <w:rPr>
                <w:rFonts w:hint="eastAsia"/>
                <w:szCs w:val="24"/>
              </w:rPr>
              <w:t>（2）项目四至情况</w:t>
            </w:r>
          </w:p>
          <w:p>
            <w:pPr>
              <w:pStyle w:val="9"/>
              <w:tabs>
                <w:tab w:val="left" w:pos="780"/>
              </w:tabs>
              <w:spacing w:after="0" w:line="360" w:lineRule="auto"/>
              <w:ind w:left="0" w:leftChars="0" w:firstLine="480" w:firstLineChars="200"/>
              <w:jc w:val="left"/>
              <w:outlineLvl w:val="2"/>
              <w:rPr>
                <w:rFonts w:hint="default" w:eastAsia="宋体"/>
                <w:color w:val="FF0000"/>
                <w:szCs w:val="24"/>
                <w:lang w:val="en-US" w:eastAsia="zh-CN"/>
              </w:rPr>
            </w:pPr>
            <w:r>
              <w:rPr>
                <w:rFonts w:hint="eastAsia"/>
                <w:szCs w:val="24"/>
              </w:rPr>
              <w:t>根据现场勘查，02、04#地块北侧为02#地块</w:t>
            </w:r>
            <w:r>
              <w:rPr>
                <w:rFonts w:hint="eastAsia"/>
              </w:rPr>
              <w:t>东侧和03#、04#地块西侧为规划的北门路，</w:t>
            </w:r>
            <w:r>
              <w:rPr>
                <w:rFonts w:hint="eastAsia"/>
                <w:szCs w:val="24"/>
              </w:rPr>
              <w:t>02#地块</w:t>
            </w:r>
            <w:r>
              <w:rPr>
                <w:rFonts w:hint="eastAsia"/>
              </w:rPr>
              <w:t>和03#地块南侧为规划的剪刀池巷，03#地块东侧为规划的九华山路；04#地块东</w:t>
            </w:r>
            <w:r>
              <w:rPr>
                <w:rFonts w:hint="eastAsia"/>
                <w:lang w:eastAsia="zh-CN"/>
              </w:rPr>
              <w:t>北</w:t>
            </w:r>
            <w:r>
              <w:rPr>
                <w:rFonts w:hint="eastAsia"/>
              </w:rPr>
              <w:t>侧有一个兴长加油站，</w:t>
            </w:r>
            <w:r>
              <w:rPr>
                <w:rFonts w:hint="eastAsia" w:hAnsi="宋体"/>
                <w:szCs w:val="24"/>
                <w:lang w:val="en-US" w:eastAsia="zh-CN"/>
              </w:rPr>
              <w:t>该加油站与本项目</w:t>
            </w:r>
            <w:r>
              <w:rPr>
                <w:rFonts w:hint="eastAsia"/>
              </w:rPr>
              <w:t>04#地块中最近建筑的距离为50.27m</w:t>
            </w:r>
            <w:r>
              <w:rPr>
                <w:rFonts w:hint="eastAsia"/>
                <w:lang w:eastAsia="zh-CN"/>
              </w:rPr>
              <w:t>，</w:t>
            </w:r>
            <w:r>
              <w:rPr>
                <w:rFonts w:hint="eastAsia" w:hAnsi="宋体"/>
                <w:szCs w:val="24"/>
              </w:rPr>
              <w:t>根据《汽车加油加气站设计与施工规范》GB 50156-2012</w:t>
            </w:r>
            <w:r>
              <w:rPr>
                <w:rFonts w:hint="eastAsia" w:hAnsi="宋体"/>
                <w:szCs w:val="24"/>
                <w:lang w:eastAsia="zh-CN"/>
              </w:rPr>
              <w:t>中表</w:t>
            </w:r>
            <w:r>
              <w:rPr>
                <w:rFonts w:hint="eastAsia" w:hAnsi="宋体"/>
                <w:szCs w:val="24"/>
                <w:lang w:val="en-US" w:eastAsia="zh-CN"/>
              </w:rPr>
              <w:t>4.0.4汽油设备与站外建（构）筑物的安全距离</w:t>
            </w:r>
            <w:r>
              <w:rPr>
                <w:rFonts w:hint="eastAsia"/>
                <w:lang w:eastAsia="zh-CN"/>
              </w:rPr>
              <w:t>，该距离</w:t>
            </w:r>
            <w:r>
              <w:rPr>
                <w:rFonts w:hint="eastAsia" w:hAnsi="宋体"/>
                <w:szCs w:val="24"/>
                <w:lang w:val="en-US" w:eastAsia="zh-CN"/>
              </w:rPr>
              <w:t>满足</w:t>
            </w:r>
            <w:r>
              <w:rPr>
                <w:rFonts w:hint="eastAsia" w:hAnsi="宋体"/>
                <w:szCs w:val="24"/>
              </w:rPr>
              <w:t>GB 50156-2012</w:t>
            </w:r>
            <w:r>
              <w:rPr>
                <w:rFonts w:hint="eastAsia" w:hAnsi="宋体"/>
                <w:szCs w:val="24"/>
                <w:lang w:eastAsia="zh-CN"/>
              </w:rPr>
              <w:t>中表</w:t>
            </w:r>
            <w:r>
              <w:rPr>
                <w:rFonts w:hint="eastAsia" w:hAnsi="宋体"/>
                <w:szCs w:val="24"/>
                <w:lang w:val="en-US" w:eastAsia="zh-CN"/>
              </w:rPr>
              <w:t>4.0.4的要求。</w:t>
            </w:r>
          </w:p>
          <w:p>
            <w:pPr>
              <w:pStyle w:val="9"/>
              <w:tabs>
                <w:tab w:val="left" w:pos="780"/>
              </w:tabs>
              <w:spacing w:after="0" w:line="360" w:lineRule="auto"/>
              <w:ind w:left="0" w:leftChars="0" w:firstLine="482" w:firstLineChars="200"/>
              <w:jc w:val="left"/>
              <w:outlineLvl w:val="2"/>
              <w:rPr>
                <w:b/>
                <w:bCs/>
                <w:szCs w:val="24"/>
              </w:rPr>
            </w:pPr>
            <w:r>
              <w:rPr>
                <w:rFonts w:hint="eastAsia"/>
                <w:b/>
                <w:bCs/>
                <w:szCs w:val="24"/>
              </w:rPr>
              <w:t>四、公用工程</w:t>
            </w:r>
          </w:p>
          <w:p>
            <w:pPr>
              <w:pStyle w:val="9"/>
              <w:tabs>
                <w:tab w:val="left" w:pos="780"/>
              </w:tabs>
              <w:adjustRightInd w:val="0"/>
              <w:snapToGrid w:val="0"/>
              <w:spacing w:after="0" w:line="360" w:lineRule="auto"/>
              <w:ind w:left="0" w:leftChars="0" w:firstLine="480" w:firstLineChars="200"/>
              <w:jc w:val="left"/>
              <w:rPr>
                <w:szCs w:val="24"/>
              </w:rPr>
            </w:pPr>
            <w:r>
              <w:rPr>
                <w:rFonts w:hint="eastAsia"/>
                <w:szCs w:val="24"/>
              </w:rPr>
              <w:t>（1）给水系统</w:t>
            </w:r>
          </w:p>
          <w:p>
            <w:pPr>
              <w:pStyle w:val="9"/>
              <w:tabs>
                <w:tab w:val="left" w:pos="780"/>
              </w:tabs>
              <w:adjustRightInd w:val="0"/>
              <w:snapToGrid w:val="0"/>
              <w:spacing w:after="0" w:line="360" w:lineRule="auto"/>
              <w:ind w:left="0" w:leftChars="0" w:firstLine="480" w:firstLineChars="200"/>
              <w:jc w:val="left"/>
              <w:rPr>
                <w:szCs w:val="24"/>
              </w:rPr>
            </w:pPr>
            <w:r>
              <w:t>本项目的水源为市政自来水，项目规划室外消防管网与生活用水管网公用一套管网系统。</w:t>
            </w:r>
          </w:p>
          <w:p>
            <w:pPr>
              <w:pStyle w:val="9"/>
              <w:tabs>
                <w:tab w:val="left" w:pos="780"/>
              </w:tabs>
              <w:spacing w:after="0" w:line="360" w:lineRule="auto"/>
              <w:ind w:left="0" w:leftChars="0" w:firstLine="480" w:firstLineChars="200"/>
              <w:jc w:val="left"/>
              <w:outlineLvl w:val="2"/>
              <w:rPr>
                <w:szCs w:val="24"/>
              </w:rPr>
            </w:pPr>
            <w:r>
              <w:rPr>
                <w:rFonts w:hint="eastAsia"/>
                <w:szCs w:val="24"/>
              </w:rPr>
              <w:t>（2）排水系统</w:t>
            </w:r>
          </w:p>
          <w:p>
            <w:pPr>
              <w:pStyle w:val="28"/>
            </w:pPr>
            <w:r>
              <w:rPr>
                <w:rFonts w:hint="eastAsia"/>
              </w:rPr>
              <w:t>本项目排水系统采用雨污分流的管网形式排放，雨水管道采用暗管，雨水斗收集后进入市政雨水管网。地下车库地面清洗废水经隔油池处理后与生活污水经化粪池处理后通过市政污水管网进入</w:t>
            </w:r>
            <w:r>
              <w:rPr>
                <w:rFonts w:hint="eastAsia"/>
                <w:szCs w:val="21"/>
              </w:rPr>
              <w:t>岳阳市马壕</w:t>
            </w:r>
            <w:r>
              <w:rPr>
                <w:szCs w:val="21"/>
              </w:rPr>
              <w:t>污水处理厂进行深度处理达标排放。</w:t>
            </w:r>
          </w:p>
          <w:p>
            <w:pPr>
              <w:pStyle w:val="9"/>
              <w:tabs>
                <w:tab w:val="left" w:pos="780"/>
              </w:tabs>
              <w:spacing w:after="0" w:line="360" w:lineRule="auto"/>
              <w:ind w:left="0" w:leftChars="0" w:firstLine="480" w:firstLineChars="200"/>
              <w:jc w:val="left"/>
              <w:outlineLvl w:val="2"/>
              <w:rPr>
                <w:szCs w:val="24"/>
              </w:rPr>
            </w:pPr>
            <w:r>
              <w:rPr>
                <w:rFonts w:hint="eastAsia"/>
                <w:szCs w:val="24"/>
              </w:rPr>
              <w:t>（3）燃气系统</w:t>
            </w:r>
          </w:p>
          <w:p>
            <w:pPr>
              <w:pStyle w:val="9"/>
              <w:tabs>
                <w:tab w:val="left" w:pos="780"/>
              </w:tabs>
              <w:spacing w:after="0" w:line="360" w:lineRule="auto"/>
              <w:ind w:left="0" w:leftChars="0" w:firstLine="480" w:firstLineChars="200"/>
              <w:jc w:val="left"/>
              <w:outlineLvl w:val="2"/>
              <w:rPr>
                <w:color w:val="FF0000"/>
                <w:szCs w:val="24"/>
              </w:rPr>
            </w:pPr>
            <w:r>
              <w:rPr>
                <w:rFonts w:hAnsi="宋体"/>
              </w:rPr>
              <w:t>本项目住宅居民燃气采用市政天然气，由市政天然气管道引入。</w:t>
            </w:r>
          </w:p>
          <w:p>
            <w:pPr>
              <w:pStyle w:val="9"/>
              <w:tabs>
                <w:tab w:val="left" w:pos="780"/>
              </w:tabs>
              <w:spacing w:after="0" w:line="360" w:lineRule="auto"/>
              <w:ind w:left="0" w:leftChars="0" w:firstLine="480" w:firstLineChars="200"/>
              <w:jc w:val="left"/>
              <w:outlineLvl w:val="2"/>
              <w:rPr>
                <w:szCs w:val="24"/>
              </w:rPr>
            </w:pPr>
            <w:r>
              <w:rPr>
                <w:rFonts w:hint="eastAsia"/>
                <w:szCs w:val="24"/>
              </w:rPr>
              <w:t>（4）供电系统</w:t>
            </w:r>
          </w:p>
          <w:p>
            <w:pPr>
              <w:pStyle w:val="9"/>
              <w:tabs>
                <w:tab w:val="left" w:pos="780"/>
              </w:tabs>
              <w:spacing w:after="0" w:line="360" w:lineRule="auto"/>
              <w:ind w:left="0" w:leftChars="0" w:firstLine="480" w:firstLineChars="200"/>
              <w:jc w:val="left"/>
            </w:pPr>
            <w:r>
              <w:t>项目规划用电由岳阳市电网提供。项目内共设</w:t>
            </w:r>
            <w:r>
              <w:rPr>
                <w:rFonts w:hint="eastAsia"/>
              </w:rPr>
              <w:t>3间专用变配电室，11间公用变配电室，</w:t>
            </w:r>
            <w:r>
              <w:t>均位于地下</w:t>
            </w:r>
            <w:r>
              <w:rPr>
                <w:rFonts w:hint="eastAsia"/>
              </w:rPr>
              <w:t>室专用设备用房</w:t>
            </w:r>
            <w:r>
              <w:t>。</w:t>
            </w:r>
          </w:p>
          <w:p>
            <w:pPr>
              <w:pStyle w:val="9"/>
              <w:tabs>
                <w:tab w:val="left" w:pos="780"/>
              </w:tabs>
              <w:spacing w:after="0" w:line="360" w:lineRule="auto"/>
              <w:ind w:left="0" w:leftChars="0" w:firstLine="480" w:firstLineChars="200"/>
              <w:jc w:val="left"/>
              <w:outlineLvl w:val="2"/>
              <w:rPr>
                <w:szCs w:val="24"/>
              </w:rPr>
            </w:pPr>
            <w:r>
              <w:rPr>
                <w:rFonts w:hint="eastAsia"/>
                <w:szCs w:val="24"/>
              </w:rPr>
              <w:t>（5）通风系统</w:t>
            </w:r>
          </w:p>
          <w:p>
            <w:pPr>
              <w:pStyle w:val="9"/>
              <w:tabs>
                <w:tab w:val="left" w:pos="780"/>
              </w:tabs>
              <w:spacing w:after="0" w:line="360" w:lineRule="auto"/>
              <w:ind w:left="0" w:leftChars="0" w:firstLine="480" w:firstLineChars="200"/>
              <w:jc w:val="left"/>
            </w:pPr>
            <w:r>
              <w:t>本项目</w:t>
            </w:r>
            <w:r>
              <w:rPr>
                <w:rFonts w:hint="eastAsia"/>
              </w:rPr>
              <w:t>有</w:t>
            </w:r>
            <w:r>
              <w:t>地下停车场，采用机械排风，排风系统平时排风，火警时排烟。地下室变配电间均设机械送、排风系统；</w:t>
            </w:r>
          </w:p>
          <w:p>
            <w:pPr>
              <w:pStyle w:val="9"/>
              <w:tabs>
                <w:tab w:val="left" w:pos="780"/>
              </w:tabs>
              <w:spacing w:after="0" w:line="360" w:lineRule="auto"/>
              <w:ind w:left="0" w:leftChars="0" w:firstLine="480" w:firstLineChars="200"/>
              <w:jc w:val="left"/>
              <w:outlineLvl w:val="2"/>
              <w:rPr>
                <w:szCs w:val="24"/>
              </w:rPr>
            </w:pPr>
            <w:r>
              <w:rPr>
                <w:rFonts w:hint="eastAsia"/>
                <w:szCs w:val="24"/>
              </w:rPr>
              <w:t>（6）生活垃圾处理系统</w:t>
            </w:r>
          </w:p>
          <w:p>
            <w:pPr>
              <w:pStyle w:val="9"/>
              <w:tabs>
                <w:tab w:val="left" w:pos="780"/>
              </w:tabs>
              <w:spacing w:after="0" w:line="360" w:lineRule="auto"/>
              <w:ind w:left="0" w:leftChars="0" w:firstLine="480" w:firstLineChars="200"/>
              <w:jc w:val="left"/>
              <w:outlineLvl w:val="2"/>
              <w:rPr>
                <w:szCs w:val="24"/>
              </w:rPr>
            </w:pPr>
            <w:r>
              <w:rPr>
                <w:rFonts w:hint="eastAsia"/>
                <w:szCs w:val="24"/>
              </w:rPr>
              <w:t>根据</w:t>
            </w:r>
            <w:r>
              <w:rPr>
                <w:rFonts w:hint="eastAsia"/>
              </w:rPr>
              <w:t>建设单位提供的资料，本项目设1个地埋式垃圾站（设置</w:t>
            </w:r>
            <w:r>
              <w:rPr>
                <w:rFonts w:hint="eastAsia"/>
                <w:lang w:eastAsia="zh-CN"/>
              </w:rPr>
              <w:t>于</w:t>
            </w:r>
            <w:r>
              <w:rPr>
                <w:rFonts w:hint="eastAsia"/>
                <w:lang w:val="en-US" w:eastAsia="zh-CN"/>
              </w:rPr>
              <w:t>02#地块东北角</w:t>
            </w:r>
            <w:r>
              <w:rPr>
                <w:rFonts w:hint="eastAsia"/>
              </w:rPr>
              <w:t>）和1个</w:t>
            </w:r>
            <w:r>
              <w:rPr>
                <w:rFonts w:hint="eastAsia"/>
                <w:lang w:eastAsia="zh-CN"/>
              </w:rPr>
              <w:t>地面</w:t>
            </w:r>
            <w:r>
              <w:rPr>
                <w:rFonts w:hint="eastAsia"/>
              </w:rPr>
              <w:t>垃圾站（</w:t>
            </w:r>
            <w:r>
              <w:rPr>
                <w:rFonts w:hint="eastAsia"/>
                <w:lang w:eastAsia="zh-CN"/>
              </w:rPr>
              <w:t>设置于</w:t>
            </w:r>
            <w:r>
              <w:rPr>
                <w:rFonts w:hint="eastAsia"/>
                <w:lang w:val="en-US" w:eastAsia="zh-CN"/>
              </w:rPr>
              <w:t>04#地块东南角</w:t>
            </w:r>
            <w:r>
              <w:rPr>
                <w:rFonts w:hint="eastAsia"/>
              </w:rPr>
              <w:t>），垃圾站主要收集本建设项目居民、商场等产生的生活垃圾，且建设项目在垃圾收集过程中使用防渗漏的带盖垃圾桶，因此，基本上不产生垃圾渗滤液与分离水，同时垃圾房地面采用水泥硬化及防漏防渗处理。</w:t>
            </w:r>
          </w:p>
          <w:p>
            <w:pPr>
              <w:spacing w:line="360" w:lineRule="auto"/>
              <w:ind w:firstLine="420"/>
              <w:rPr>
                <w:sz w:val="24"/>
              </w:rPr>
            </w:pPr>
            <w:r>
              <w:rPr>
                <w:sz w:val="24"/>
              </w:rPr>
              <w:t>（</w:t>
            </w:r>
            <w:r>
              <w:rPr>
                <w:rFonts w:hint="eastAsia"/>
                <w:sz w:val="24"/>
              </w:rPr>
              <w:t>7</w:t>
            </w:r>
            <w:r>
              <w:rPr>
                <w:sz w:val="24"/>
              </w:rPr>
              <w:t>）公厕</w:t>
            </w:r>
          </w:p>
          <w:p>
            <w:pPr>
              <w:pStyle w:val="23"/>
              <w:spacing w:line="360" w:lineRule="auto"/>
              <w:ind w:firstLine="420"/>
              <w:rPr>
                <w:color w:val="auto"/>
              </w:rPr>
            </w:pPr>
            <w:r>
              <w:rPr>
                <w:rFonts w:hint="eastAsia"/>
                <w:color w:val="auto"/>
              </w:rPr>
              <w:t>根据建设单位提供的资料，本项目三块地块均设置对外公厕，公厕设置排风系统。</w:t>
            </w:r>
          </w:p>
          <w:p>
            <w:pPr>
              <w:pStyle w:val="23"/>
              <w:spacing w:line="360" w:lineRule="auto"/>
              <w:ind w:firstLine="420"/>
              <w:rPr>
                <w:color w:val="auto"/>
              </w:rPr>
            </w:pPr>
            <w:r>
              <w:rPr>
                <w:rFonts w:ascii="Times New Roman"/>
                <w:color w:val="auto"/>
              </w:rPr>
              <w:t>（8）</w:t>
            </w:r>
            <w:r>
              <w:rPr>
                <w:rFonts w:hint="eastAsia"/>
                <w:color w:val="auto"/>
              </w:rPr>
              <w:t>绿化系统</w:t>
            </w:r>
          </w:p>
          <w:p>
            <w:pPr>
              <w:pStyle w:val="23"/>
              <w:spacing w:line="360" w:lineRule="auto"/>
              <w:ind w:firstLine="420"/>
              <w:rPr>
                <w:color w:val="auto"/>
              </w:rPr>
            </w:pPr>
            <w:r>
              <w:rPr>
                <w:rFonts w:hint="eastAsia"/>
                <w:color w:val="auto"/>
              </w:rPr>
              <w:t>建设项目规划绿地系统主要由公共绿地、宅旁绿地、配套公建绿地，结合居住小区的用地</w:t>
            </w:r>
            <w:r>
              <w:rPr>
                <w:rFonts w:ascii="Times New Roman"/>
                <w:color w:val="auto"/>
              </w:rPr>
              <w:t>布局和住宅建筑布局形成集中与分散相结合的绿地系统。项目</w:t>
            </w:r>
            <w:r>
              <w:rPr>
                <w:rFonts w:hint="eastAsia" w:ascii="Times New Roman"/>
                <w:color w:val="auto"/>
                <w:lang w:eastAsia="zh-CN"/>
              </w:rPr>
              <w:t>三个地块的绿地率将均达到</w:t>
            </w:r>
            <w:r>
              <w:rPr>
                <w:rFonts w:ascii="Times New Roman"/>
                <w:color w:val="auto"/>
              </w:rPr>
              <w:t>35</w:t>
            </w:r>
            <w:r>
              <w:rPr>
                <w:rFonts w:hint="eastAsia" w:ascii="Times New Roman"/>
                <w:color w:val="auto"/>
              </w:rPr>
              <w:t>.01</w:t>
            </w:r>
            <w:r>
              <w:rPr>
                <w:rFonts w:ascii="Times New Roman"/>
                <w:color w:val="auto"/>
              </w:rPr>
              <w:t>%，使</w:t>
            </w:r>
            <w:r>
              <w:rPr>
                <w:rFonts w:hint="eastAsia"/>
                <w:color w:val="auto"/>
              </w:rPr>
              <w:t>自然环境与人工建筑相互渗透、和谐。</w:t>
            </w:r>
          </w:p>
          <w:p>
            <w:pPr>
              <w:pStyle w:val="2"/>
              <w:ind w:firstLine="48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pPr>
              <w:pStyle w:val="2"/>
              <w:spacing w:line="240" w:lineRule="auto"/>
              <w:ind w:firstLine="0" w:firstLineChars="0"/>
            </w:pPr>
            <w:r>
              <w:rPr>
                <w:rFonts w:hint="eastAsia"/>
              </w:rPr>
              <w:t>总平面及现场布置</w:t>
            </w:r>
          </w:p>
        </w:tc>
        <w:tc>
          <w:tcPr>
            <w:tcW w:w="8380" w:type="dxa"/>
            <w:vAlign w:val="center"/>
          </w:tcPr>
          <w:p>
            <w:pPr>
              <w:pStyle w:val="2"/>
              <w:ind w:firstLine="482"/>
              <w:rPr>
                <w:b/>
                <w:bCs/>
              </w:rPr>
            </w:pPr>
            <w:r>
              <w:rPr>
                <w:rFonts w:hint="eastAsia"/>
                <w:b/>
                <w:bCs/>
              </w:rPr>
              <w:t>一、总平面布局</w:t>
            </w:r>
          </w:p>
          <w:p>
            <w:pPr>
              <w:pStyle w:val="2"/>
              <w:ind w:firstLine="480"/>
            </w:pPr>
            <w:r>
              <w:rPr>
                <w:rFonts w:hint="eastAsia"/>
              </w:rPr>
              <w:t>从平面布局上看，本项目住宅区与商业区单元已经适当分开，02#、04#地块在基地设置两个机动车出入口，均在东风湖路；03#地块在基地设置两个机动车出入口，均在剪刀池巷；本项目在建筑四周设置环形消防车道，消防车道宽度大于4m，坡度小于7%，转弯半径不小于12 m。</w:t>
            </w:r>
          </w:p>
          <w:p>
            <w:pPr>
              <w:pStyle w:val="2"/>
              <w:ind w:firstLine="480"/>
            </w:pPr>
            <w:r>
              <w:rPr>
                <w:rFonts w:hint="eastAsia"/>
              </w:rPr>
              <w:t>项目在02#、04#地块分别设置1个地埋式垃圾站和1个</w:t>
            </w:r>
            <w:r>
              <w:rPr>
                <w:rFonts w:hint="eastAsia"/>
                <w:lang w:eastAsia="zh-CN"/>
              </w:rPr>
              <w:t>地面</w:t>
            </w:r>
            <w:r>
              <w:rPr>
                <w:rFonts w:hint="eastAsia"/>
              </w:rPr>
              <w:t>垃圾站，各建筑周边均设置垃圾收集点（带盖垃圾桶），</w:t>
            </w:r>
            <w:r>
              <w:rPr>
                <w:rFonts w:hint="eastAsia"/>
                <w:lang w:val="en-US" w:eastAsia="zh-CN"/>
              </w:rPr>
              <w:t>03#地块产生的垃圾依托04#地块的地面垃圾站，</w:t>
            </w:r>
            <w:r>
              <w:t>生活垃圾袋装化</w:t>
            </w:r>
            <w:r>
              <w:rPr>
                <w:rFonts w:hint="eastAsia"/>
              </w:rPr>
              <w:t>且</w:t>
            </w:r>
            <w:r>
              <w:t>分类收集，</w:t>
            </w:r>
            <w:r>
              <w:rPr>
                <w:rFonts w:hint="eastAsia"/>
              </w:rPr>
              <w:t>由</w:t>
            </w:r>
            <w:r>
              <w:t>小区内专</w:t>
            </w:r>
            <w:r>
              <w:rPr>
                <w:rFonts w:hint="eastAsia"/>
              </w:rPr>
              <w:t>人管理，送至垃圾站</w:t>
            </w:r>
            <w:r>
              <w:t>。</w:t>
            </w:r>
            <w:r>
              <w:rPr>
                <w:rFonts w:hint="eastAsia"/>
              </w:rPr>
              <w:t>项目平面布局见附图5。</w:t>
            </w:r>
          </w:p>
          <w:p>
            <w:pPr>
              <w:pStyle w:val="2"/>
              <w:ind w:firstLine="482"/>
              <w:rPr>
                <w:b/>
                <w:bCs/>
              </w:rPr>
            </w:pPr>
            <w:r>
              <w:rPr>
                <w:rFonts w:hint="eastAsia"/>
                <w:b/>
                <w:bCs/>
              </w:rPr>
              <w:t>二、施工期现场布置</w:t>
            </w:r>
          </w:p>
          <w:p>
            <w:pPr>
              <w:pStyle w:val="2"/>
              <w:ind w:firstLine="480"/>
            </w:pPr>
            <w:r>
              <w:rPr>
                <w:rFonts w:hint="eastAsia"/>
              </w:rPr>
              <w:t>本项目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lang w:val="en-US" w:eastAsia="zh-CN"/>
              </w:rPr>
              <w:t>。</w:t>
            </w:r>
            <w:r>
              <w:rPr>
                <w:rFonts w:hint="eastAsia"/>
              </w:rPr>
              <w:t>根据现场勘察，项目施工营地设置在距项目东侧600m的位置，为临时占地，面积约为2000m</w:t>
            </w:r>
            <w:r>
              <w:rPr>
                <w:rFonts w:hint="eastAsia"/>
                <w:vertAlign w:val="superscript"/>
              </w:rPr>
              <w:t>2</w:t>
            </w:r>
            <w:r>
              <w:rPr>
                <w:rFonts w:hint="eastAsia"/>
              </w:rPr>
              <w:t>，临时化粪池设置于施工营地附近。项目施工现场不设置混凝土搅拌站，使用商品混凝土进行建设，钢材加工区等则预计各建筑施工进度就近原则分别设置；多余渣土采用专业资质单位进行运输，</w:t>
            </w:r>
            <w:r>
              <w:rPr>
                <w:rFonts w:hint="eastAsia"/>
                <w:lang w:val="en-US" w:eastAsia="zh-CN"/>
              </w:rPr>
              <w:t>02#、03#、</w:t>
            </w:r>
            <w:r>
              <w:rPr>
                <w:rFonts w:hint="eastAsia"/>
              </w:rPr>
              <w:t>04#地块施工车辆进出口</w:t>
            </w:r>
            <w:r>
              <w:rPr>
                <w:rFonts w:hint="eastAsia"/>
                <w:lang w:eastAsia="zh-CN"/>
              </w:rPr>
              <w:t>分别</w:t>
            </w:r>
            <w:r>
              <w:rPr>
                <w:rFonts w:hint="eastAsia"/>
              </w:rPr>
              <w:t>设置于</w:t>
            </w:r>
            <w:r>
              <w:rPr>
                <w:rFonts w:hint="eastAsia"/>
                <w:lang w:eastAsia="zh-CN"/>
              </w:rPr>
              <w:t>各</w:t>
            </w:r>
            <w:r>
              <w:rPr>
                <w:rFonts w:hint="eastAsia"/>
              </w:rPr>
              <w:t>地块进口处；洗车平台设置在</w:t>
            </w:r>
            <w:r>
              <w:rPr>
                <w:rStyle w:val="29"/>
              </w:rPr>
              <w:t>车辆进出口</w:t>
            </w:r>
            <w:r>
              <w:rPr>
                <w:rStyle w:val="29"/>
                <w:rFonts w:hint="eastAsia"/>
              </w:rPr>
              <w:t>位置</w:t>
            </w:r>
            <w:r>
              <w:rPr>
                <w:rFonts w:hint="eastAsia"/>
              </w:rPr>
              <w:t>，施工废水隔油、沉淀池设置在施工现场附近。</w:t>
            </w:r>
          </w:p>
          <w:p>
            <w:pPr>
              <w:spacing w:line="360" w:lineRule="auto"/>
              <w:ind w:firstLine="480"/>
              <w:rPr>
                <w:sz w:val="24"/>
              </w:rPr>
            </w:pPr>
            <w:r>
              <w:rPr>
                <w:rFonts w:hint="eastAsia"/>
                <w:sz w:val="24"/>
              </w:rPr>
              <w:t>为了最大的保护表土资源，施工前需剥离场内表土，集中堆放便于后期绿化工程利用。表土剥离数量遵循“按需剥离”的原则，根据项目场内绿化覆土的需求量，结合场内可剥离表土量及周边区域表土供需状况综合分析，确定本项目表土剥离数量；表土剥离的区域遵循“先永后临、先高后低”的原则，选择项目场内表土较好的区域进行剥离。</w:t>
            </w:r>
          </w:p>
          <w:p>
            <w:pPr>
              <w:pStyle w:val="2"/>
              <w:ind w:firstLine="480"/>
            </w:pPr>
            <w:r>
              <w:rPr>
                <w:rFonts w:hint="eastAsia"/>
              </w:rPr>
              <w:t>施工期间进行临时堆土，则需在堆土前设置临时拦挡，堆土场边坡拍实处理。施工完毕后，临时堆土全部进行回填，用于工程植被绿化等，在施工完成后还需对施工营地临时占地进行覆土，绿化等生态恢复措施。</w:t>
            </w:r>
          </w:p>
          <w:p>
            <w:pPr>
              <w:pStyle w:val="2"/>
              <w:ind w:firstLine="480"/>
              <w:rPr>
                <w:color w:val="FF0000"/>
              </w:rPr>
            </w:pPr>
            <w:r>
              <w:rPr>
                <w:rFonts w:hint="eastAsia"/>
              </w:rPr>
              <w:t>本项目施工</w:t>
            </w:r>
            <w:r>
              <w:t>现场平面布置随施工进度进行调整、安排，不同施工阶段的平面布置要与施工重点相适应</w:t>
            </w:r>
            <w:r>
              <w:rPr>
                <w:rFonts w:hint="eastAsia"/>
              </w:rPr>
              <w:t>，确保施工安全和减轻对外环境的影响。</w:t>
            </w:r>
          </w:p>
          <w:p>
            <w:pPr>
              <w:pStyle w:val="2"/>
              <w:ind w:firstLine="480"/>
            </w:pPr>
          </w:p>
          <w:p>
            <w:pPr>
              <w:pStyle w:val="23"/>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pPr>
              <w:pStyle w:val="2"/>
              <w:spacing w:line="240" w:lineRule="auto"/>
              <w:ind w:firstLine="0" w:firstLineChars="0"/>
            </w:pPr>
            <w:r>
              <w:rPr>
                <w:rFonts w:hint="eastAsia"/>
              </w:rPr>
              <w:t>施工方案</w:t>
            </w:r>
          </w:p>
        </w:tc>
        <w:tc>
          <w:tcPr>
            <w:tcW w:w="8380" w:type="dxa"/>
            <w:vAlign w:val="center"/>
          </w:tcPr>
          <w:p>
            <w:pPr>
              <w:spacing w:line="360" w:lineRule="auto"/>
              <w:ind w:firstLine="482" w:firstLineChars="200"/>
              <w:rPr>
                <w:b/>
                <w:bCs/>
                <w:sz w:val="24"/>
              </w:rPr>
            </w:pPr>
            <w:r>
              <w:rPr>
                <w:rFonts w:hint="eastAsia"/>
                <w:b/>
                <w:bCs/>
                <w:sz w:val="24"/>
              </w:rPr>
              <w:t>一、施工方案</w:t>
            </w:r>
          </w:p>
          <w:p>
            <w:pPr>
              <w:spacing w:line="360" w:lineRule="auto"/>
              <w:ind w:firstLine="480" w:firstLineChars="200"/>
              <w:rPr>
                <w:sz w:val="24"/>
              </w:rPr>
            </w:pPr>
            <w:r>
              <w:rPr>
                <w:rFonts w:hint="eastAsia"/>
                <w:sz w:val="24"/>
              </w:rPr>
              <w:t>本项目02#</w:t>
            </w:r>
            <w:r>
              <w:rPr>
                <w:rFonts w:hint="eastAsia"/>
                <w:sz w:val="24"/>
                <w:lang w:eastAsia="zh-CN"/>
              </w:rPr>
              <w:t>、</w:t>
            </w:r>
            <w:r>
              <w:rPr>
                <w:rFonts w:hint="eastAsia"/>
                <w:sz w:val="24"/>
              </w:rPr>
              <w:t>04#地块具体工艺流程为基础工程、主体工程、装饰工程和设备安装，</w:t>
            </w:r>
            <w:r>
              <w:rPr>
                <w:rFonts w:hint="eastAsia"/>
                <w:sz w:val="24"/>
                <w:lang w:eastAsia="zh-CN"/>
              </w:rPr>
              <w:t>由于</w:t>
            </w:r>
            <w:r>
              <w:rPr>
                <w:rFonts w:hint="eastAsia"/>
                <w:sz w:val="24"/>
                <w:lang w:val="en-US" w:eastAsia="zh-CN"/>
              </w:rPr>
              <w:t>03#地块主体工程已基本建成，其后续工艺流程为</w:t>
            </w:r>
            <w:r>
              <w:rPr>
                <w:rFonts w:hint="eastAsia"/>
                <w:sz w:val="24"/>
              </w:rPr>
              <w:t>装饰工程和设备安装</w:t>
            </w:r>
            <w:r>
              <w:rPr>
                <w:rFonts w:hint="eastAsia"/>
                <w:sz w:val="24"/>
                <w:lang w:eastAsia="zh-CN"/>
              </w:rPr>
              <w:t>。项目</w:t>
            </w:r>
            <w:r>
              <w:rPr>
                <w:rFonts w:hint="eastAsia"/>
                <w:sz w:val="24"/>
              </w:rPr>
              <w:t>施工完成并进行工程验收后可交付使用。项目营运期主要为居民日常居住生活和商业区日常进行的活动。其主要工艺流程和产污节点如下图所示：</w:t>
            </w:r>
          </w:p>
          <w:p>
            <w:pPr>
              <w:spacing w:line="360" w:lineRule="auto"/>
              <w:ind w:firstLine="480" w:firstLineChars="200"/>
              <w:rPr>
                <w:sz w:val="24"/>
              </w:rPr>
            </w:pPr>
            <w:r>
              <w:rPr>
                <w:sz w:val="24"/>
              </w:rPr>
              <mc:AlternateContent>
                <mc:Choice Requires="wpg">
                  <w:drawing>
                    <wp:anchor distT="0" distB="0" distL="114300" distR="114300" simplePos="0" relativeHeight="251660288" behindDoc="0" locked="0" layoutInCell="1" allowOverlap="1">
                      <wp:simplePos x="0" y="0"/>
                      <wp:positionH relativeFrom="column">
                        <wp:posOffset>59055</wp:posOffset>
                      </wp:positionH>
                      <wp:positionV relativeFrom="paragraph">
                        <wp:posOffset>19050</wp:posOffset>
                      </wp:positionV>
                      <wp:extent cx="5083810" cy="2150745"/>
                      <wp:effectExtent l="4445" t="0" r="17145" b="1270"/>
                      <wp:wrapNone/>
                      <wp:docPr id="81" name="组合 1107"/>
                      <wp:cNvGraphicFramePr/>
                      <a:graphic xmlns:a="http://schemas.openxmlformats.org/drawingml/2006/main">
                        <a:graphicData uri="http://schemas.microsoft.com/office/word/2010/wordprocessingGroup">
                          <wpg:wgp>
                            <wpg:cNvGrpSpPr/>
                            <wpg:grpSpPr>
                              <a:xfrm>
                                <a:off x="1472565" y="6841490"/>
                                <a:ext cx="5083810" cy="2150745"/>
                                <a:chOff x="2951" y="212360"/>
                                <a:chExt cx="8006" cy="3387"/>
                              </a:xfrm>
                              <a:effectLst/>
                            </wpg:grpSpPr>
                            <wpg:grpSp>
                              <wpg:cNvPr id="235" name="组合 235"/>
                              <wpg:cNvGrpSpPr/>
                              <wpg:grpSpPr>
                                <a:xfrm>
                                  <a:off x="2951" y="213207"/>
                                  <a:ext cx="8006" cy="2540"/>
                                  <a:chOff x="3851" y="433984"/>
                                  <a:chExt cx="9306" cy="3087"/>
                                </a:xfrm>
                                <a:effectLst/>
                              </wpg:grpSpPr>
                              <wps:wsp>
                                <wps:cNvPr id="197" name="文本框 197"/>
                                <wps:cNvSpPr txBox="1"/>
                                <wps:spPr>
                                  <a:xfrm>
                                    <a:off x="4046" y="433984"/>
                                    <a:ext cx="1350" cy="751"/>
                                  </a:xfrm>
                                  <a:prstGeom prst="rect">
                                    <a:avLst/>
                                  </a:prstGeom>
                                  <a:solidFill>
                                    <a:srgbClr val="FFFFFF"/>
                                  </a:solidFill>
                                  <a:ln w="6350">
                                    <a:noFill/>
                                  </a:ln>
                                  <a:effectLst/>
                                </wps:spPr>
                                <wps:txbx>
                                  <w:txbxContent>
                                    <w:p>
                                      <w:pPr>
                                        <w:rPr>
                                          <w:sz w:val="18"/>
                                          <w:szCs w:val="18"/>
                                        </w:rPr>
                                      </w:pPr>
                                      <w:r>
                                        <w:rPr>
                                          <w:rFonts w:hint="eastAsia"/>
                                          <w:sz w:val="18"/>
                                          <w:szCs w:val="18"/>
                                        </w:rPr>
                                        <w:t>噪声、扬尘、</w:t>
                                      </w:r>
                                    </w:p>
                                    <w:p>
                                      <w:pPr>
                                        <w:rPr>
                                          <w:szCs w:val="21"/>
                                        </w:rPr>
                                      </w:pPr>
                                      <w:r>
                                        <w:rPr>
                                          <w:rFonts w:hint="eastAsia"/>
                                          <w:szCs w:val="21"/>
                                        </w:rPr>
                                        <w:t>汽车尾气</w:t>
                                      </w:r>
                                    </w:p>
                                  </w:txbxContent>
                                </wps:txbx>
                                <wps:bodyPr upright="1"/>
                              </wps:wsp>
                              <wpg:grpSp>
                                <wpg:cNvPr id="216" name="组合 216"/>
                                <wpg:cNvGrpSpPr/>
                                <wpg:grpSpPr>
                                  <a:xfrm>
                                    <a:off x="3851" y="434779"/>
                                    <a:ext cx="9306" cy="1410"/>
                                    <a:chOff x="5204" y="380561"/>
                                    <a:chExt cx="9306" cy="1410"/>
                                  </a:xfrm>
                                  <a:effectLst/>
                                </wpg:grpSpPr>
                                <wps:wsp>
                                  <wps:cNvPr id="198" name="文本框 198"/>
                                  <wps:cNvSpPr txBox="1"/>
                                  <wps:spPr>
                                    <a:xfrm>
                                      <a:off x="5204" y="380854"/>
                                      <a:ext cx="6233" cy="1117"/>
                                    </a:xfrm>
                                    <a:prstGeom prst="rect">
                                      <a:avLst/>
                                    </a:prstGeom>
                                    <a:noFill/>
                                    <a:ln w="6350" cap="flat" cmpd="sng">
                                      <a:solidFill>
                                        <a:srgbClr val="000000"/>
                                      </a:solidFill>
                                      <a:prstDash val="solid"/>
                                      <a:round/>
                                      <a:headEnd type="none" w="med" len="med"/>
                                      <a:tailEnd type="none" w="med" len="med"/>
                                    </a:ln>
                                    <a:effectLst/>
                                  </wps:spPr>
                                  <wps:txbx>
                                    <w:txbxContent>
                                      <w:p>
                                        <w:pPr>
                                          <w:ind w:firstLine="480"/>
                                          <w:rPr>
                                            <w:sz w:val="18"/>
                                            <w:szCs w:val="18"/>
                                          </w:rPr>
                                        </w:pPr>
                                      </w:p>
                                    </w:txbxContent>
                                  </wps:txbx>
                                  <wps:bodyPr upright="1"/>
                                </wps:wsp>
                                <wpg:grpSp>
                                  <wpg:cNvPr id="215" name="组合 215"/>
                                  <wpg:cNvGrpSpPr/>
                                  <wpg:grpSpPr>
                                    <a:xfrm>
                                      <a:off x="5338" y="380561"/>
                                      <a:ext cx="9172" cy="1093"/>
                                      <a:chOff x="5338" y="380561"/>
                                      <a:chExt cx="9172" cy="1093"/>
                                    </a:xfrm>
                                    <a:effectLst/>
                                  </wpg:grpSpPr>
                                  <wps:wsp>
                                    <wps:cNvPr id="199" name="文本框 199"/>
                                    <wps:cNvSpPr txBox="1"/>
                                    <wps:spPr>
                                      <a:xfrm>
                                        <a:off x="6935" y="381170"/>
                                        <a:ext cx="1215" cy="484"/>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主体工程</w:t>
                                          </w:r>
                                        </w:p>
                                      </w:txbxContent>
                                    </wps:txbx>
                                    <wps:bodyPr upright="1"/>
                                  </wps:wsp>
                                  <wpg:grpSp>
                                    <wpg:cNvPr id="214" name="组合 214"/>
                                    <wpg:cNvGrpSpPr/>
                                    <wpg:grpSpPr>
                                      <a:xfrm>
                                        <a:off x="5338" y="380561"/>
                                        <a:ext cx="9172" cy="1080"/>
                                        <a:chOff x="1841" y="380561"/>
                                        <a:chExt cx="9172" cy="1080"/>
                                      </a:xfrm>
                                      <a:effectLst/>
                                    </wpg:grpSpPr>
                                    <wps:wsp>
                                      <wps:cNvPr id="200" name="文本框 200"/>
                                      <wps:cNvSpPr txBox="1"/>
                                      <wps:spPr>
                                        <a:xfrm>
                                          <a:off x="1841" y="381173"/>
                                          <a:ext cx="1248" cy="468"/>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基础工程</w:t>
                                            </w:r>
                                          </w:p>
                                        </w:txbxContent>
                                      </wps:txbx>
                                      <wps:bodyPr upright="1"/>
                                    </wps:wsp>
                                    <wps:wsp>
                                      <wps:cNvPr id="201" name="文本框 201"/>
                                      <wps:cNvSpPr txBox="1"/>
                                      <wps:spPr>
                                        <a:xfrm>
                                          <a:off x="9746" y="381156"/>
                                          <a:ext cx="1267" cy="484"/>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运行使用</w:t>
                                            </w:r>
                                          </w:p>
                                        </w:txbxContent>
                                      </wps:txbx>
                                      <wps:bodyPr upright="1"/>
                                    </wps:wsp>
                                    <wps:wsp>
                                      <wps:cNvPr id="202" name="文本框 202"/>
                                      <wps:cNvSpPr txBox="1"/>
                                      <wps:spPr>
                                        <a:xfrm>
                                          <a:off x="6541" y="381155"/>
                                          <a:ext cx="1245" cy="484"/>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设备安装</w:t>
                                            </w:r>
                                          </w:p>
                                        </w:txbxContent>
                                      </wps:txbx>
                                      <wps:bodyPr upright="1"/>
                                    </wps:wsp>
                                    <wps:wsp>
                                      <wps:cNvPr id="203" name="文本框 203"/>
                                      <wps:cNvSpPr txBox="1"/>
                                      <wps:spPr>
                                        <a:xfrm>
                                          <a:off x="8132" y="381146"/>
                                          <a:ext cx="1259" cy="484"/>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工程验收</w:t>
                                            </w:r>
                                          </w:p>
                                        </w:txbxContent>
                                      </wps:txbx>
                                      <wps:bodyPr upright="1"/>
                                    </wps:wsp>
                                    <wps:wsp>
                                      <wps:cNvPr id="204" name="文本框 204"/>
                                      <wps:cNvSpPr txBox="1"/>
                                      <wps:spPr>
                                        <a:xfrm>
                                          <a:off x="4989" y="381154"/>
                                          <a:ext cx="1201" cy="484"/>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pPr>
                                              <w:rPr>
                                                <w:sz w:val="18"/>
                                                <w:szCs w:val="18"/>
                                              </w:rPr>
                                            </w:pPr>
                                            <w:r>
                                              <w:rPr>
                                                <w:rFonts w:hint="eastAsia"/>
                                                <w:sz w:val="18"/>
                                                <w:szCs w:val="18"/>
                                              </w:rPr>
                                              <w:t>装饰工程</w:t>
                                            </w:r>
                                          </w:p>
                                        </w:txbxContent>
                                      </wps:txbx>
                                      <wps:bodyPr upright="1"/>
                                    </wps:wsp>
                                    <wps:wsp>
                                      <wps:cNvPr id="205" name="直接箭头连接符 205"/>
                                      <wps:cNvCnPr/>
                                      <wps:spPr>
                                        <a:xfrm flipV="1">
                                          <a:off x="2572" y="380571"/>
                                          <a:ext cx="0" cy="566"/>
                                        </a:xfrm>
                                        <a:prstGeom prst="straightConnector1">
                                          <a:avLst/>
                                        </a:prstGeom>
                                        <a:ln w="12700" cap="flat" cmpd="sng">
                                          <a:solidFill>
                                            <a:srgbClr val="000000"/>
                                          </a:solidFill>
                                          <a:prstDash val="dash"/>
                                          <a:miter/>
                                          <a:headEnd type="none" w="med" len="med"/>
                                          <a:tailEnd type="arrow" w="med" len="med"/>
                                        </a:ln>
                                        <a:effectLst/>
                                      </wps:spPr>
                                      <wps:bodyPr/>
                                    </wps:wsp>
                                    <wps:wsp>
                                      <wps:cNvPr id="206" name="直接箭头连接符 206"/>
                                      <wps:cNvCnPr/>
                                      <wps:spPr>
                                        <a:xfrm flipV="1">
                                          <a:off x="4047" y="380595"/>
                                          <a:ext cx="0" cy="566"/>
                                        </a:xfrm>
                                        <a:prstGeom prst="straightConnector1">
                                          <a:avLst/>
                                        </a:prstGeom>
                                        <a:ln w="12700" cap="flat" cmpd="sng">
                                          <a:solidFill>
                                            <a:srgbClr val="000000"/>
                                          </a:solidFill>
                                          <a:prstDash val="dash"/>
                                          <a:miter/>
                                          <a:headEnd type="none" w="med" len="med"/>
                                          <a:tailEnd type="arrow" w="med" len="med"/>
                                        </a:ln>
                                        <a:effectLst/>
                                      </wps:spPr>
                                      <wps:bodyPr/>
                                    </wps:wsp>
                                    <wps:wsp>
                                      <wps:cNvPr id="207" name="直接箭头连接符 207"/>
                                      <wps:cNvCnPr/>
                                      <wps:spPr>
                                        <a:xfrm flipV="1">
                                          <a:off x="7146" y="380561"/>
                                          <a:ext cx="0" cy="566"/>
                                        </a:xfrm>
                                        <a:prstGeom prst="straightConnector1">
                                          <a:avLst/>
                                        </a:prstGeom>
                                        <a:ln w="12700" cap="flat" cmpd="sng">
                                          <a:solidFill>
                                            <a:srgbClr val="000000"/>
                                          </a:solidFill>
                                          <a:prstDash val="dash"/>
                                          <a:miter/>
                                          <a:headEnd type="none" w="med" len="med"/>
                                          <a:tailEnd type="arrow" w="med" len="med"/>
                                        </a:ln>
                                        <a:effectLst/>
                                      </wps:spPr>
                                      <wps:bodyPr/>
                                    </wps:wsp>
                                    <wps:wsp>
                                      <wps:cNvPr id="208" name="直接箭头连接符 208"/>
                                      <wps:cNvCnPr/>
                                      <wps:spPr>
                                        <a:xfrm flipV="1">
                                          <a:off x="5601" y="380569"/>
                                          <a:ext cx="0" cy="566"/>
                                        </a:xfrm>
                                        <a:prstGeom prst="straightConnector1">
                                          <a:avLst/>
                                        </a:prstGeom>
                                        <a:ln w="12700" cap="flat" cmpd="sng">
                                          <a:solidFill>
                                            <a:srgbClr val="000000"/>
                                          </a:solidFill>
                                          <a:prstDash val="dash"/>
                                          <a:miter/>
                                          <a:headEnd type="none" w="med" len="med"/>
                                          <a:tailEnd type="arrow" w="med" len="med"/>
                                        </a:ln>
                                        <a:effectLst/>
                                      </wps:spPr>
                                      <wps:bodyPr/>
                                    </wps:wsp>
                                    <wps:wsp>
                                      <wps:cNvPr id="209" name="直接箭头连接符 209"/>
                                      <wps:cNvCnPr/>
                                      <wps:spPr>
                                        <a:xfrm>
                                          <a:off x="3140" y="381430"/>
                                          <a:ext cx="256" cy="7"/>
                                        </a:xfrm>
                                        <a:prstGeom prst="straightConnector1">
                                          <a:avLst/>
                                        </a:prstGeom>
                                        <a:ln w="12700" cap="flat" cmpd="sng">
                                          <a:solidFill>
                                            <a:srgbClr val="000000"/>
                                          </a:solidFill>
                                          <a:prstDash val="solid"/>
                                          <a:miter/>
                                          <a:headEnd type="none" w="med" len="med"/>
                                          <a:tailEnd type="arrow" w="med" len="med"/>
                                        </a:ln>
                                        <a:effectLst/>
                                      </wps:spPr>
                                      <wps:bodyPr/>
                                    </wps:wsp>
                                    <wps:wsp>
                                      <wps:cNvPr id="210" name="直接箭头连接符 210"/>
                                      <wps:cNvCnPr/>
                                      <wps:spPr>
                                        <a:xfrm>
                                          <a:off x="4730" y="381420"/>
                                          <a:ext cx="256" cy="7"/>
                                        </a:xfrm>
                                        <a:prstGeom prst="straightConnector1">
                                          <a:avLst/>
                                        </a:prstGeom>
                                        <a:ln w="12700" cap="flat" cmpd="sng">
                                          <a:solidFill>
                                            <a:srgbClr val="000000"/>
                                          </a:solidFill>
                                          <a:prstDash val="solid"/>
                                          <a:miter/>
                                          <a:headEnd type="none" w="med" len="med"/>
                                          <a:tailEnd type="arrow" w="med" len="med"/>
                                        </a:ln>
                                        <a:effectLst/>
                                      </wps:spPr>
                                      <wps:bodyPr/>
                                    </wps:wsp>
                                    <wps:wsp>
                                      <wps:cNvPr id="211" name="直接箭头连接符 211"/>
                                      <wps:cNvCnPr/>
                                      <wps:spPr>
                                        <a:xfrm>
                                          <a:off x="6287" y="381394"/>
                                          <a:ext cx="256" cy="7"/>
                                        </a:xfrm>
                                        <a:prstGeom prst="straightConnector1">
                                          <a:avLst/>
                                        </a:prstGeom>
                                        <a:ln w="12700" cap="flat" cmpd="sng">
                                          <a:solidFill>
                                            <a:srgbClr val="000000"/>
                                          </a:solidFill>
                                          <a:prstDash val="solid"/>
                                          <a:miter/>
                                          <a:headEnd type="none" w="med" len="med"/>
                                          <a:tailEnd type="arrow" w="med" len="med"/>
                                        </a:ln>
                                        <a:effectLst/>
                                      </wps:spPr>
                                      <wps:bodyPr/>
                                    </wps:wsp>
                                    <wps:wsp>
                                      <wps:cNvPr id="212" name="直接箭头连接符 212"/>
                                      <wps:cNvCnPr/>
                                      <wps:spPr>
                                        <a:xfrm flipV="1">
                                          <a:off x="7758" y="381388"/>
                                          <a:ext cx="374" cy="9"/>
                                        </a:xfrm>
                                        <a:prstGeom prst="straightConnector1">
                                          <a:avLst/>
                                        </a:prstGeom>
                                        <a:ln w="12700" cap="flat" cmpd="sng">
                                          <a:solidFill>
                                            <a:srgbClr val="000000"/>
                                          </a:solidFill>
                                          <a:prstDash val="solid"/>
                                          <a:miter/>
                                          <a:headEnd type="none" w="med" len="med"/>
                                          <a:tailEnd type="arrow" w="med" len="med"/>
                                        </a:ln>
                                        <a:effectLst/>
                                      </wps:spPr>
                                      <wps:bodyPr/>
                                    </wps:wsp>
                                    <wps:wsp>
                                      <wps:cNvPr id="213" name="直接箭头连接符 213"/>
                                      <wps:cNvCnPr/>
                                      <wps:spPr>
                                        <a:xfrm>
                                          <a:off x="9400" y="381407"/>
                                          <a:ext cx="256" cy="7"/>
                                        </a:xfrm>
                                        <a:prstGeom prst="straightConnector1">
                                          <a:avLst/>
                                        </a:prstGeom>
                                        <a:ln w="12700" cap="flat" cmpd="sng">
                                          <a:solidFill>
                                            <a:srgbClr val="000000"/>
                                          </a:solidFill>
                                          <a:prstDash val="solid"/>
                                          <a:miter/>
                                          <a:headEnd type="none" w="med" len="med"/>
                                          <a:tailEnd type="arrow" w="med" len="med"/>
                                        </a:ln>
                                        <a:effectLst/>
                                      </wps:spPr>
                                      <wps:bodyPr/>
                                    </wps:wsp>
                                  </wpg:grpSp>
                                </wpg:grpSp>
                              </wpg:grpSp>
                              <wps:wsp>
                                <wps:cNvPr id="217" name="文本框 217"/>
                                <wps:cNvSpPr txBox="1"/>
                                <wps:spPr>
                                  <a:xfrm>
                                    <a:off x="5503" y="434007"/>
                                    <a:ext cx="1350" cy="751"/>
                                  </a:xfrm>
                                  <a:prstGeom prst="rect">
                                    <a:avLst/>
                                  </a:prstGeom>
                                  <a:solidFill>
                                    <a:srgbClr val="FFFFFF"/>
                                  </a:solidFill>
                                  <a:ln w="6350">
                                    <a:noFill/>
                                  </a:ln>
                                  <a:effectLst/>
                                </wps:spPr>
                                <wps:txbx>
                                  <w:txbxContent>
                                    <w:p>
                                      <w:pPr>
                                        <w:rPr>
                                          <w:sz w:val="18"/>
                                          <w:szCs w:val="18"/>
                                        </w:rPr>
                                      </w:pPr>
                                      <w:r>
                                        <w:rPr>
                                          <w:rFonts w:hint="eastAsia"/>
                                          <w:sz w:val="18"/>
                                          <w:szCs w:val="18"/>
                                        </w:rPr>
                                        <w:t>噪声、扬尘、</w:t>
                                      </w:r>
                                    </w:p>
                                    <w:p>
                                      <w:pPr>
                                        <w:rPr>
                                          <w:szCs w:val="21"/>
                                        </w:rPr>
                                      </w:pPr>
                                      <w:r>
                                        <w:rPr>
                                          <w:rFonts w:hint="eastAsia"/>
                                          <w:szCs w:val="21"/>
                                        </w:rPr>
                                        <w:t>汽车尾气</w:t>
                                      </w:r>
                                    </w:p>
                                  </w:txbxContent>
                                </wps:txbx>
                                <wps:bodyPr upright="1"/>
                              </wps:wsp>
                              <wps:wsp>
                                <wps:cNvPr id="218" name="文本框 218"/>
                                <wps:cNvSpPr txBox="1"/>
                                <wps:spPr>
                                  <a:xfrm>
                                    <a:off x="6993" y="434164"/>
                                    <a:ext cx="1524" cy="484"/>
                                  </a:xfrm>
                                  <a:prstGeom prst="rect">
                                    <a:avLst/>
                                  </a:prstGeom>
                                  <a:solidFill>
                                    <a:srgbClr val="FFFFFF"/>
                                  </a:solidFill>
                                  <a:ln w="6350">
                                    <a:noFill/>
                                  </a:ln>
                                  <a:effectLst/>
                                </wps:spPr>
                                <wps:txbx>
                                  <w:txbxContent>
                                    <w:p>
                                      <w:pPr>
                                        <w:rPr>
                                          <w:sz w:val="18"/>
                                          <w:szCs w:val="18"/>
                                        </w:rPr>
                                      </w:pPr>
                                      <w:r>
                                        <w:rPr>
                                          <w:rFonts w:hint="eastAsia"/>
                                          <w:sz w:val="18"/>
                                          <w:szCs w:val="18"/>
                                        </w:rPr>
                                        <w:t>噪声、废气</w:t>
                                      </w:r>
                                    </w:p>
                                  </w:txbxContent>
                                </wps:txbx>
                                <wps:bodyPr upright="1"/>
                              </wps:wsp>
                              <wps:wsp>
                                <wps:cNvPr id="219" name="文本框 219"/>
                                <wps:cNvSpPr txBox="1"/>
                                <wps:spPr>
                                  <a:xfrm>
                                    <a:off x="8583" y="434187"/>
                                    <a:ext cx="1419" cy="451"/>
                                  </a:xfrm>
                                  <a:prstGeom prst="rect">
                                    <a:avLst/>
                                  </a:prstGeom>
                                  <a:solidFill>
                                    <a:srgbClr val="FFFFFF"/>
                                  </a:solidFill>
                                  <a:ln w="6350">
                                    <a:noFill/>
                                  </a:ln>
                                  <a:effectLst/>
                                </wps:spPr>
                                <wps:txbx>
                                  <w:txbxContent>
                                    <w:p>
                                      <w:pPr>
                                        <w:rPr>
                                          <w:sz w:val="18"/>
                                          <w:szCs w:val="18"/>
                                        </w:rPr>
                                      </w:pPr>
                                      <w:r>
                                        <w:rPr>
                                          <w:rFonts w:hint="eastAsia"/>
                                          <w:sz w:val="18"/>
                                          <w:szCs w:val="18"/>
                                        </w:rPr>
                                        <w:t>噪声、粉尘</w:t>
                                      </w:r>
                                    </w:p>
                                  </w:txbxContent>
                                </wps:txbx>
                                <wps:bodyPr upright="1"/>
                              </wps:wsp>
                              <wps:wsp>
                                <wps:cNvPr id="222" name="直接箭头连接符 222"/>
                                <wps:cNvCnPr/>
                                <wps:spPr>
                                  <a:xfrm>
                                    <a:off x="5487" y="436190"/>
                                    <a:ext cx="0" cy="350"/>
                                  </a:xfrm>
                                  <a:prstGeom prst="straightConnector1">
                                    <a:avLst/>
                                  </a:prstGeom>
                                  <a:ln w="6350" cap="flat" cmpd="sng">
                                    <a:solidFill>
                                      <a:srgbClr val="000000"/>
                                    </a:solidFill>
                                    <a:prstDash val="sysDash"/>
                                    <a:miter/>
                                    <a:headEnd type="none" w="med" len="med"/>
                                    <a:tailEnd type="arrow" w="med" len="med"/>
                                  </a:ln>
                                  <a:effectLst/>
                                </wps:spPr>
                                <wps:bodyPr/>
                              </wps:wsp>
                              <wps:wsp>
                                <wps:cNvPr id="223" name="文本框 223"/>
                                <wps:cNvSpPr txBox="1"/>
                                <wps:spPr>
                                  <a:xfrm>
                                    <a:off x="4883" y="436587"/>
                                    <a:ext cx="2262" cy="484"/>
                                  </a:xfrm>
                                  <a:prstGeom prst="rect">
                                    <a:avLst/>
                                  </a:prstGeom>
                                  <a:solidFill>
                                    <a:srgbClr val="FFFFFF"/>
                                  </a:solidFill>
                                  <a:ln w="6350">
                                    <a:noFill/>
                                  </a:ln>
                                  <a:effectLst/>
                                </wps:spPr>
                                <wps:txbx>
                                  <w:txbxContent>
                                    <w:p>
                                      <w:pPr>
                                        <w:rPr>
                                          <w:sz w:val="18"/>
                                          <w:szCs w:val="18"/>
                                        </w:rPr>
                                      </w:pPr>
                                      <w:r>
                                        <w:rPr>
                                          <w:rFonts w:hint="eastAsia"/>
                                          <w:sz w:val="18"/>
                                          <w:szCs w:val="18"/>
                                        </w:rPr>
                                        <w:t>施工废水、生活垃圾</w:t>
                                      </w:r>
                                    </w:p>
                                  </w:txbxContent>
                                </wps:txbx>
                                <wps:bodyPr upright="1"/>
                              </wps:wsp>
                              <wps:wsp>
                                <wps:cNvPr id="224" name="文本框 224"/>
                                <wps:cNvSpPr txBox="1"/>
                                <wps:spPr>
                                  <a:xfrm>
                                    <a:off x="7855" y="436543"/>
                                    <a:ext cx="1473" cy="484"/>
                                  </a:xfrm>
                                  <a:prstGeom prst="rect">
                                    <a:avLst/>
                                  </a:prstGeom>
                                  <a:solidFill>
                                    <a:srgbClr val="FFFFFF"/>
                                  </a:solidFill>
                                  <a:ln w="6350">
                                    <a:noFill/>
                                  </a:ln>
                                  <a:effectLst/>
                                </wps:spPr>
                                <wps:txbx>
                                  <w:txbxContent>
                                    <w:p>
                                      <w:pPr>
                                        <w:rPr>
                                          <w:sz w:val="18"/>
                                          <w:szCs w:val="18"/>
                                        </w:rPr>
                                      </w:pPr>
                                      <w:r>
                                        <w:rPr>
                                          <w:rFonts w:hint="eastAsia"/>
                                          <w:sz w:val="18"/>
                                          <w:szCs w:val="18"/>
                                        </w:rPr>
                                        <w:t>建筑垃圾</w:t>
                                      </w:r>
                                    </w:p>
                                  </w:txbxContent>
                                </wps:txbx>
                                <wps:bodyPr upright="1"/>
                              </wps:wsp>
                              <wps:wsp>
                                <wps:cNvPr id="225" name="直接箭头连接符 225"/>
                                <wps:cNvCnPr/>
                                <wps:spPr>
                                  <a:xfrm>
                                    <a:off x="8410" y="436213"/>
                                    <a:ext cx="0" cy="350"/>
                                  </a:xfrm>
                                  <a:prstGeom prst="straightConnector1">
                                    <a:avLst/>
                                  </a:prstGeom>
                                  <a:ln w="6350" cap="flat" cmpd="sng">
                                    <a:solidFill>
                                      <a:srgbClr val="000000"/>
                                    </a:solidFill>
                                    <a:prstDash val="sysDash"/>
                                    <a:miter/>
                                    <a:headEnd type="none" w="med" len="med"/>
                                    <a:tailEnd type="arrow" w="med" len="med"/>
                                  </a:ln>
                                  <a:effectLst/>
                                </wps:spPr>
                                <wps:bodyPr/>
                              </wps:wsp>
                            </wpg:grpSp>
                            <wps:wsp>
                              <wps:cNvPr id="79" name="文本框 79"/>
                              <wps:cNvSpPr txBox="1"/>
                              <wps:spPr>
                                <a:xfrm>
                                  <a:off x="9060" y="212360"/>
                                  <a:ext cx="1875" cy="1381"/>
                                </a:xfrm>
                                <a:prstGeom prst="rect">
                                  <a:avLst/>
                                </a:prstGeom>
                                <a:noFill/>
                                <a:ln w="6350">
                                  <a:noFill/>
                                </a:ln>
                                <a:effectLst/>
                              </wps:spPr>
                              <wps:txbx>
                                <w:txbxContent>
                                  <w:p>
                                    <w:pPr>
                                      <w:rPr>
                                        <w:sz w:val="18"/>
                                        <w:szCs w:val="18"/>
                                      </w:rPr>
                                    </w:pPr>
                                    <w:r>
                                      <w:rPr>
                                        <w:rFonts w:hint="eastAsia"/>
                                        <w:sz w:val="18"/>
                                        <w:szCs w:val="18"/>
                                      </w:rPr>
                                      <w:t>噪声、油烟废气、汽车尾气、公厕、垃圾收集站废气、生活废水、生活、商业垃圾</w:t>
                                    </w:r>
                                  </w:p>
                                  <w:p>
                                    <w:pPr>
                                      <w:rPr>
                                        <w:sz w:val="18"/>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1107" o:spid="_x0000_s1026" o:spt="203" style="position:absolute;left:0pt;margin-left:4.65pt;margin-top:1.5pt;height:169.35pt;width:400.3pt;z-index:251660288;mso-width-relative:page;mso-height-relative:page;" coordorigin="2951,212360" coordsize="8006,3387" o:gfxdata="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">
                      <o:lock v:ext="edit" aspectratio="f"/>
                      <v:group id="_x0000_s1026" o:spid="_x0000_s1026" o:spt="203" style="position:absolute;left:2951;top:213207;height:2540;width:8006;" coordorigin="3851,433984" coordsize="9306,3087" o:gfxdata="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IpJWI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4046;top:433984;height:751;width:1350;" fillcolor="#FFFFFF" filled="t" stroked="f" coordsize="21600,21600" o:gfxdata="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B5V7a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rPr>
                                    <w:sz w:val="18"/>
                                    <w:szCs w:val="18"/>
                                  </w:rPr>
                                </w:pPr>
                                <w:r>
                                  <w:rPr>
                                    <w:rFonts w:hint="eastAsia"/>
                                    <w:sz w:val="18"/>
                                    <w:szCs w:val="18"/>
                                  </w:rPr>
                                  <w:t>噪声、扬尘、</w:t>
                                </w:r>
                              </w:p>
                              <w:p>
                                <w:pPr>
                                  <w:rPr>
                                    <w:szCs w:val="21"/>
                                  </w:rPr>
                                </w:pPr>
                                <w:r>
                                  <w:rPr>
                                    <w:rFonts w:hint="eastAsia"/>
                                    <w:szCs w:val="21"/>
                                  </w:rPr>
                                  <w:t>汽车尾气</w:t>
                                </w:r>
                              </w:p>
                            </w:txbxContent>
                          </v:textbox>
                        </v:shape>
                        <v:group id="_x0000_s1026" o:spid="_x0000_s1026" o:spt="203" style="position:absolute;left:3851;top:434779;height:1410;width:9306;" coordorigin="5204,380561" coordsize="9306,1410" o:gfxdata="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M8NXn70AAADc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5204;top:380854;height:1117;width:6233;" filled="f" stroked="t" coordsize="21600,21600" o:gfxdata="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z7nm&#10;wAAAANwAAAAPAAAAAAAAAAEAIAAAACIAAABkcnMvZG93bnJldi54bWxQSwECFAAUAAAACACHTuJA&#10;My8FnjsAAAA5AAAAEAAAAAAAAAABACAAAAAPAQAAZHJzL3NoYXBleG1sLnhtbFBLBQYAAAAABgAG&#10;AFsBAAC5AwAAAAA=&#10;">
                            <v:fill on="f" focussize="0,0"/>
                            <v:stroke weight="0.5pt" color="#000000" joinstyle="round"/>
                            <v:imagedata o:title=""/>
                            <o:lock v:ext="edit" aspectratio="f"/>
                            <v:textbox>
                              <w:txbxContent>
                                <w:p>
                                  <w:pPr>
                                    <w:ind w:firstLine="480"/>
                                    <w:rPr>
                                      <w:sz w:val="18"/>
                                      <w:szCs w:val="18"/>
                                    </w:rPr>
                                  </w:pPr>
                                </w:p>
                              </w:txbxContent>
                            </v:textbox>
                          </v:shape>
                          <v:group id="_x0000_s1026" o:spid="_x0000_s1026" o:spt="203" style="position:absolute;left:5338;top:380561;height:1093;width:9172;" coordorigin="5338,380561" coordsize="9172,1093" o:gfxdata="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Ecno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6935;top:381170;height:484;width:1215;" fillcolor="#FFFFFF" filled="t" stroked="t" coordsize="21600,21600" o:gfxdata="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mUKiy2AAAA3AAAAA8A&#10;AAAAAAAAAQAgAAAAIgAAAGRycy9kb3ducmV2LnhtbFBLAQIUABQAAAAIAIdO4kAzLwWeOwAAADkA&#10;AAAQAAAAAAAAAAEAIAAAAAUBAABkcnMvc2hhcGV4bWwueG1sUEsFBgAAAAAGAAYAWwEAAK8DAAAA&#10;AA==&#10;">
                              <v:fill on="t" focussize="0,0"/>
                              <v:stroke weight="0.5pt" color="#000000" joinstyle="round"/>
                              <v:imagedata o:title=""/>
                              <o:lock v:ext="edit" aspectratio="f"/>
                              <v:textbox>
                                <w:txbxContent>
                                  <w:p>
                                    <w:pPr>
                                      <w:rPr>
                                        <w:sz w:val="18"/>
                                        <w:szCs w:val="18"/>
                                      </w:rPr>
                                    </w:pPr>
                                    <w:r>
                                      <w:rPr>
                                        <w:rFonts w:hint="eastAsia"/>
                                        <w:sz w:val="18"/>
                                        <w:szCs w:val="18"/>
                                      </w:rPr>
                                      <w:t>主体工程</w:t>
                                    </w:r>
                                  </w:p>
                                </w:txbxContent>
                              </v:textbox>
                            </v:shape>
                            <v:group id="_x0000_s1026" o:spid="_x0000_s1026" o:spt="203" style="position:absolute;left:5338;top:380561;height:1080;width:9172;" coordorigin="1841,380561" coordsize="9172,1080" o:gfxdata="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sXWxz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1841;top:381173;height:468;width:1248;" fillcolor="#FFFFFF" filled="t" stroked="t" coordsize="21600,21600" o:gfxdata="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uBd0q2AAAA3AAAAA8A&#10;AAAAAAAAAQAgAAAAIgAAAGRycy9kb3ducmV2LnhtbFBLAQIUABQAAAAIAIdO4kAzLwWeOwAAADkA&#10;AAAQAAAAAAAAAAEAIAAAAAUBAABkcnMvc2hhcGV4bWwueG1sUEsFBgAAAAAGAAYAWwEAAK8DAAAA&#10;AA==&#10;">
                                <v:fill on="t" focussize="0,0"/>
                                <v:stroke weight="0.5pt" color="#000000" joinstyle="round"/>
                                <v:imagedata o:title=""/>
                                <o:lock v:ext="edit" aspectratio="f"/>
                                <v:textbox>
                                  <w:txbxContent>
                                    <w:p>
                                      <w:pPr>
                                        <w:rPr>
                                          <w:sz w:val="18"/>
                                          <w:szCs w:val="18"/>
                                        </w:rPr>
                                      </w:pPr>
                                      <w:r>
                                        <w:rPr>
                                          <w:rFonts w:hint="eastAsia"/>
                                          <w:sz w:val="18"/>
                                          <w:szCs w:val="18"/>
                                        </w:rPr>
                                        <w:t>基础工程</w:t>
                                      </w:r>
                                    </w:p>
                                  </w:txbxContent>
                                </v:textbox>
                              </v:shape>
                              <v:shape id="_x0000_s1026" o:spid="_x0000_s1026" o:spt="202" type="#_x0000_t202" style="position:absolute;left:9746;top:381156;height:484;width:1267;" fillcolor="#FFFFFF" filled="t" stroked="t" coordsize="21600,21600" o:gfxdata="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3S0bsAAADc&#10;AAAADwAAAAAAAAABACAAAAAiAAAAZHJzL2Rvd25yZXYueG1sUEsBAhQAFAAAAAgAh07iQDMvBZ47&#10;AAAAOQAAABAAAAAAAAAAAQAgAAAACgEAAGRycy9zaGFwZXhtbC54bWxQSwUGAAAAAAYABgBbAQAA&#10;tAMAAAAA&#10;">
                                <v:fill on="t" focussize="0,0"/>
                                <v:stroke weight="0.5pt" color="#000000" joinstyle="round"/>
                                <v:imagedata o:title=""/>
                                <o:lock v:ext="edit" aspectratio="f"/>
                                <v:textbox>
                                  <w:txbxContent>
                                    <w:p>
                                      <w:pPr>
                                        <w:rPr>
                                          <w:sz w:val="18"/>
                                          <w:szCs w:val="18"/>
                                        </w:rPr>
                                      </w:pPr>
                                      <w:r>
                                        <w:rPr>
                                          <w:rFonts w:hint="eastAsia"/>
                                          <w:sz w:val="18"/>
                                          <w:szCs w:val="18"/>
                                        </w:rPr>
                                        <w:t>运行使用</w:t>
                                      </w:r>
                                    </w:p>
                                  </w:txbxContent>
                                </v:textbox>
                              </v:shape>
                              <v:shape id="_x0000_s1026" o:spid="_x0000_s1026" o:spt="202" type="#_x0000_t202" style="position:absolute;left:6541;top:381155;height:484;width:1245;" fillcolor="#FFFFFF" filled="t" stroked="t" coordsize="21600,21600" o:gfxdata="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B9MprsAAADc&#10;AAAADwAAAAAAAAABACAAAAAiAAAAZHJzL2Rvd25yZXYueG1sUEsBAhQAFAAAAAgAh07iQDMvBZ47&#10;AAAAOQAAABAAAAAAAAAAAQAgAAAACgEAAGRycy9zaGFwZXhtbC54bWxQSwUGAAAAAAYABgBbAQAA&#10;tAMAAAAA&#10;">
                                <v:fill on="t" focussize="0,0"/>
                                <v:stroke weight="0.5pt" color="#000000" joinstyle="round"/>
                                <v:imagedata o:title=""/>
                                <o:lock v:ext="edit" aspectratio="f"/>
                                <v:textbox>
                                  <w:txbxContent>
                                    <w:p>
                                      <w:pPr>
                                        <w:rPr>
                                          <w:sz w:val="18"/>
                                          <w:szCs w:val="18"/>
                                        </w:rPr>
                                      </w:pPr>
                                      <w:r>
                                        <w:rPr>
                                          <w:rFonts w:hint="eastAsia"/>
                                          <w:sz w:val="18"/>
                                          <w:szCs w:val="18"/>
                                        </w:rPr>
                                        <w:t>设备安装</w:t>
                                      </w:r>
                                    </w:p>
                                  </w:txbxContent>
                                </v:textbox>
                              </v:shape>
                              <v:shape id="_x0000_s1026" o:spid="_x0000_s1026" o:spt="202" type="#_x0000_t202" style="position:absolute;left:8132;top:381146;height:484;width:1259;" fillcolor="#FFFFFF" filled="t" stroked="t" coordsize="21600,21600" o:gfxdata="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U+k9ugAAANwA&#10;AAAPAAAAAAAAAAEAIAAAACIAAABkcnMvZG93bnJldi54bWxQSwECFAAUAAAACACHTuJAMy8FnjsA&#10;AAA5AAAAEAAAAAAAAAABACAAAAAJAQAAZHJzL3NoYXBleG1sLnhtbFBLBQYAAAAABgAGAFsBAACz&#10;AwAAAAA=&#10;">
                                <v:fill on="t" focussize="0,0"/>
                                <v:stroke weight="0.5pt" color="#000000" joinstyle="round"/>
                                <v:imagedata o:title=""/>
                                <o:lock v:ext="edit" aspectratio="f"/>
                                <v:textbox>
                                  <w:txbxContent>
                                    <w:p>
                                      <w:pPr>
                                        <w:rPr>
                                          <w:sz w:val="18"/>
                                          <w:szCs w:val="18"/>
                                        </w:rPr>
                                      </w:pPr>
                                      <w:r>
                                        <w:rPr>
                                          <w:rFonts w:hint="eastAsia"/>
                                          <w:sz w:val="18"/>
                                          <w:szCs w:val="18"/>
                                        </w:rPr>
                                        <w:t>工程验收</w:t>
                                      </w:r>
                                    </w:p>
                                  </w:txbxContent>
                                </v:textbox>
                              </v:shape>
                              <v:shape id="_x0000_s1026" o:spid="_x0000_s1026" o:spt="202" type="#_x0000_t202" style="position:absolute;left:4989;top:381154;height:484;width:1201;" fillcolor="#FFFFFF" filled="t" stroked="t" coordsize="21600,21600" o:gfxdata="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S6cUm5AAAA3AAA&#10;AA8AAAAAAAAAAQAgAAAAIgAAAGRycy9kb3ducmV2LnhtbFBLAQIUABQAAAAIAIdO4kAzLwWeOwAA&#10;ADkAAAAQAAAAAAAAAAEAIAAAAAgBAABkcnMvc2hhcGV4bWwueG1sUEsFBgAAAAAGAAYAWwEAALID&#10;AAAAAA==&#10;">
                                <v:fill on="t" focussize="0,0"/>
                                <v:stroke weight="0.5pt" color="#000000" joinstyle="round"/>
                                <v:imagedata o:title=""/>
                                <o:lock v:ext="edit" aspectratio="f"/>
                                <v:textbox>
                                  <w:txbxContent>
                                    <w:p>
                                      <w:pPr>
                                        <w:rPr>
                                          <w:sz w:val="18"/>
                                          <w:szCs w:val="18"/>
                                        </w:rPr>
                                      </w:pPr>
                                      <w:r>
                                        <w:rPr>
                                          <w:rFonts w:hint="eastAsia"/>
                                          <w:sz w:val="18"/>
                                          <w:szCs w:val="18"/>
                                        </w:rPr>
                                        <w:t>装饰工程</w:t>
                                      </w:r>
                                    </w:p>
                                  </w:txbxContent>
                                </v:textbox>
                              </v:shape>
                              <v:shape id="_x0000_s1026" o:spid="_x0000_s1026" o:spt="32" type="#_x0000_t32" style="position:absolute;left:2572;top:380571;flip:y;height:566;width:0;" filled="f" stroked="t" coordsize="21600,21600" o:gfxdata="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QYUdvQAA&#10;ANwAAAAPAAAAAAAAAAEAIAAAACIAAABkcnMvZG93bnJldi54bWxQSwECFAAUAAAACACHTuJAMy8F&#10;njsAAAA5AAAAEAAAAAAAAAABACAAAAAMAQAAZHJzL3NoYXBleG1sLnhtbFBLBQYAAAAABgAGAFsB&#10;AAC2AwAAAAA=&#10;">
                                <v:fill on="f" focussize="0,0"/>
                                <v:stroke weight="1pt" color="#000000" joinstyle="miter" dashstyle="dash" endarrow="open"/>
                                <v:imagedata o:title=""/>
                                <o:lock v:ext="edit" aspectratio="f"/>
                              </v:shape>
                              <v:shape id="_x0000_s1026" o:spid="_x0000_s1026" o:spt="32" type="#_x0000_t32" style="position:absolute;left:4047;top:380595;flip:y;height:566;width:0;" filled="f" stroked="t" coordsize="21600,21600" o:gfxdata="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kxtqvQAA&#10;ANwAAAAPAAAAAAAAAAEAIAAAACIAAABkcnMvZG93bnJldi54bWxQSwECFAAUAAAACACHTuJAMy8F&#10;njsAAAA5AAAAEAAAAAAAAAABACAAAAAMAQAAZHJzL3NoYXBleG1sLnhtbFBLBQYAAAAABgAGAFsB&#10;AAC2AwAAAAA=&#10;">
                                <v:fill on="f" focussize="0,0"/>
                                <v:stroke weight="1pt" color="#000000" joinstyle="miter" dashstyle="dash" endarrow="open"/>
                                <v:imagedata o:title=""/>
                                <o:lock v:ext="edit" aspectratio="f"/>
                              </v:shape>
                              <v:shape id="_x0000_s1026" o:spid="_x0000_s1026" o:spt="32" type="#_x0000_t32" style="position:absolute;left:7146;top:380561;flip:y;height:566;width:0;" filled="f" stroked="t" coordsize="21600,21600" o:gfxdata="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377xvQAA&#10;ANwAAAAPAAAAAAAAAAEAIAAAACIAAABkcnMvZG93bnJldi54bWxQSwECFAAUAAAACACHTuJAMy8F&#10;njsAAAA5AAAAEAAAAAAAAAABACAAAAAMAQAAZHJzL3NoYXBleG1sLnhtbFBLBQYAAAAABgAGAFsB&#10;AAC2AwAAAAA=&#10;">
                                <v:fill on="f" focussize="0,0"/>
                                <v:stroke weight="1pt" color="#000000" joinstyle="miter" dashstyle="dash" endarrow="open"/>
                                <v:imagedata o:title=""/>
                                <o:lock v:ext="edit" aspectratio="f"/>
                              </v:shape>
                              <v:shape id="_x0000_s1026" o:spid="_x0000_s1026" o:spt="32" type="#_x0000_t32" style="position:absolute;left:5601;top:380569;flip:y;height:566;width:0;" filled="f" stroked="t" coordsize="21600,21600" o:gfxdata="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0Aqg7sAAADc&#10;AAAADwAAAAAAAAABACAAAAAiAAAAZHJzL2Rvd25yZXYueG1sUEsBAhQAFAAAAAgAh07iQDMvBZ47&#10;AAAAOQAAABAAAAAAAAAAAQAgAAAACgEAAGRycy9zaGFwZXhtbC54bWxQSwUGAAAAAAYABgBbAQAA&#10;tAMAAAAA&#10;">
                                <v:fill on="f" focussize="0,0"/>
                                <v:stroke weight="1pt" color="#000000" joinstyle="miter" dashstyle="dash" endarrow="open"/>
                                <v:imagedata o:title=""/>
                                <o:lock v:ext="edit" aspectratio="f"/>
                              </v:shape>
                              <v:shape id="_x0000_s1026" o:spid="_x0000_s1026" o:spt="32" type="#_x0000_t32" style="position:absolute;left:3140;top:381430;height:7;width:256;" filled="f" stroked="t" coordsize="21600,21600" o:gfxdata="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uMyZS8AAAA&#10;3AAAAA8AAAAAAAAAAQAgAAAAIgAAAGRycy9kb3ducmV2LnhtbFBLAQIUABQAAAAIAIdO4kAzLwWe&#10;OwAAADkAAAAQAAAAAAAAAAEAIAAAAAsBAABkcnMvc2hhcGV4bWwueG1sUEsFBgAAAAAGAAYAWwEA&#10;ALUDAAAAAA==&#10;">
                                <v:fill on="f" focussize="0,0"/>
                                <v:stroke weight="1pt" color="#000000" joinstyle="miter" endarrow="open"/>
                                <v:imagedata o:title=""/>
                                <o:lock v:ext="edit" aspectratio="f"/>
                              </v:shape>
                              <v:shape id="_x0000_s1026" o:spid="_x0000_s1026" o:spt="32" type="#_x0000_t32" style="position:absolute;left:4730;top:381420;height:7;width:256;" filled="f" stroked="t" coordsize="21600,21600" o:gfxdata="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9v9tS5AAAA3AAA&#10;AA8AAAAAAAAAAQAgAAAAIgAAAGRycy9kb3ducmV2LnhtbFBLAQIUABQAAAAIAIdO4kAzLwWeOwAA&#10;ADkAAAAQAAAAAAAAAAEAIAAAAAgBAABkcnMvc2hhcGV4bWwueG1sUEsFBgAAAAAGAAYAWwEAALID&#10;AAAAAA==&#10;">
                                <v:fill on="f" focussize="0,0"/>
                                <v:stroke weight="1pt" color="#000000" joinstyle="miter" endarrow="open"/>
                                <v:imagedata o:title=""/>
                                <o:lock v:ext="edit" aspectratio="f"/>
                              </v:shape>
                              <v:shape id="_x0000_s1026" o:spid="_x0000_s1026" o:spt="32" type="#_x0000_t32" style="position:absolute;left:6287;top:381394;height:7;width:256;" filled="f" stroked="t" coordsize="21600,21600" o:gfxdata="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CNTT7sAAADc&#10;AAAADwAAAAAAAAABACAAAAAiAAAAZHJzL2Rvd25yZXYueG1sUEsBAhQAFAAAAAgAh07iQDMvBZ47&#10;AAAAOQAAABAAAAAAAAAAAQAgAAAACgEAAGRycy9zaGFwZXhtbC54bWxQSwUGAAAAAAYABgBbAQAA&#10;tAMAAAAA&#10;">
                                <v:fill on="f" focussize="0,0"/>
                                <v:stroke weight="1pt" color="#000000" joinstyle="miter" endarrow="open"/>
                                <v:imagedata o:title=""/>
                                <o:lock v:ext="edit" aspectratio="f"/>
                              </v:shape>
                              <v:shape id="_x0000_s1026" o:spid="_x0000_s1026" o:spt="32" type="#_x0000_t32" style="position:absolute;left:7758;top:381388;flip:y;height:9;width:374;" filled="f" stroked="t" coordsize="21600,21600" o:gfxdata="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WJU+/&#10;AAAA3AAAAA8AAAAAAAAAAQAgAAAAIgAAAGRycy9kb3ducmV2LnhtbFBLAQIUABQAAAAIAIdO4kAz&#10;LwWeOwAAADkAAAAQAAAAAAAAAAEAIAAAAA4BAABkcnMvc2hhcGV4bWwueG1sUEsFBgAAAAAGAAYA&#10;WwEAALgDAAAAAA==&#10;">
                                <v:fill on="f" focussize="0,0"/>
                                <v:stroke weight="1pt" color="#000000" joinstyle="miter" endarrow="open"/>
                                <v:imagedata o:title=""/>
                                <o:lock v:ext="edit" aspectratio="f"/>
                              </v:shape>
                              <v:shape id="_x0000_s1026" o:spid="_x0000_s1026" o:spt="32" type="#_x0000_t32" style="position:absolute;left:9400;top:381407;height:7;width:256;" filled="f" stroked="t" coordsize="21600,21600" o:gfxdata="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vWijvQAA&#10;ANwAAAAPAAAAAAAAAAEAIAAAACIAAABkcnMvZG93bnJldi54bWxQSwECFAAUAAAACACHTuJAMy8F&#10;njsAAAA5AAAAEAAAAAAAAAABACAAAAAMAQAAZHJzL3NoYXBleG1sLnhtbFBLBQYAAAAABgAGAFsB&#10;AAC2AwAAAAA=&#10;">
                                <v:fill on="f" focussize="0,0"/>
                                <v:stroke weight="1pt" color="#000000" joinstyle="miter" endarrow="open"/>
                                <v:imagedata o:title=""/>
                                <o:lock v:ext="edit" aspectratio="f"/>
                              </v:shape>
                            </v:group>
                          </v:group>
                        </v:group>
                        <v:shape id="_x0000_s1026" o:spid="_x0000_s1026" o:spt="202" type="#_x0000_t202" style="position:absolute;left:5503;top:434007;height:751;width:1350;" fillcolor="#FFFFFF" filled="t" stroked="f" coordsize="21600,21600" o:gfxdata="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PNZC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rPr>
                                    <w:sz w:val="18"/>
                                    <w:szCs w:val="18"/>
                                  </w:rPr>
                                </w:pPr>
                                <w:r>
                                  <w:rPr>
                                    <w:rFonts w:hint="eastAsia"/>
                                    <w:sz w:val="18"/>
                                    <w:szCs w:val="18"/>
                                  </w:rPr>
                                  <w:t>噪声、扬尘、</w:t>
                                </w:r>
                              </w:p>
                              <w:p>
                                <w:pPr>
                                  <w:rPr>
                                    <w:szCs w:val="21"/>
                                  </w:rPr>
                                </w:pPr>
                                <w:r>
                                  <w:rPr>
                                    <w:rFonts w:hint="eastAsia"/>
                                    <w:szCs w:val="21"/>
                                  </w:rPr>
                                  <w:t>汽车尾气</w:t>
                                </w:r>
                              </w:p>
                            </w:txbxContent>
                          </v:textbox>
                        </v:shape>
                        <v:shape id="_x0000_s1026" o:spid="_x0000_s1026" o:spt="202" type="#_x0000_t202" style="position:absolute;left:6993;top:434164;height:484;width:1524;" fillcolor="#FFFFFF" filled="t" stroked="f" coordsize="21600,21600" o:gfxdata="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XEKHitAAAANw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rPr>
                                    <w:sz w:val="18"/>
                                    <w:szCs w:val="18"/>
                                  </w:rPr>
                                </w:pPr>
                                <w:r>
                                  <w:rPr>
                                    <w:rFonts w:hint="eastAsia"/>
                                    <w:sz w:val="18"/>
                                    <w:szCs w:val="18"/>
                                  </w:rPr>
                                  <w:t>噪声、废气</w:t>
                                </w:r>
                              </w:p>
                            </w:txbxContent>
                          </v:textbox>
                        </v:shape>
                        <v:shape id="_x0000_s1026" o:spid="_x0000_s1026" o:spt="202" type="#_x0000_t202" style="position:absolute;left:8583;top:434187;height:451;width:1419;" fillcolor="#FFFFFF" filled="t" stroked="f" coordsize="21600,21600" o:gfxdata="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cBHm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rPr>
                                    <w:sz w:val="18"/>
                                    <w:szCs w:val="18"/>
                                  </w:rPr>
                                </w:pPr>
                                <w:r>
                                  <w:rPr>
                                    <w:rFonts w:hint="eastAsia"/>
                                    <w:sz w:val="18"/>
                                    <w:szCs w:val="18"/>
                                  </w:rPr>
                                  <w:t>噪声、粉尘</w:t>
                                </w:r>
                              </w:p>
                            </w:txbxContent>
                          </v:textbox>
                        </v:shape>
                        <v:shape id="_x0000_s1026" o:spid="_x0000_s1026" o:spt="32" type="#_x0000_t32" style="position:absolute;left:5487;top:436190;height:350;width:0;" filled="f" stroked="t" coordsize="21600,21600" o:gfxdata="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xP1i8AAAA&#10;3AAAAA8AAAAAAAAAAQAgAAAAIgAAAGRycy9kb3ducmV2LnhtbFBLAQIUABQAAAAIAIdO4kAzLwWe&#10;OwAAADkAAAAQAAAAAAAAAAEAIAAAAAsBAABkcnMvc2hhcGV4bWwueG1sUEsFBgAAAAAGAAYAWwEA&#10;ALUDAAAAAA==&#10;">
                          <v:fill on="f" focussize="0,0"/>
                          <v:stroke weight="0.5pt" color="#000000" joinstyle="miter" dashstyle="3 1" endarrow="open"/>
                          <v:imagedata o:title=""/>
                          <o:lock v:ext="edit" aspectratio="f"/>
                        </v:shape>
                        <v:shape id="_x0000_s1026" o:spid="_x0000_s1026" o:spt="202" type="#_x0000_t202" style="position:absolute;left:4883;top:436587;height:484;width:2262;" fillcolor="#FFFFFF" filled="t" stroked="f" coordsize="21600,21600" o:gfxdata="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Y+S6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rPr>
                                    <w:sz w:val="18"/>
                                    <w:szCs w:val="18"/>
                                  </w:rPr>
                                </w:pPr>
                                <w:r>
                                  <w:rPr>
                                    <w:rFonts w:hint="eastAsia"/>
                                    <w:sz w:val="18"/>
                                    <w:szCs w:val="18"/>
                                  </w:rPr>
                                  <w:t>施工废水、生活垃圾</w:t>
                                </w:r>
                              </w:p>
                            </w:txbxContent>
                          </v:textbox>
                        </v:shape>
                        <v:shape id="_x0000_s1026" o:spid="_x0000_s1026" o:spt="202" type="#_x0000_t202" style="position:absolute;left:7855;top:436543;height:484;width:1473;" fillcolor="#FFFFFF" filled="t" stroked="f" coordsize="21600,21600" o:gfxdata="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MWFa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sz w:val="18"/>
                                    <w:szCs w:val="18"/>
                                  </w:rPr>
                                </w:pPr>
                                <w:r>
                                  <w:rPr>
                                    <w:rFonts w:hint="eastAsia"/>
                                    <w:sz w:val="18"/>
                                    <w:szCs w:val="18"/>
                                  </w:rPr>
                                  <w:t>建筑垃圾</w:t>
                                </w:r>
                              </w:p>
                            </w:txbxContent>
                          </v:textbox>
                        </v:shape>
                        <v:shape id="_x0000_s1026" o:spid="_x0000_s1026" o:spt="32" type="#_x0000_t32" style="position:absolute;left:8410;top:436213;height:350;width:0;" filled="f" stroked="t" coordsize="21600,21600" o:gfxdata="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1inLLsAAADc&#10;AAAADwAAAAAAAAABACAAAAAiAAAAZHJzL2Rvd25yZXYueG1sUEsBAhQAFAAAAAgAh07iQDMvBZ47&#10;AAAAOQAAABAAAAAAAAAAAQAgAAAACgEAAGRycy9zaGFwZXhtbC54bWxQSwUGAAAAAAYABgBbAQAA&#10;tAMAAAAA&#10;">
                          <v:fill on="f" focussize="0,0"/>
                          <v:stroke weight="0.5pt" color="#000000" joinstyle="miter" dashstyle="3 1" endarrow="open"/>
                          <v:imagedata o:title=""/>
                          <o:lock v:ext="edit" aspectratio="f"/>
                        </v:shape>
                      </v:group>
                      <v:shape id="_x0000_s1026" o:spid="_x0000_s1026" o:spt="202" type="#_x0000_t202" style="position:absolute;left:9060;top:212360;height:1381;width:1875;" filled="f" stroked="f" coordsize="21600,21600" o:gfxdata="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8EFv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sz w:val="18"/>
                                  <w:szCs w:val="18"/>
                                </w:rPr>
                              </w:pPr>
                              <w:r>
                                <w:rPr>
                                  <w:rFonts w:hint="eastAsia"/>
                                  <w:sz w:val="18"/>
                                  <w:szCs w:val="18"/>
                                </w:rPr>
                                <w:t>噪声、油烟废气、汽车尾气、公厕、垃圾收集站废气、生活废水、生活、商业垃圾</w:t>
                              </w:r>
                            </w:p>
                            <w:p>
                              <w:pPr>
                                <w:rPr>
                                  <w:sz w:val="18"/>
                                  <w:szCs w:val="21"/>
                                </w:rPr>
                              </w:pPr>
                            </w:p>
                          </w:txbxContent>
                        </v:textbox>
                      </v:shape>
                    </v:group>
                  </w:pict>
                </mc:Fallback>
              </mc:AlternateContent>
            </w:r>
          </w:p>
          <w:p>
            <w:pPr>
              <w:spacing w:line="360" w:lineRule="auto"/>
              <w:ind w:firstLine="480" w:firstLineChars="200"/>
              <w:rPr>
                <w:sz w:val="24"/>
              </w:rPr>
            </w:pPr>
          </w:p>
          <w:p>
            <w:pPr>
              <w:spacing w:line="360" w:lineRule="auto"/>
              <w:ind w:firstLine="480" w:firstLineChars="200"/>
              <w:rPr>
                <w:sz w:val="24"/>
              </w:rPr>
            </w:pPr>
          </w:p>
          <w:p>
            <w:pPr>
              <w:pStyle w:val="2"/>
              <w:ind w:firstLine="480"/>
            </w:pPr>
            <w:r>
              <mc:AlternateContent>
                <mc:Choice Requires="wps">
                  <w:drawing>
                    <wp:anchor distT="0" distB="0" distL="114300" distR="114300" simplePos="0" relativeHeight="251659264" behindDoc="0" locked="0" layoutInCell="1" allowOverlap="1">
                      <wp:simplePos x="0" y="0"/>
                      <wp:positionH relativeFrom="column">
                        <wp:posOffset>4738370</wp:posOffset>
                      </wp:positionH>
                      <wp:positionV relativeFrom="paragraph">
                        <wp:posOffset>135255</wp:posOffset>
                      </wp:positionV>
                      <wp:extent cx="9525" cy="266700"/>
                      <wp:effectExtent l="47625" t="0" r="57150" b="0"/>
                      <wp:wrapNone/>
                      <wp:docPr id="80" name="直接箭头连接符 80"/>
                      <wp:cNvGraphicFramePr/>
                      <a:graphic xmlns:a="http://schemas.openxmlformats.org/drawingml/2006/main">
                        <a:graphicData uri="http://schemas.microsoft.com/office/word/2010/wordprocessingShape">
                          <wps:wsp>
                            <wps:cNvCnPr/>
                            <wps:spPr>
                              <a:xfrm flipH="1" flipV="1">
                                <a:off x="6151880" y="5111750"/>
                                <a:ext cx="9525" cy="266700"/>
                              </a:xfrm>
                              <a:prstGeom prst="straightConnector1">
                                <a:avLst/>
                              </a:prstGeom>
                              <a:noFill/>
                              <a:ln w="12700" cap="flat" cmpd="sng" algn="ctr">
                                <a:solidFill>
                                  <a:srgbClr val="000000"/>
                                </a:solidFill>
                                <a:prstDash val="dash"/>
                                <a:miter lim="800000"/>
                                <a:tailEnd type="arrow"/>
                              </a:ln>
                              <a:effectLst/>
                            </wps:spPr>
                            <wps:bodyPr/>
                          </wps:wsp>
                        </a:graphicData>
                      </a:graphic>
                    </wp:anchor>
                  </w:drawing>
                </mc:Choice>
                <mc:Fallback>
                  <w:pict>
                    <v:shape id="_x0000_s1026" o:spid="_x0000_s1026" o:spt="32" type="#_x0000_t32" style="position:absolute;left:0pt;flip:x y;margin-left:373.1pt;margin-top:10.65pt;height:21pt;width:0.75pt;z-index:251659264;mso-width-relative:page;mso-height-relative:page;" filled="f" stroked="t" coordsize="21600,21600" o:gfxdata="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zTqJH&#10;1gAAAAkBAAAPAAAAAAAAAAEAIAAAACIAAABkcnMvZG93bnJldi54bWxQSwECFAAUAAAACACHTuJA&#10;IR8HPCMCAAAQBAAADgAAAAAAAAABACAAAAAlAQAAZHJzL2Uyb0RvYy54bWxQSwUGAAAAAAYABgBZ&#10;AQAAugUAAAAA&#10;">
                      <v:fill on="f" focussize="0,0"/>
                      <v:stroke weight="1pt" color="#000000" miterlimit="8" joinstyle="miter" dashstyle="dash" endarrow="open"/>
                      <v:imagedata o:title=""/>
                      <o:lock v:ext="edit" aspectratio="f"/>
                    </v:shape>
                  </w:pict>
                </mc:Fallback>
              </mc:AlternateContent>
            </w: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pStyle w:val="2"/>
              <w:ind w:firstLine="480"/>
            </w:pPr>
          </w:p>
          <w:p>
            <w:pPr>
              <w:pStyle w:val="23"/>
            </w:pPr>
          </w:p>
          <w:p>
            <w:pPr>
              <w:pStyle w:val="2"/>
              <w:ind w:firstLine="0" w:firstLineChars="0"/>
              <w:jc w:val="center"/>
              <w:rPr>
                <w:b/>
                <w:bCs/>
                <w:sz w:val="21"/>
                <w:szCs w:val="21"/>
              </w:rPr>
            </w:pPr>
            <w:r>
              <w:rPr>
                <w:rFonts w:hint="eastAsia"/>
                <w:b/>
                <w:bCs/>
                <w:sz w:val="21"/>
                <w:szCs w:val="21"/>
              </w:rPr>
              <w:t>图2-1 项目工艺流程及产污节点图</w:t>
            </w:r>
          </w:p>
          <w:p>
            <w:pPr>
              <w:spacing w:line="360" w:lineRule="auto"/>
              <w:ind w:firstLine="480"/>
              <w:rPr>
                <w:b/>
                <w:sz w:val="24"/>
              </w:rPr>
            </w:pPr>
            <w:r>
              <w:rPr>
                <w:rFonts w:hint="eastAsia"/>
                <w:b/>
                <w:sz w:val="24"/>
              </w:rPr>
              <w:t>1、施工组织</w:t>
            </w:r>
          </w:p>
          <w:p>
            <w:pPr>
              <w:spacing w:line="360" w:lineRule="auto"/>
              <w:ind w:firstLine="480"/>
              <w:rPr>
                <w:sz w:val="24"/>
              </w:rPr>
            </w:pPr>
            <w:r>
              <w:rPr>
                <w:rFonts w:hint="eastAsia"/>
                <w:sz w:val="24"/>
              </w:rPr>
              <w:t>工程进度安排依据本项目分项工程的特点，以及项目沿线的自然条件如雨季、冬季、洪涝期、干旱等因素，综合考虑，统筹兼顾。</w:t>
            </w:r>
          </w:p>
          <w:p>
            <w:pPr>
              <w:spacing w:line="360" w:lineRule="auto"/>
              <w:ind w:firstLine="480"/>
              <w:rPr>
                <w:sz w:val="24"/>
              </w:rPr>
            </w:pPr>
            <w:r>
              <w:rPr>
                <w:rFonts w:hint="eastAsia"/>
                <w:sz w:val="24"/>
              </w:rPr>
              <w:t>（1）施工机构</w:t>
            </w:r>
          </w:p>
          <w:p>
            <w:pPr>
              <w:spacing w:line="360" w:lineRule="auto"/>
              <w:ind w:firstLine="480"/>
              <w:rPr>
                <w:sz w:val="24"/>
              </w:rPr>
            </w:pPr>
            <w:r>
              <w:rPr>
                <w:rFonts w:hint="eastAsia"/>
                <w:sz w:val="24"/>
              </w:rPr>
              <w:t>成立专门的工程建设指挥部及专职的监理部门，对工程质量进行旁站监督、计量与支付，确保工程质量和工期。</w:t>
            </w:r>
          </w:p>
          <w:p>
            <w:pPr>
              <w:spacing w:line="360" w:lineRule="auto"/>
              <w:ind w:firstLine="480"/>
              <w:rPr>
                <w:sz w:val="24"/>
              </w:rPr>
            </w:pPr>
            <w:r>
              <w:rPr>
                <w:rFonts w:hint="eastAsia"/>
                <w:sz w:val="24"/>
              </w:rPr>
              <w:t>（2）施工组织安排</w:t>
            </w:r>
          </w:p>
          <w:p>
            <w:pPr>
              <w:spacing w:line="360" w:lineRule="auto"/>
              <w:ind w:firstLine="480"/>
              <w:rPr>
                <w:sz w:val="24"/>
              </w:rPr>
            </w:pPr>
            <w:r>
              <w:rPr>
                <w:rFonts w:hint="eastAsia"/>
                <w:sz w:val="24"/>
              </w:rPr>
              <w:t>本项目建设本着公开、公平的市场竞争原则，采取招标的方式选择有资质、资信好、有实力、经验丰富的设计单位、监理单位、施工单位等签订工程承包合同。严格履行合同，并加强合同管理，确保工程质量，控制项目投资和工程实施进度。招标的范围有设计、施工、监理以及水泥、钢材等大宗设备材料的采购，采取委托招标的组织形式，选择有资质、信誉好的招标代理机构进行招标。</w:t>
            </w:r>
          </w:p>
          <w:p>
            <w:pPr>
              <w:spacing w:line="360" w:lineRule="auto"/>
              <w:ind w:firstLine="480"/>
              <w:rPr>
                <w:sz w:val="24"/>
              </w:rPr>
            </w:pPr>
            <w:r>
              <w:rPr>
                <w:rFonts w:hint="eastAsia"/>
                <w:sz w:val="24"/>
              </w:rPr>
              <w:t>（3）施工组织实施的原则</w:t>
            </w:r>
          </w:p>
          <w:p>
            <w:pPr>
              <w:spacing w:line="360" w:lineRule="auto"/>
              <w:ind w:firstLine="480"/>
              <w:rPr>
                <w:sz w:val="24"/>
              </w:rPr>
            </w:pPr>
            <w:r>
              <w:rPr>
                <w:rFonts w:hint="eastAsia"/>
                <w:sz w:val="24"/>
              </w:rPr>
              <w:t>工程施工期间，要确保施工现场有条不紊、文明施工。要以系统、合理、可行为原则，加强现场管理，组织科学文明施工。结合施工现场周边的具体情况，应严格控制施工噪声、施工灰尘对周边环境的影响，对出入施工现场的人员要制定相应的管理制度作为基本行为准则，以保证施工现场人员的管理得到有效的控制。</w:t>
            </w:r>
          </w:p>
          <w:p>
            <w:pPr>
              <w:spacing w:line="360" w:lineRule="auto"/>
              <w:ind w:firstLine="480"/>
              <w:rPr>
                <w:b/>
                <w:sz w:val="24"/>
              </w:rPr>
            </w:pPr>
            <w:r>
              <w:rPr>
                <w:b/>
                <w:sz w:val="24"/>
              </w:rPr>
              <w:t>2</w:t>
            </w:r>
            <w:r>
              <w:rPr>
                <w:rFonts w:hint="eastAsia"/>
                <w:b/>
                <w:sz w:val="24"/>
              </w:rPr>
              <w:t>、</w:t>
            </w:r>
            <w:r>
              <w:rPr>
                <w:b/>
                <w:sz w:val="24"/>
              </w:rPr>
              <w:t>施工工艺</w:t>
            </w:r>
          </w:p>
          <w:p>
            <w:pPr>
              <w:spacing w:line="360" w:lineRule="auto"/>
              <w:ind w:firstLine="480"/>
              <w:rPr>
                <w:sz w:val="24"/>
              </w:rPr>
            </w:pPr>
            <w:r>
              <w:rPr>
                <w:rFonts w:hint="eastAsia"/>
                <w:sz w:val="24"/>
              </w:rPr>
              <w:t>本项目施工主要包括城市建设产生的一般土石方挖填、基础施工、道路施工、管网敷设工程、绿化施工等设计。</w:t>
            </w:r>
          </w:p>
          <w:p>
            <w:pPr>
              <w:spacing w:line="360" w:lineRule="auto"/>
              <w:ind w:firstLine="480"/>
              <w:rPr>
                <w:b/>
                <w:sz w:val="24"/>
              </w:rPr>
            </w:pPr>
            <w:r>
              <w:rPr>
                <w:rFonts w:hint="eastAsia"/>
                <w:b/>
                <w:sz w:val="24"/>
              </w:rPr>
              <w:t>3、</w:t>
            </w:r>
            <w:r>
              <w:rPr>
                <w:b/>
                <w:sz w:val="24"/>
              </w:rPr>
              <w:t>施工条件</w:t>
            </w:r>
          </w:p>
          <w:p>
            <w:pPr>
              <w:spacing w:line="360" w:lineRule="auto"/>
              <w:ind w:firstLine="480"/>
              <w:rPr>
                <w:sz w:val="24"/>
              </w:rPr>
            </w:pPr>
            <w:r>
              <w:rPr>
                <w:rFonts w:hint="eastAsia" w:ascii="宋体" w:hAnsi="宋体" w:cs="宋体"/>
                <w:sz w:val="24"/>
              </w:rPr>
              <w:t>①</w:t>
            </w:r>
            <w:r>
              <w:rPr>
                <w:sz w:val="24"/>
              </w:rPr>
              <w:t>施工用水</w:t>
            </w:r>
          </w:p>
          <w:p>
            <w:pPr>
              <w:spacing w:line="360" w:lineRule="auto"/>
              <w:ind w:firstLine="480"/>
              <w:rPr>
                <w:sz w:val="24"/>
              </w:rPr>
            </w:pPr>
            <w:r>
              <w:rPr>
                <w:sz w:val="24"/>
              </w:rPr>
              <w:t>本项目施工期用水直接由</w:t>
            </w:r>
            <w:r>
              <w:rPr>
                <w:rFonts w:hint="eastAsia"/>
                <w:sz w:val="24"/>
              </w:rPr>
              <w:t>地块</w:t>
            </w:r>
            <w:r>
              <w:rPr>
                <w:sz w:val="24"/>
              </w:rPr>
              <w:t>周边市政自来水管网提供，施工用水包括砂浆拌合、基础养护、生活用水等，可满足施工期用水需求。</w:t>
            </w:r>
          </w:p>
          <w:p>
            <w:pPr>
              <w:spacing w:line="360" w:lineRule="auto"/>
              <w:ind w:firstLine="480"/>
              <w:rPr>
                <w:sz w:val="24"/>
              </w:rPr>
            </w:pPr>
            <w:r>
              <w:rPr>
                <w:rFonts w:hint="eastAsia"/>
                <w:sz w:val="24"/>
              </w:rPr>
              <w:t>②施工用电</w:t>
            </w:r>
          </w:p>
          <w:p>
            <w:pPr>
              <w:spacing w:line="360" w:lineRule="auto"/>
              <w:ind w:firstLine="480"/>
              <w:rPr>
                <w:sz w:val="24"/>
              </w:rPr>
            </w:pPr>
            <w:r>
              <w:rPr>
                <w:rFonts w:hint="eastAsia"/>
                <w:sz w:val="24"/>
              </w:rPr>
              <w:t>本项目块地附近市政电力设施完善，施工期间，项目从地块东侧的得胜北路引入10kV电源，能满足项目施工用电需求。</w:t>
            </w:r>
          </w:p>
          <w:p>
            <w:pPr>
              <w:spacing w:line="360" w:lineRule="auto"/>
              <w:ind w:firstLine="480"/>
              <w:rPr>
                <w:sz w:val="24"/>
              </w:rPr>
            </w:pPr>
            <w:r>
              <w:rPr>
                <w:rFonts w:hint="eastAsia"/>
                <w:sz w:val="24"/>
              </w:rPr>
              <w:t>③施工通信</w:t>
            </w:r>
          </w:p>
          <w:p>
            <w:pPr>
              <w:spacing w:line="360" w:lineRule="auto"/>
              <w:ind w:firstLine="480"/>
              <w:rPr>
                <w:sz w:val="24"/>
              </w:rPr>
            </w:pPr>
            <w:r>
              <w:rPr>
                <w:rFonts w:hint="eastAsia"/>
                <w:sz w:val="24"/>
              </w:rPr>
              <w:t>项目区域内电信服务商有中国电信、中国移动、中国联通，其通讯网覆盖面广，宽带信息网络完善，实现了网络数字化、传输光纤化、业务信息化，能够满足通讯需要。</w:t>
            </w:r>
          </w:p>
          <w:p>
            <w:pPr>
              <w:spacing w:line="360" w:lineRule="auto"/>
              <w:ind w:firstLine="480"/>
              <w:rPr>
                <w:sz w:val="24"/>
              </w:rPr>
            </w:pPr>
            <w:r>
              <w:rPr>
                <w:rFonts w:hint="eastAsia"/>
                <w:sz w:val="24"/>
              </w:rPr>
              <w:t>④交通条件</w:t>
            </w:r>
          </w:p>
          <w:p>
            <w:pPr>
              <w:spacing w:line="360" w:lineRule="auto"/>
              <w:ind w:firstLine="480"/>
              <w:rPr>
                <w:sz w:val="24"/>
              </w:rPr>
            </w:pPr>
            <w:r>
              <w:rPr>
                <w:rFonts w:hint="eastAsia"/>
                <w:sz w:val="24"/>
              </w:rPr>
              <w:t>本项目紧邻得胜北路、开发中路等道路，交通十分便利，能满足项目建设运输条件需求。</w:t>
            </w:r>
          </w:p>
          <w:p>
            <w:pPr>
              <w:spacing w:line="360" w:lineRule="auto"/>
              <w:ind w:firstLine="480"/>
              <w:rPr>
                <w:sz w:val="24"/>
              </w:rPr>
            </w:pPr>
            <w:r>
              <w:rPr>
                <w:rFonts w:hint="eastAsia"/>
                <w:sz w:val="24"/>
              </w:rPr>
              <w:t>⑤建筑材料供应</w:t>
            </w:r>
          </w:p>
          <w:p>
            <w:pPr>
              <w:spacing w:line="360" w:lineRule="auto"/>
              <w:ind w:firstLine="480"/>
              <w:rPr>
                <w:sz w:val="24"/>
              </w:rPr>
            </w:pPr>
            <w:r>
              <w:rPr>
                <w:rFonts w:hint="eastAsia"/>
                <w:sz w:val="24"/>
              </w:rPr>
              <w:t>本项目施工所需的水泥、砖、砂、碎石等主要建筑材料，可在岳阳内采购供应，且运输方便。工程基础及路面硬化所需混凝土从附近的混凝土搅拌站购买，能满足施工需求。</w:t>
            </w:r>
          </w:p>
          <w:p>
            <w:pPr>
              <w:spacing w:line="360" w:lineRule="auto"/>
              <w:ind w:firstLine="482" w:firstLineChars="200"/>
              <w:rPr>
                <w:b/>
                <w:bCs/>
                <w:sz w:val="24"/>
              </w:rPr>
            </w:pPr>
            <w:r>
              <w:rPr>
                <w:rFonts w:hint="eastAsia"/>
                <w:b/>
                <w:bCs/>
                <w:sz w:val="24"/>
              </w:rPr>
              <w:t>二、施工时序</w:t>
            </w:r>
          </w:p>
          <w:p>
            <w:pPr>
              <w:pStyle w:val="13"/>
              <w:adjustRightInd/>
              <w:ind w:firstLine="480" w:firstLineChars="200"/>
              <w:jc w:val="both"/>
              <w:rPr>
                <w:lang w:val="en-US"/>
              </w:rPr>
            </w:pPr>
            <w:r>
              <w:rPr>
                <w:rFonts w:hint="eastAsia"/>
                <w:sz w:val="24"/>
              </w:rPr>
              <w:t>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、03#地块主体工程已基本建成，抹灰、外墙涂料等配套工程实施中。04#地块处于土方开挖阶段。</w:t>
            </w:r>
          </w:p>
          <w:p>
            <w:pPr>
              <w:spacing w:line="360" w:lineRule="auto"/>
              <w:ind w:firstLine="482" w:firstLineChars="200"/>
              <w:rPr>
                <w:b/>
                <w:bCs/>
                <w:sz w:val="24"/>
              </w:rPr>
            </w:pPr>
            <w:r>
              <w:rPr>
                <w:rFonts w:hint="eastAsia"/>
                <w:b/>
                <w:bCs/>
                <w:sz w:val="24"/>
              </w:rPr>
              <w:t>三、建设周期</w:t>
            </w:r>
          </w:p>
          <w:p>
            <w:pPr>
              <w:pStyle w:val="2"/>
              <w:ind w:firstLine="480"/>
            </w:pPr>
            <w:r>
              <w:rPr>
                <w:rFonts w:hint="eastAsia"/>
              </w:rPr>
              <w:t>本项目施工工期为60月。</w:t>
            </w:r>
          </w:p>
          <w:p>
            <w:pPr>
              <w:pStyle w:val="13"/>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710" w:type="dxa"/>
            <w:vAlign w:val="center"/>
          </w:tcPr>
          <w:p>
            <w:pPr>
              <w:pStyle w:val="2"/>
              <w:spacing w:line="240" w:lineRule="auto"/>
              <w:ind w:firstLine="0" w:firstLineChars="0"/>
            </w:pPr>
            <w:r>
              <w:rPr>
                <w:rFonts w:hint="eastAsia"/>
              </w:rPr>
              <w:t>其他</w:t>
            </w:r>
          </w:p>
        </w:tc>
        <w:tc>
          <w:tcPr>
            <w:tcW w:w="8380" w:type="dxa"/>
            <w:vAlign w:val="center"/>
          </w:tcPr>
          <w:p>
            <w:pPr>
              <w:pStyle w:val="2"/>
              <w:ind w:firstLine="0" w:firstLineChars="0"/>
              <w:jc w:val="center"/>
            </w:pPr>
            <w:r>
              <w:rPr>
                <w:rFonts w:hint="eastAsia"/>
              </w:rPr>
              <w:t>无</w:t>
            </w:r>
          </w:p>
        </w:tc>
      </w:tr>
    </w:tbl>
    <w:p>
      <w:pPr>
        <w:pStyle w:val="15"/>
        <w:jc w:val="center"/>
        <w:outlineLvl w:val="0"/>
        <w:rPr>
          <w:rFonts w:ascii="黑体" w:hAnsi="黑体" w:eastAsia="黑体"/>
          <w:snapToGrid w:val="0"/>
          <w:sz w:val="30"/>
          <w:szCs w:val="30"/>
        </w:rPr>
      </w:pPr>
      <w:r>
        <w:rPr>
          <w:rFonts w:eastAsia="仿宋_GB2312"/>
          <w:b/>
          <w:bCs/>
        </w:rPr>
        <w:br w:type="page"/>
      </w:r>
      <w:r>
        <w:rPr>
          <w:rFonts w:hint="eastAsia" w:ascii="黑体" w:hAnsi="黑体" w:eastAsia="黑体"/>
          <w:snapToGrid w:val="0"/>
          <w:sz w:val="30"/>
          <w:szCs w:val="30"/>
        </w:rPr>
        <w:t>三、生态环境现状、保护目标及评价标准</w:t>
      </w:r>
    </w:p>
    <w:tbl>
      <w:tblPr>
        <w:tblStyle w:val="18"/>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82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904" w:type="dxa"/>
            <w:vAlign w:val="center"/>
          </w:tcPr>
          <w:p>
            <w:pPr>
              <w:adjustRightInd w:val="0"/>
              <w:snapToGrid w:val="0"/>
              <w:jc w:val="center"/>
              <w:rPr>
                <w:rFonts w:ascii="宋体" w:hAnsi="宋体" w:cs="宋体"/>
                <w:kern w:val="0"/>
                <w:sz w:val="24"/>
              </w:rPr>
            </w:pPr>
            <w:r>
              <w:rPr>
                <w:rFonts w:hint="eastAsia" w:ascii="宋体" w:hAnsi="宋体" w:cs="宋体"/>
                <w:kern w:val="0"/>
                <w:sz w:val="24"/>
              </w:rPr>
              <w:t>生态环境现状</w:t>
            </w:r>
          </w:p>
        </w:tc>
        <w:tc>
          <w:tcPr>
            <w:tcW w:w="8253" w:type="dxa"/>
            <w:vAlign w:val="center"/>
          </w:tcPr>
          <w:p>
            <w:pPr>
              <w:spacing w:line="360" w:lineRule="auto"/>
              <w:ind w:firstLine="482" w:firstLineChars="200"/>
              <w:rPr>
                <w:b/>
                <w:sz w:val="24"/>
              </w:rPr>
            </w:pPr>
            <w:r>
              <w:rPr>
                <w:b/>
                <w:sz w:val="24"/>
              </w:rPr>
              <w:t>一、大气环境现状调查与评价</w:t>
            </w:r>
          </w:p>
          <w:p>
            <w:pPr>
              <w:pStyle w:val="2"/>
              <w:ind w:firstLine="480"/>
            </w:pPr>
            <w:r>
              <w:rPr>
                <w:rFonts w:hint="eastAsia"/>
              </w:rPr>
              <w:t>本项目的环境空气质量现状评价引用距项目5.16 km2020年</w:t>
            </w:r>
            <w:r>
              <w:rPr>
                <w:szCs w:val="22"/>
              </w:rPr>
              <w:t>岳阳市南湖新区常规自动在线监测点位</w:t>
            </w:r>
            <w:r>
              <w:rPr>
                <w:rFonts w:hint="eastAsia"/>
              </w:rPr>
              <w:t>数据，监测点位见附图3，监测数据见表3-1。项目区域</w:t>
            </w:r>
            <w:r>
              <w:t>属于环境空气质量二类区，执行《环境空气质量标准》（GB3095-2012）中的二级标准要求。</w:t>
            </w:r>
          </w:p>
          <w:p>
            <w:pPr>
              <w:autoSpaceDE w:val="0"/>
              <w:autoSpaceDN w:val="0"/>
              <w:adjustRightInd w:val="0"/>
              <w:jc w:val="center"/>
              <w:rPr>
                <w:b/>
                <w:kern w:val="0"/>
              </w:rPr>
            </w:pPr>
            <w:r>
              <w:rPr>
                <w:b/>
                <w:kern w:val="0"/>
              </w:rPr>
              <w:t>表3-1  区域空气质量现状评价表</w:t>
            </w:r>
          </w:p>
          <w:tbl>
            <w:tblPr>
              <w:tblStyle w:val="18"/>
              <w:tblW w:w="8024"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3206"/>
              <w:gridCol w:w="1338"/>
              <w:gridCol w:w="936"/>
              <w:gridCol w:w="931"/>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66" w:type="dxa"/>
                  <w:vMerge w:val="restart"/>
                  <w:vAlign w:val="center"/>
                </w:tcPr>
                <w:p>
                  <w:pPr>
                    <w:jc w:val="center"/>
                    <w:rPr>
                      <w:b/>
                      <w:szCs w:val="21"/>
                    </w:rPr>
                  </w:pPr>
                  <w:r>
                    <w:rPr>
                      <w:b/>
                      <w:szCs w:val="21"/>
                    </w:rPr>
                    <w:t>污染物</w:t>
                  </w:r>
                </w:p>
              </w:tc>
              <w:tc>
                <w:tcPr>
                  <w:tcW w:w="3206" w:type="dxa"/>
                  <w:vMerge w:val="restart"/>
                  <w:vAlign w:val="center"/>
                </w:tcPr>
                <w:p>
                  <w:pPr>
                    <w:jc w:val="center"/>
                    <w:rPr>
                      <w:b/>
                      <w:szCs w:val="21"/>
                    </w:rPr>
                  </w:pPr>
                  <w:r>
                    <w:rPr>
                      <w:b/>
                      <w:szCs w:val="21"/>
                    </w:rPr>
                    <w:t>年评价指标</w:t>
                  </w:r>
                </w:p>
              </w:tc>
              <w:tc>
                <w:tcPr>
                  <w:tcW w:w="1338" w:type="dxa"/>
                  <w:vMerge w:val="restart"/>
                  <w:vAlign w:val="center"/>
                </w:tcPr>
                <w:p>
                  <w:pPr>
                    <w:jc w:val="center"/>
                    <w:rPr>
                      <w:b/>
                      <w:szCs w:val="21"/>
                    </w:rPr>
                  </w:pPr>
                  <w:r>
                    <w:rPr>
                      <w:b/>
                      <w:szCs w:val="21"/>
                    </w:rPr>
                    <w:t>现状浓度ug/m</w:t>
                  </w:r>
                  <w:r>
                    <w:rPr>
                      <w:b/>
                      <w:szCs w:val="21"/>
                      <w:vertAlign w:val="superscript"/>
                    </w:rPr>
                    <w:t>3</w:t>
                  </w:r>
                </w:p>
              </w:tc>
              <w:tc>
                <w:tcPr>
                  <w:tcW w:w="936" w:type="dxa"/>
                  <w:vMerge w:val="restart"/>
                  <w:vAlign w:val="center"/>
                </w:tcPr>
                <w:p>
                  <w:pPr>
                    <w:jc w:val="center"/>
                    <w:rPr>
                      <w:b/>
                      <w:szCs w:val="21"/>
                    </w:rPr>
                  </w:pPr>
                  <w:r>
                    <w:rPr>
                      <w:b/>
                      <w:szCs w:val="21"/>
                    </w:rPr>
                    <w:t>标准值ug/m</w:t>
                  </w:r>
                  <w:r>
                    <w:rPr>
                      <w:b/>
                      <w:szCs w:val="21"/>
                      <w:vertAlign w:val="superscript"/>
                    </w:rPr>
                    <w:t>3</w:t>
                  </w:r>
                </w:p>
              </w:tc>
              <w:tc>
                <w:tcPr>
                  <w:tcW w:w="931" w:type="dxa"/>
                  <w:vMerge w:val="restart"/>
                  <w:vAlign w:val="center"/>
                </w:tcPr>
                <w:p>
                  <w:pPr>
                    <w:jc w:val="center"/>
                    <w:rPr>
                      <w:b/>
                      <w:szCs w:val="21"/>
                    </w:rPr>
                  </w:pPr>
                  <w:r>
                    <w:rPr>
                      <w:b/>
                      <w:szCs w:val="21"/>
                    </w:rPr>
                    <w:t>占标率%</w:t>
                  </w:r>
                </w:p>
              </w:tc>
              <w:tc>
                <w:tcPr>
                  <w:tcW w:w="847" w:type="dxa"/>
                  <w:vMerge w:val="restart"/>
                  <w:vAlign w:val="center"/>
                </w:tcPr>
                <w:p>
                  <w:pPr>
                    <w:jc w:val="center"/>
                    <w:rPr>
                      <w:b/>
                      <w:szCs w:val="21"/>
                    </w:rPr>
                  </w:pPr>
                  <w:r>
                    <w:rPr>
                      <w:b/>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66" w:type="dxa"/>
                  <w:vMerge w:val="continue"/>
                  <w:vAlign w:val="center"/>
                </w:tcPr>
                <w:p>
                  <w:pPr>
                    <w:jc w:val="center"/>
                    <w:rPr>
                      <w:szCs w:val="21"/>
                    </w:rPr>
                  </w:pPr>
                </w:p>
              </w:tc>
              <w:tc>
                <w:tcPr>
                  <w:tcW w:w="3206" w:type="dxa"/>
                  <w:vMerge w:val="continue"/>
                  <w:vAlign w:val="center"/>
                </w:tcPr>
                <w:p>
                  <w:pPr>
                    <w:jc w:val="center"/>
                    <w:rPr>
                      <w:szCs w:val="21"/>
                    </w:rPr>
                  </w:pPr>
                </w:p>
              </w:tc>
              <w:tc>
                <w:tcPr>
                  <w:tcW w:w="1338" w:type="dxa"/>
                  <w:vMerge w:val="continue"/>
                  <w:vAlign w:val="center"/>
                </w:tcPr>
                <w:p>
                  <w:pPr>
                    <w:jc w:val="center"/>
                    <w:rPr>
                      <w:szCs w:val="21"/>
                    </w:rPr>
                  </w:pPr>
                </w:p>
              </w:tc>
              <w:tc>
                <w:tcPr>
                  <w:tcW w:w="936" w:type="dxa"/>
                  <w:vMerge w:val="continue"/>
                  <w:vAlign w:val="center"/>
                </w:tcPr>
                <w:p>
                  <w:pPr>
                    <w:jc w:val="center"/>
                    <w:rPr>
                      <w:szCs w:val="21"/>
                    </w:rPr>
                  </w:pPr>
                </w:p>
              </w:tc>
              <w:tc>
                <w:tcPr>
                  <w:tcW w:w="931" w:type="dxa"/>
                  <w:vMerge w:val="continue"/>
                  <w:vAlign w:val="center"/>
                </w:tcPr>
                <w:p>
                  <w:pPr>
                    <w:jc w:val="center"/>
                    <w:rPr>
                      <w:szCs w:val="21"/>
                    </w:rPr>
                  </w:pPr>
                </w:p>
              </w:tc>
              <w:tc>
                <w:tcPr>
                  <w:tcW w:w="847"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szCs w:val="21"/>
                    </w:rPr>
                  </w:pPr>
                  <w:r>
                    <w:rPr>
                      <w:bCs/>
                      <w:szCs w:val="21"/>
                    </w:rPr>
                    <w:t>SO</w:t>
                  </w:r>
                  <w:r>
                    <w:rPr>
                      <w:bCs/>
                      <w:szCs w:val="21"/>
                      <w:vertAlign w:val="subscript"/>
                    </w:rPr>
                    <w:t>2</w:t>
                  </w:r>
                </w:p>
              </w:tc>
              <w:tc>
                <w:tcPr>
                  <w:tcW w:w="3206" w:type="dxa"/>
                  <w:vAlign w:val="center"/>
                </w:tcPr>
                <w:p>
                  <w:pPr>
                    <w:jc w:val="center"/>
                    <w:rPr>
                      <w:szCs w:val="21"/>
                    </w:rPr>
                  </w:pPr>
                  <w:r>
                    <w:rPr>
                      <w:szCs w:val="21"/>
                    </w:rPr>
                    <w:t>年平均质量浓度</w:t>
                  </w:r>
                </w:p>
              </w:tc>
              <w:tc>
                <w:tcPr>
                  <w:tcW w:w="1338" w:type="dxa"/>
                  <w:vAlign w:val="center"/>
                </w:tcPr>
                <w:p>
                  <w:pPr>
                    <w:jc w:val="center"/>
                    <w:rPr>
                      <w:szCs w:val="21"/>
                    </w:rPr>
                  </w:pPr>
                  <w:r>
                    <w:rPr>
                      <w:rFonts w:hint="eastAsia"/>
                      <w:szCs w:val="21"/>
                    </w:rPr>
                    <w:t>9</w:t>
                  </w:r>
                </w:p>
              </w:tc>
              <w:tc>
                <w:tcPr>
                  <w:tcW w:w="936" w:type="dxa"/>
                  <w:vAlign w:val="center"/>
                </w:tcPr>
                <w:p>
                  <w:pPr>
                    <w:jc w:val="center"/>
                    <w:rPr>
                      <w:szCs w:val="21"/>
                    </w:rPr>
                  </w:pPr>
                  <w:r>
                    <w:rPr>
                      <w:szCs w:val="21"/>
                    </w:rPr>
                    <w:t>60</w:t>
                  </w:r>
                </w:p>
              </w:tc>
              <w:tc>
                <w:tcPr>
                  <w:tcW w:w="931" w:type="dxa"/>
                  <w:vAlign w:val="center"/>
                </w:tcPr>
                <w:p>
                  <w:pPr>
                    <w:widowControl/>
                    <w:jc w:val="center"/>
                    <w:textAlignment w:val="bottom"/>
                    <w:rPr>
                      <w:szCs w:val="21"/>
                    </w:rPr>
                  </w:pPr>
                  <w:r>
                    <w:rPr>
                      <w:rFonts w:hint="eastAsia"/>
                      <w:szCs w:val="21"/>
                    </w:rPr>
                    <w:t>15%</w:t>
                  </w:r>
                </w:p>
              </w:tc>
              <w:tc>
                <w:tcPr>
                  <w:tcW w:w="847" w:type="dxa"/>
                  <w:vAlign w:val="center"/>
                </w:tcPr>
                <w:p>
                  <w:pPr>
                    <w:jc w:val="center"/>
                    <w:rPr>
                      <w:szCs w:val="21"/>
                    </w:rPr>
                  </w:pPr>
                  <w:r>
                    <w:rPr>
                      <w:bCs/>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szCs w:val="21"/>
                    </w:rPr>
                  </w:pPr>
                  <w:r>
                    <w:rPr>
                      <w:bCs/>
                      <w:szCs w:val="21"/>
                    </w:rPr>
                    <w:t>NO</w:t>
                  </w:r>
                  <w:r>
                    <w:rPr>
                      <w:bCs/>
                      <w:szCs w:val="21"/>
                      <w:vertAlign w:val="subscript"/>
                    </w:rPr>
                    <w:t>2</w:t>
                  </w:r>
                </w:p>
              </w:tc>
              <w:tc>
                <w:tcPr>
                  <w:tcW w:w="3206" w:type="dxa"/>
                  <w:vAlign w:val="center"/>
                </w:tcPr>
                <w:p>
                  <w:pPr>
                    <w:jc w:val="center"/>
                    <w:rPr>
                      <w:szCs w:val="21"/>
                    </w:rPr>
                  </w:pPr>
                  <w:r>
                    <w:rPr>
                      <w:szCs w:val="21"/>
                    </w:rPr>
                    <w:t>年平均质量浓度</w:t>
                  </w:r>
                </w:p>
              </w:tc>
              <w:tc>
                <w:tcPr>
                  <w:tcW w:w="1338" w:type="dxa"/>
                  <w:vAlign w:val="center"/>
                </w:tcPr>
                <w:p>
                  <w:pPr>
                    <w:jc w:val="center"/>
                    <w:rPr>
                      <w:szCs w:val="21"/>
                    </w:rPr>
                  </w:pPr>
                  <w:r>
                    <w:rPr>
                      <w:rFonts w:hint="eastAsia"/>
                      <w:szCs w:val="21"/>
                    </w:rPr>
                    <w:t>27</w:t>
                  </w:r>
                </w:p>
              </w:tc>
              <w:tc>
                <w:tcPr>
                  <w:tcW w:w="936" w:type="dxa"/>
                  <w:vAlign w:val="center"/>
                </w:tcPr>
                <w:p>
                  <w:pPr>
                    <w:jc w:val="center"/>
                    <w:rPr>
                      <w:szCs w:val="21"/>
                    </w:rPr>
                  </w:pPr>
                  <w:r>
                    <w:rPr>
                      <w:szCs w:val="21"/>
                    </w:rPr>
                    <w:t>40</w:t>
                  </w:r>
                </w:p>
              </w:tc>
              <w:tc>
                <w:tcPr>
                  <w:tcW w:w="931" w:type="dxa"/>
                  <w:vAlign w:val="center"/>
                </w:tcPr>
                <w:p>
                  <w:pPr>
                    <w:widowControl/>
                    <w:jc w:val="center"/>
                    <w:textAlignment w:val="bottom"/>
                    <w:rPr>
                      <w:szCs w:val="21"/>
                    </w:rPr>
                  </w:pPr>
                  <w:r>
                    <w:rPr>
                      <w:rFonts w:hint="eastAsia"/>
                      <w:szCs w:val="21"/>
                    </w:rPr>
                    <w:t>67.5%</w:t>
                  </w:r>
                </w:p>
              </w:tc>
              <w:tc>
                <w:tcPr>
                  <w:tcW w:w="847" w:type="dxa"/>
                  <w:vAlign w:val="center"/>
                </w:tcPr>
                <w:p>
                  <w:pPr>
                    <w:jc w:val="center"/>
                    <w:rPr>
                      <w:szCs w:val="21"/>
                    </w:rPr>
                  </w:pPr>
                  <w:r>
                    <w:rPr>
                      <w:bCs/>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szCs w:val="21"/>
                    </w:rPr>
                  </w:pPr>
                  <w:r>
                    <w:rPr>
                      <w:bCs/>
                      <w:szCs w:val="21"/>
                    </w:rPr>
                    <w:t>PM</w:t>
                  </w:r>
                  <w:r>
                    <w:rPr>
                      <w:bCs/>
                      <w:szCs w:val="21"/>
                      <w:vertAlign w:val="subscript"/>
                    </w:rPr>
                    <w:t>10</w:t>
                  </w:r>
                </w:p>
              </w:tc>
              <w:tc>
                <w:tcPr>
                  <w:tcW w:w="3206" w:type="dxa"/>
                  <w:vAlign w:val="center"/>
                </w:tcPr>
                <w:p>
                  <w:pPr>
                    <w:jc w:val="center"/>
                    <w:rPr>
                      <w:szCs w:val="21"/>
                    </w:rPr>
                  </w:pPr>
                  <w:r>
                    <w:rPr>
                      <w:szCs w:val="21"/>
                    </w:rPr>
                    <w:t>年平均质量浓度</w:t>
                  </w:r>
                </w:p>
              </w:tc>
              <w:tc>
                <w:tcPr>
                  <w:tcW w:w="1338" w:type="dxa"/>
                  <w:vAlign w:val="center"/>
                </w:tcPr>
                <w:p>
                  <w:pPr>
                    <w:jc w:val="center"/>
                    <w:rPr>
                      <w:szCs w:val="21"/>
                    </w:rPr>
                  </w:pPr>
                  <w:r>
                    <w:rPr>
                      <w:rFonts w:hint="eastAsia"/>
                      <w:szCs w:val="21"/>
                    </w:rPr>
                    <w:t>57</w:t>
                  </w:r>
                </w:p>
              </w:tc>
              <w:tc>
                <w:tcPr>
                  <w:tcW w:w="936" w:type="dxa"/>
                  <w:vAlign w:val="center"/>
                </w:tcPr>
                <w:p>
                  <w:pPr>
                    <w:jc w:val="center"/>
                    <w:rPr>
                      <w:szCs w:val="21"/>
                    </w:rPr>
                  </w:pPr>
                  <w:r>
                    <w:rPr>
                      <w:szCs w:val="21"/>
                    </w:rPr>
                    <w:t>70</w:t>
                  </w:r>
                </w:p>
              </w:tc>
              <w:tc>
                <w:tcPr>
                  <w:tcW w:w="931" w:type="dxa"/>
                  <w:vAlign w:val="center"/>
                </w:tcPr>
                <w:p>
                  <w:pPr>
                    <w:widowControl/>
                    <w:jc w:val="center"/>
                    <w:textAlignment w:val="bottom"/>
                    <w:rPr>
                      <w:szCs w:val="21"/>
                    </w:rPr>
                  </w:pPr>
                  <w:r>
                    <w:rPr>
                      <w:rFonts w:hint="eastAsia"/>
                      <w:szCs w:val="21"/>
                    </w:rPr>
                    <w:t>81.4%</w:t>
                  </w:r>
                </w:p>
              </w:tc>
              <w:tc>
                <w:tcPr>
                  <w:tcW w:w="847" w:type="dxa"/>
                  <w:vAlign w:val="center"/>
                </w:tcPr>
                <w:p>
                  <w:pPr>
                    <w:jc w:val="center"/>
                    <w:rPr>
                      <w:szCs w:val="21"/>
                    </w:rP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bCs/>
                      <w:szCs w:val="21"/>
                    </w:rPr>
                  </w:pPr>
                  <w:r>
                    <w:rPr>
                      <w:bCs/>
                      <w:szCs w:val="21"/>
                    </w:rPr>
                    <w:t>CO</w:t>
                  </w:r>
                </w:p>
              </w:tc>
              <w:tc>
                <w:tcPr>
                  <w:tcW w:w="3206" w:type="dxa"/>
                  <w:vAlign w:val="center"/>
                </w:tcPr>
                <w:p>
                  <w:pPr>
                    <w:jc w:val="center"/>
                    <w:rPr>
                      <w:szCs w:val="21"/>
                    </w:rPr>
                  </w:pPr>
                  <w:r>
                    <w:rPr>
                      <w:szCs w:val="21"/>
                    </w:rPr>
                    <w:t>95百分位数日平均质量浓度</w:t>
                  </w:r>
                </w:p>
              </w:tc>
              <w:tc>
                <w:tcPr>
                  <w:tcW w:w="1338" w:type="dxa"/>
                  <w:vAlign w:val="center"/>
                </w:tcPr>
                <w:p>
                  <w:pPr>
                    <w:jc w:val="center"/>
                    <w:rPr>
                      <w:szCs w:val="21"/>
                    </w:rPr>
                  </w:pPr>
                  <w:r>
                    <w:rPr>
                      <w:rFonts w:hint="eastAsia"/>
                      <w:szCs w:val="21"/>
                    </w:rPr>
                    <w:t>1200</w:t>
                  </w:r>
                </w:p>
              </w:tc>
              <w:tc>
                <w:tcPr>
                  <w:tcW w:w="936" w:type="dxa"/>
                  <w:vAlign w:val="center"/>
                </w:tcPr>
                <w:p>
                  <w:pPr>
                    <w:jc w:val="center"/>
                    <w:rPr>
                      <w:szCs w:val="21"/>
                    </w:rPr>
                  </w:pPr>
                  <w:r>
                    <w:rPr>
                      <w:szCs w:val="21"/>
                    </w:rPr>
                    <w:t>4000</w:t>
                  </w:r>
                </w:p>
              </w:tc>
              <w:tc>
                <w:tcPr>
                  <w:tcW w:w="931" w:type="dxa"/>
                  <w:vAlign w:val="center"/>
                </w:tcPr>
                <w:p>
                  <w:pPr>
                    <w:widowControl/>
                    <w:jc w:val="center"/>
                    <w:textAlignment w:val="bottom"/>
                    <w:rPr>
                      <w:szCs w:val="21"/>
                    </w:rPr>
                  </w:pPr>
                  <w:r>
                    <w:rPr>
                      <w:rFonts w:hint="eastAsia"/>
                      <w:szCs w:val="21"/>
                    </w:rPr>
                    <w:t>30%</w:t>
                  </w:r>
                </w:p>
              </w:tc>
              <w:tc>
                <w:tcPr>
                  <w:tcW w:w="847" w:type="dxa"/>
                  <w:vAlign w:val="center"/>
                </w:tcPr>
                <w:p>
                  <w:pPr>
                    <w:jc w:val="center"/>
                    <w:rPr>
                      <w:szCs w:val="21"/>
                    </w:rPr>
                  </w:pPr>
                  <w:r>
                    <w:rPr>
                      <w:bCs/>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bCs/>
                      <w:szCs w:val="21"/>
                    </w:rPr>
                  </w:pPr>
                  <w:r>
                    <w:rPr>
                      <w:bCs/>
                      <w:szCs w:val="21"/>
                    </w:rPr>
                    <w:t>O</w:t>
                  </w:r>
                  <w:r>
                    <w:rPr>
                      <w:bCs/>
                      <w:szCs w:val="21"/>
                      <w:vertAlign w:val="subscript"/>
                    </w:rPr>
                    <w:t>3</w:t>
                  </w:r>
                </w:p>
              </w:tc>
              <w:tc>
                <w:tcPr>
                  <w:tcW w:w="3206" w:type="dxa"/>
                  <w:vAlign w:val="center"/>
                </w:tcPr>
                <w:p>
                  <w:pPr>
                    <w:jc w:val="center"/>
                    <w:rPr>
                      <w:szCs w:val="21"/>
                    </w:rPr>
                  </w:pPr>
                  <w:r>
                    <w:rPr>
                      <w:szCs w:val="21"/>
                    </w:rPr>
                    <w:t>90百分位数8小时平均质量浓度</w:t>
                  </w:r>
                </w:p>
              </w:tc>
              <w:tc>
                <w:tcPr>
                  <w:tcW w:w="1338" w:type="dxa"/>
                  <w:vAlign w:val="center"/>
                </w:tcPr>
                <w:p>
                  <w:pPr>
                    <w:jc w:val="center"/>
                    <w:rPr>
                      <w:szCs w:val="21"/>
                    </w:rPr>
                  </w:pPr>
                  <w:r>
                    <w:rPr>
                      <w:rFonts w:hint="eastAsia"/>
                      <w:szCs w:val="21"/>
                    </w:rPr>
                    <w:t>129</w:t>
                  </w:r>
                </w:p>
              </w:tc>
              <w:tc>
                <w:tcPr>
                  <w:tcW w:w="936" w:type="dxa"/>
                  <w:vAlign w:val="center"/>
                </w:tcPr>
                <w:p>
                  <w:pPr>
                    <w:jc w:val="center"/>
                    <w:rPr>
                      <w:szCs w:val="21"/>
                    </w:rPr>
                  </w:pPr>
                  <w:r>
                    <w:rPr>
                      <w:szCs w:val="21"/>
                    </w:rPr>
                    <w:t>160</w:t>
                  </w:r>
                </w:p>
              </w:tc>
              <w:tc>
                <w:tcPr>
                  <w:tcW w:w="931" w:type="dxa"/>
                  <w:vAlign w:val="center"/>
                </w:tcPr>
                <w:p>
                  <w:pPr>
                    <w:widowControl/>
                    <w:jc w:val="center"/>
                    <w:textAlignment w:val="bottom"/>
                    <w:rPr>
                      <w:szCs w:val="21"/>
                    </w:rPr>
                  </w:pPr>
                  <w:r>
                    <w:rPr>
                      <w:rFonts w:hint="eastAsia"/>
                      <w:szCs w:val="21"/>
                    </w:rPr>
                    <w:t>80.6%</w:t>
                  </w:r>
                </w:p>
              </w:tc>
              <w:tc>
                <w:tcPr>
                  <w:tcW w:w="847" w:type="dxa"/>
                  <w:vAlign w:val="center"/>
                </w:tcPr>
                <w:p>
                  <w:pPr>
                    <w:jc w:val="center"/>
                    <w:rPr>
                      <w:szCs w:val="21"/>
                    </w:rPr>
                  </w:pPr>
                  <w:r>
                    <w:rPr>
                      <w:bCs/>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6" w:type="dxa"/>
                  <w:vAlign w:val="center"/>
                </w:tcPr>
                <w:p>
                  <w:pPr>
                    <w:jc w:val="center"/>
                    <w:rPr>
                      <w:bCs/>
                      <w:szCs w:val="21"/>
                    </w:rPr>
                  </w:pPr>
                  <w:r>
                    <w:rPr>
                      <w:bCs/>
                      <w:szCs w:val="21"/>
                    </w:rPr>
                    <w:t>PM</w:t>
                  </w:r>
                  <w:r>
                    <w:rPr>
                      <w:bCs/>
                      <w:szCs w:val="21"/>
                      <w:vertAlign w:val="subscript"/>
                    </w:rPr>
                    <w:t>2.5</w:t>
                  </w:r>
                </w:p>
              </w:tc>
              <w:tc>
                <w:tcPr>
                  <w:tcW w:w="3206" w:type="dxa"/>
                  <w:vAlign w:val="center"/>
                </w:tcPr>
                <w:p>
                  <w:pPr>
                    <w:jc w:val="center"/>
                    <w:rPr>
                      <w:szCs w:val="21"/>
                    </w:rPr>
                  </w:pPr>
                  <w:r>
                    <w:rPr>
                      <w:szCs w:val="21"/>
                    </w:rPr>
                    <w:t>年平均质量浓度</w:t>
                  </w:r>
                </w:p>
              </w:tc>
              <w:tc>
                <w:tcPr>
                  <w:tcW w:w="1338" w:type="dxa"/>
                  <w:vAlign w:val="center"/>
                </w:tcPr>
                <w:p>
                  <w:pPr>
                    <w:jc w:val="center"/>
                    <w:rPr>
                      <w:szCs w:val="21"/>
                    </w:rPr>
                  </w:pPr>
                  <w:r>
                    <w:rPr>
                      <w:rFonts w:hint="eastAsia"/>
                      <w:szCs w:val="21"/>
                    </w:rPr>
                    <w:t>40</w:t>
                  </w:r>
                </w:p>
              </w:tc>
              <w:tc>
                <w:tcPr>
                  <w:tcW w:w="936" w:type="dxa"/>
                  <w:vAlign w:val="center"/>
                </w:tcPr>
                <w:p>
                  <w:pPr>
                    <w:jc w:val="center"/>
                    <w:rPr>
                      <w:szCs w:val="21"/>
                    </w:rPr>
                  </w:pPr>
                  <w:r>
                    <w:rPr>
                      <w:szCs w:val="21"/>
                    </w:rPr>
                    <w:t>35</w:t>
                  </w:r>
                </w:p>
              </w:tc>
              <w:tc>
                <w:tcPr>
                  <w:tcW w:w="931" w:type="dxa"/>
                  <w:vAlign w:val="center"/>
                </w:tcPr>
                <w:p>
                  <w:pPr>
                    <w:widowControl/>
                    <w:jc w:val="center"/>
                    <w:textAlignment w:val="bottom"/>
                    <w:rPr>
                      <w:szCs w:val="21"/>
                    </w:rPr>
                  </w:pPr>
                  <w:r>
                    <w:rPr>
                      <w:rFonts w:hint="eastAsia"/>
                      <w:szCs w:val="21"/>
                    </w:rPr>
                    <w:t>114.3%</w:t>
                  </w:r>
                </w:p>
              </w:tc>
              <w:tc>
                <w:tcPr>
                  <w:tcW w:w="847" w:type="dxa"/>
                  <w:vAlign w:val="center"/>
                </w:tcPr>
                <w:p>
                  <w:pPr>
                    <w:jc w:val="center"/>
                    <w:rPr>
                      <w:szCs w:val="21"/>
                    </w:rPr>
                  </w:pPr>
                  <w:r>
                    <w:rPr>
                      <w:szCs w:val="21"/>
                    </w:rPr>
                    <w:t>不达标</w:t>
                  </w:r>
                </w:p>
              </w:tc>
            </w:tr>
          </w:tbl>
          <w:p>
            <w:pPr>
              <w:pStyle w:val="2"/>
              <w:ind w:firstLine="480"/>
            </w:pPr>
            <w:r>
              <w:t>根据HJ2.2-2018中</w:t>
            </w:r>
            <w:r>
              <w:rPr>
                <w:rFonts w:hint="eastAsia"/>
              </w:rPr>
              <w:t>“</w:t>
            </w:r>
            <w:r>
              <w:t>城市环境空气质量达标情况评价指标为</w:t>
            </w:r>
            <w:r>
              <w:rPr>
                <w:kern w:val="0"/>
              </w:rPr>
              <w:t>PM</w:t>
            </w:r>
            <w:r>
              <w:rPr>
                <w:kern w:val="0"/>
                <w:vertAlign w:val="subscript"/>
              </w:rPr>
              <w:t>10</w:t>
            </w:r>
            <w:r>
              <w:rPr>
                <w:kern w:val="0"/>
              </w:rPr>
              <w:t>、PM</w:t>
            </w:r>
            <w:r>
              <w:rPr>
                <w:kern w:val="0"/>
                <w:vertAlign w:val="subscript"/>
              </w:rPr>
              <w:t>2.5</w:t>
            </w:r>
            <w:r>
              <w:rPr>
                <w:kern w:val="0"/>
              </w:rPr>
              <w:t>、SO</w:t>
            </w:r>
            <w:r>
              <w:rPr>
                <w:kern w:val="0"/>
                <w:vertAlign w:val="subscript"/>
              </w:rPr>
              <w:t>2</w:t>
            </w:r>
            <w:r>
              <w:rPr>
                <w:kern w:val="0"/>
              </w:rPr>
              <w:t>、NO</w:t>
            </w:r>
            <w:r>
              <w:rPr>
                <w:kern w:val="0"/>
                <w:vertAlign w:val="subscript"/>
              </w:rPr>
              <w:t>2</w:t>
            </w:r>
            <w:r>
              <w:rPr>
                <w:kern w:val="0"/>
              </w:rPr>
              <w:t>、CO、O</w:t>
            </w:r>
            <w:r>
              <w:rPr>
                <w:kern w:val="0"/>
                <w:vertAlign w:val="subscript"/>
              </w:rPr>
              <w:t>3</w:t>
            </w:r>
            <w:r>
              <w:rPr>
                <w:kern w:val="0"/>
              </w:rPr>
              <w:t>六</w:t>
            </w:r>
            <w:r>
              <w:t>项污染物全部达标即为城市环境空气质量达标</w:t>
            </w:r>
            <w:r>
              <w:rPr>
                <w:rFonts w:hint="eastAsia"/>
              </w:rPr>
              <w:t>”</w:t>
            </w:r>
            <w:r>
              <w:t>。根据表3-1对南湖新区监测点位全年年均值分析可知，不达标因子为PM</w:t>
            </w:r>
            <w:r>
              <w:rPr>
                <w:vertAlign w:val="subscript"/>
              </w:rPr>
              <w:t>2.5</w:t>
            </w:r>
            <w:r>
              <w:rPr>
                <w:rFonts w:hint="eastAsia"/>
              </w:rPr>
              <w:t>，</w:t>
            </w:r>
            <w:r>
              <w:t>本项目所在行政区判定为不达标区域</w:t>
            </w:r>
            <w:r>
              <w:rPr>
                <w:rStyle w:val="22"/>
                <w:rFonts w:hint="eastAsia"/>
              </w:rPr>
              <w:t>。</w:t>
            </w:r>
          </w:p>
          <w:p>
            <w:pPr>
              <w:pStyle w:val="2"/>
              <w:ind w:firstLine="480"/>
            </w:pPr>
            <w:r>
              <w:rPr>
                <w:rFonts w:hint="eastAsia"/>
              </w:rPr>
              <w:t>根据《岳阳市环境空气质量达标规划》，要求在第一阶段（2021年-2023年）实施能源结构调整、优化产业结构、强化高污染燃料禁燃区能源管理、深化扬尘污染管控、燃生物质、气、油锅炉达标排放、重点污染行业提标升级改造、开展涉VOCs重点行业综合治理、深化移动源污染治理、强化餐饮、农业面源污染治理等减排措施以实现空气质量达标，本项目不属于高耗能、高污染等工业项目，在项目后续施工建设中应需加强对粉尘排放的管理。</w:t>
            </w:r>
          </w:p>
          <w:p>
            <w:pPr>
              <w:pStyle w:val="2"/>
              <w:ind w:firstLine="482"/>
              <w:rPr>
                <w:b/>
                <w:bCs/>
              </w:rPr>
            </w:pPr>
            <w:r>
              <w:rPr>
                <w:rFonts w:hint="eastAsia"/>
                <w:b/>
                <w:bCs/>
              </w:rPr>
              <w:t>二、地表水环境现状调查与评价</w:t>
            </w:r>
          </w:p>
          <w:p>
            <w:pPr>
              <w:pStyle w:val="2"/>
              <w:ind w:firstLine="480"/>
            </w:pPr>
            <w:r>
              <w:t>项目所在区域地表水系为</w:t>
            </w:r>
            <w:r>
              <w:rPr>
                <w:rFonts w:hint="eastAsia"/>
              </w:rPr>
              <w:t>东</w:t>
            </w:r>
            <w:r>
              <w:t>侧的</w:t>
            </w:r>
            <w:r>
              <w:rPr>
                <w:rFonts w:hint="eastAsia"/>
              </w:rPr>
              <w:t>东风湖</w:t>
            </w:r>
            <w:r>
              <w:t>，</w:t>
            </w:r>
            <w:r>
              <w:rPr>
                <w:rFonts w:hint="eastAsia"/>
              </w:rPr>
              <w:t>岳阳市环境监测站在东风湖设置有例行监测点位，</w:t>
            </w:r>
            <w:r>
              <w:t>本次评价引用</w:t>
            </w:r>
            <w:r>
              <w:rPr>
                <w:rFonts w:hint="eastAsia"/>
              </w:rPr>
              <w:t>2019</w:t>
            </w:r>
            <w:r>
              <w:t>年的生态环境部门已公布的</w:t>
            </w:r>
            <w:r>
              <w:rPr>
                <w:rFonts w:hint="eastAsia"/>
              </w:rPr>
              <w:t>东风湖断面</w:t>
            </w:r>
            <w:r>
              <w:t>水环境质量监测数据。</w:t>
            </w:r>
          </w:p>
          <w:p>
            <w:pPr>
              <w:pStyle w:val="2"/>
              <w:ind w:firstLine="480"/>
            </w:pPr>
            <w:r>
              <w:rPr>
                <w:rFonts w:hint="eastAsia"/>
              </w:rPr>
              <w:t>1、监测点位</w:t>
            </w:r>
          </w:p>
          <w:p>
            <w:pPr>
              <w:pStyle w:val="2"/>
              <w:ind w:firstLine="480"/>
            </w:pPr>
            <w:r>
              <w:rPr>
                <w:rFonts w:hint="eastAsia"/>
              </w:rPr>
              <w:t>东风湖断面监测点距本项目约2.8km，具体见附图3。</w:t>
            </w:r>
          </w:p>
          <w:p>
            <w:pPr>
              <w:pStyle w:val="2"/>
              <w:ind w:firstLine="480"/>
            </w:pPr>
            <w:r>
              <w:rPr>
                <w:rFonts w:hint="eastAsia"/>
              </w:rPr>
              <w:t>2、主要监测因子</w:t>
            </w:r>
          </w:p>
          <w:p>
            <w:pPr>
              <w:pStyle w:val="2"/>
              <w:ind w:firstLine="480"/>
            </w:pPr>
            <w:r>
              <w:rPr>
                <w:rFonts w:hint="eastAsia"/>
              </w:rPr>
              <w:t>pH、COD、氨氮、TP、BOD</w:t>
            </w:r>
            <w:r>
              <w:rPr>
                <w:rFonts w:hint="eastAsia"/>
                <w:vertAlign w:val="subscript"/>
              </w:rPr>
              <w:t>5</w:t>
            </w:r>
            <w:r>
              <w:rPr>
                <w:rFonts w:hint="eastAsia"/>
              </w:rPr>
              <w:t>、LAS、挥发酚、石油类。</w:t>
            </w:r>
          </w:p>
          <w:p>
            <w:pPr>
              <w:pStyle w:val="2"/>
              <w:ind w:firstLine="480"/>
            </w:pPr>
            <w:r>
              <w:rPr>
                <w:rFonts w:hint="eastAsia"/>
              </w:rPr>
              <w:t>3、</w:t>
            </w:r>
            <w:r>
              <w:t>评价标准</w:t>
            </w:r>
          </w:p>
          <w:p>
            <w:pPr>
              <w:pStyle w:val="2"/>
              <w:ind w:firstLine="480"/>
              <w:jc w:val="left"/>
              <w:rPr>
                <w:snapToGrid w:val="0"/>
                <w:kern w:val="0"/>
                <w:u w:val="single"/>
              </w:rPr>
            </w:pPr>
            <w:r>
              <w:rPr>
                <w:rFonts w:hint="eastAsia"/>
              </w:rPr>
              <w:t>根据</w:t>
            </w:r>
            <w:r>
              <w:t>《</w:t>
            </w:r>
            <w:r>
              <w:rPr>
                <w:rFonts w:hint="eastAsia"/>
              </w:rPr>
              <w:t>岳阳市水环境功能区划分</w:t>
            </w:r>
            <w:r>
              <w:t>》</w:t>
            </w:r>
            <w:r>
              <w:rPr>
                <w:rFonts w:hint="eastAsia"/>
              </w:rPr>
              <w:t>，</w:t>
            </w:r>
            <w:r>
              <w:rPr>
                <w:rFonts w:hint="eastAsia"/>
                <w:snapToGrid w:val="0"/>
                <w:kern w:val="0"/>
              </w:rPr>
              <w:t>东风湖</w:t>
            </w:r>
            <w:r>
              <w:rPr>
                <w:snapToGrid w:val="0"/>
                <w:kern w:val="0"/>
              </w:rPr>
              <w:t>水域功能属于一般渔业用水，执行III类标准。</w:t>
            </w:r>
          </w:p>
          <w:p>
            <w:pPr>
              <w:pStyle w:val="2"/>
              <w:ind w:firstLine="480"/>
            </w:pPr>
            <w:r>
              <w:rPr>
                <w:rFonts w:hint="eastAsia"/>
              </w:rPr>
              <w:t>4、</w:t>
            </w:r>
            <w:r>
              <w:t>监测结果</w:t>
            </w:r>
          </w:p>
          <w:p>
            <w:pPr>
              <w:pStyle w:val="2"/>
              <w:ind w:firstLine="480"/>
            </w:pPr>
            <w:r>
              <w:rPr>
                <w:rFonts w:hint="eastAsia"/>
              </w:rPr>
              <w:t>东风湖断面2019</w:t>
            </w:r>
            <w:r>
              <w:t>年主要常规因子监测数据如下所示：</w:t>
            </w:r>
          </w:p>
          <w:p>
            <w:pPr>
              <w:jc w:val="center"/>
              <w:rPr>
                <w:b/>
                <w:bCs/>
                <w:szCs w:val="21"/>
                <w:lang w:bidi="en-US"/>
              </w:rPr>
            </w:pPr>
            <w:r>
              <w:rPr>
                <w:b/>
                <w:bCs/>
                <w:szCs w:val="21"/>
                <w:lang w:bidi="en-US"/>
              </w:rPr>
              <w:t>表3-2</w:t>
            </w:r>
            <w:r>
              <w:rPr>
                <w:rFonts w:hint="eastAsia"/>
                <w:b/>
                <w:bCs/>
                <w:szCs w:val="21"/>
                <w:lang w:bidi="en-US"/>
              </w:rPr>
              <w:t>东风湖断面</w:t>
            </w:r>
            <w:r>
              <w:rPr>
                <w:rFonts w:hint="eastAsia"/>
                <w:b/>
                <w:bCs/>
                <w:szCs w:val="21"/>
              </w:rPr>
              <w:t>2019</w:t>
            </w:r>
            <w:r>
              <w:rPr>
                <w:b/>
                <w:bCs/>
                <w:szCs w:val="21"/>
                <w:lang w:bidi="en-US"/>
              </w:rPr>
              <w:t>年主要常规因子监测结果评价表单位：mg/L</w:t>
            </w:r>
          </w:p>
          <w:tbl>
            <w:tblPr>
              <w:tblStyle w:val="18"/>
              <w:tblW w:w="79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428"/>
              <w:gridCol w:w="630"/>
              <w:gridCol w:w="557"/>
              <w:gridCol w:w="753"/>
              <w:gridCol w:w="922"/>
              <w:gridCol w:w="6"/>
              <w:gridCol w:w="913"/>
              <w:gridCol w:w="6"/>
              <w:gridCol w:w="827"/>
              <w:gridCol w:w="6"/>
              <w:gridCol w:w="913"/>
              <w:gridCol w:w="1092"/>
              <w:gridCol w:w="9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84" w:hRule="atLeast"/>
                <w:jc w:val="center"/>
              </w:trPr>
              <w:tc>
                <w:tcPr>
                  <w:tcW w:w="1058" w:type="dxa"/>
                  <w:gridSpan w:val="2"/>
                  <w:vAlign w:val="center"/>
                </w:tcPr>
                <w:p>
                  <w:pPr>
                    <w:widowControl/>
                    <w:spacing w:line="240" w:lineRule="exact"/>
                    <w:jc w:val="center"/>
                    <w:textAlignment w:val="center"/>
                    <w:rPr>
                      <w:bCs/>
                      <w:szCs w:val="21"/>
                    </w:rPr>
                  </w:pPr>
                  <w:r>
                    <w:rPr>
                      <w:b/>
                      <w:kern w:val="0"/>
                      <w:szCs w:val="21"/>
                    </w:rPr>
                    <w:t>指标</w:t>
                  </w:r>
                </w:p>
              </w:tc>
              <w:tc>
                <w:tcPr>
                  <w:tcW w:w="557" w:type="dxa"/>
                  <w:vAlign w:val="center"/>
                </w:tcPr>
                <w:p>
                  <w:pPr>
                    <w:widowControl/>
                    <w:spacing w:line="240" w:lineRule="exact"/>
                    <w:jc w:val="center"/>
                    <w:textAlignment w:val="center"/>
                    <w:rPr>
                      <w:b/>
                      <w:kern w:val="0"/>
                      <w:szCs w:val="21"/>
                    </w:rPr>
                  </w:pPr>
                  <w:r>
                    <w:rPr>
                      <w:b/>
                      <w:kern w:val="0"/>
                      <w:szCs w:val="21"/>
                    </w:rPr>
                    <w:t>pH</w:t>
                  </w:r>
                </w:p>
              </w:tc>
              <w:tc>
                <w:tcPr>
                  <w:tcW w:w="753" w:type="dxa"/>
                  <w:vAlign w:val="center"/>
                </w:tcPr>
                <w:p>
                  <w:pPr>
                    <w:widowControl/>
                    <w:spacing w:line="240" w:lineRule="exact"/>
                    <w:jc w:val="center"/>
                    <w:textAlignment w:val="center"/>
                    <w:rPr>
                      <w:b/>
                      <w:szCs w:val="21"/>
                    </w:rPr>
                  </w:pPr>
                  <w:r>
                    <w:rPr>
                      <w:b/>
                      <w:kern w:val="0"/>
                      <w:szCs w:val="21"/>
                    </w:rPr>
                    <w:t>COD</w:t>
                  </w:r>
                </w:p>
              </w:tc>
              <w:tc>
                <w:tcPr>
                  <w:tcW w:w="928" w:type="dxa"/>
                  <w:gridSpan w:val="2"/>
                  <w:vAlign w:val="center"/>
                </w:tcPr>
                <w:p>
                  <w:pPr>
                    <w:widowControl/>
                    <w:spacing w:line="240" w:lineRule="exact"/>
                    <w:jc w:val="center"/>
                    <w:textAlignment w:val="center"/>
                    <w:rPr>
                      <w:b/>
                      <w:szCs w:val="21"/>
                    </w:rPr>
                  </w:pPr>
                  <w:r>
                    <w:rPr>
                      <w:b/>
                      <w:kern w:val="0"/>
                      <w:szCs w:val="21"/>
                    </w:rPr>
                    <w:t>氨氮</w:t>
                  </w:r>
                </w:p>
              </w:tc>
              <w:tc>
                <w:tcPr>
                  <w:tcW w:w="919" w:type="dxa"/>
                  <w:gridSpan w:val="2"/>
                  <w:vAlign w:val="center"/>
                </w:tcPr>
                <w:p>
                  <w:pPr>
                    <w:widowControl/>
                    <w:spacing w:line="240" w:lineRule="exact"/>
                    <w:jc w:val="center"/>
                    <w:textAlignment w:val="center"/>
                    <w:rPr>
                      <w:b/>
                      <w:kern w:val="0"/>
                      <w:szCs w:val="21"/>
                    </w:rPr>
                  </w:pPr>
                  <w:r>
                    <w:rPr>
                      <w:b/>
                      <w:kern w:val="0"/>
                      <w:szCs w:val="21"/>
                    </w:rPr>
                    <w:t>TP</w:t>
                  </w:r>
                </w:p>
              </w:tc>
              <w:tc>
                <w:tcPr>
                  <w:tcW w:w="833" w:type="dxa"/>
                  <w:gridSpan w:val="2"/>
                  <w:vAlign w:val="center"/>
                </w:tcPr>
                <w:p>
                  <w:pPr>
                    <w:widowControl/>
                    <w:spacing w:line="240" w:lineRule="exact"/>
                    <w:jc w:val="center"/>
                    <w:textAlignment w:val="center"/>
                    <w:rPr>
                      <w:b/>
                      <w:kern w:val="0"/>
                      <w:szCs w:val="21"/>
                    </w:rPr>
                  </w:pPr>
                  <w:r>
                    <w:rPr>
                      <w:b/>
                      <w:kern w:val="0"/>
                      <w:szCs w:val="21"/>
                    </w:rPr>
                    <w:t>BOD</w:t>
                  </w:r>
                  <w:r>
                    <w:rPr>
                      <w:b/>
                      <w:kern w:val="0"/>
                      <w:szCs w:val="21"/>
                      <w:vertAlign w:val="subscript"/>
                    </w:rPr>
                    <w:t>5</w:t>
                  </w:r>
                </w:p>
              </w:tc>
              <w:tc>
                <w:tcPr>
                  <w:tcW w:w="913" w:type="dxa"/>
                  <w:vAlign w:val="center"/>
                </w:tcPr>
                <w:p>
                  <w:pPr>
                    <w:widowControl/>
                    <w:spacing w:line="240" w:lineRule="exact"/>
                    <w:jc w:val="center"/>
                    <w:textAlignment w:val="center"/>
                    <w:rPr>
                      <w:b/>
                      <w:kern w:val="0"/>
                      <w:szCs w:val="21"/>
                    </w:rPr>
                  </w:pPr>
                  <w:r>
                    <w:rPr>
                      <w:b/>
                      <w:kern w:val="0"/>
                      <w:szCs w:val="21"/>
                    </w:rPr>
                    <w:t>LAS</w:t>
                  </w:r>
                </w:p>
              </w:tc>
              <w:tc>
                <w:tcPr>
                  <w:tcW w:w="1092" w:type="dxa"/>
                  <w:vAlign w:val="center"/>
                </w:tcPr>
                <w:p>
                  <w:pPr>
                    <w:widowControl/>
                    <w:spacing w:line="240" w:lineRule="exact"/>
                    <w:jc w:val="center"/>
                    <w:textAlignment w:val="center"/>
                    <w:rPr>
                      <w:b/>
                      <w:bCs/>
                      <w:kern w:val="0"/>
                      <w:szCs w:val="21"/>
                    </w:rPr>
                  </w:pPr>
                  <w:r>
                    <w:rPr>
                      <w:b/>
                      <w:bCs/>
                      <w:kern w:val="0"/>
                      <w:szCs w:val="21"/>
                    </w:rPr>
                    <w:t>挥发酚</w:t>
                  </w:r>
                </w:p>
              </w:tc>
              <w:tc>
                <w:tcPr>
                  <w:tcW w:w="926" w:type="dxa"/>
                  <w:vAlign w:val="center"/>
                </w:tcPr>
                <w:p>
                  <w:pPr>
                    <w:widowControl/>
                    <w:spacing w:line="240" w:lineRule="exact"/>
                    <w:jc w:val="center"/>
                    <w:textAlignment w:val="center"/>
                    <w:rPr>
                      <w:b/>
                      <w:bCs/>
                      <w:kern w:val="0"/>
                      <w:szCs w:val="21"/>
                    </w:rPr>
                  </w:pPr>
                  <w:r>
                    <w:rPr>
                      <w:b/>
                      <w:bCs/>
                      <w:kern w:val="0"/>
                      <w:szCs w:val="21"/>
                    </w:rPr>
                    <w:t>石油类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71" w:hRule="atLeast"/>
                <w:jc w:val="center"/>
              </w:trPr>
              <w:tc>
                <w:tcPr>
                  <w:tcW w:w="428" w:type="dxa"/>
                  <w:vMerge w:val="restart"/>
                  <w:vAlign w:val="center"/>
                </w:tcPr>
                <w:p>
                  <w:pPr>
                    <w:widowControl/>
                    <w:spacing w:line="240" w:lineRule="exact"/>
                    <w:jc w:val="center"/>
                    <w:textAlignment w:val="center"/>
                    <w:rPr>
                      <w:bCs/>
                      <w:kern w:val="0"/>
                      <w:szCs w:val="21"/>
                    </w:rPr>
                  </w:pPr>
                  <w:r>
                    <w:rPr>
                      <w:bCs/>
                      <w:kern w:val="0"/>
                      <w:szCs w:val="21"/>
                    </w:rPr>
                    <w:t>2019年</w:t>
                  </w:r>
                </w:p>
              </w:tc>
              <w:tc>
                <w:tcPr>
                  <w:tcW w:w="630" w:type="dxa"/>
                  <w:vAlign w:val="center"/>
                </w:tcPr>
                <w:p>
                  <w:pPr>
                    <w:widowControl/>
                    <w:spacing w:line="240" w:lineRule="exact"/>
                    <w:jc w:val="center"/>
                    <w:textAlignment w:val="center"/>
                    <w:rPr>
                      <w:bCs/>
                      <w:kern w:val="0"/>
                      <w:szCs w:val="21"/>
                    </w:rPr>
                  </w:pPr>
                  <w:r>
                    <w:rPr>
                      <w:bCs/>
                      <w:kern w:val="0"/>
                      <w:szCs w:val="21"/>
                    </w:rPr>
                    <w:t>1月</w:t>
                  </w:r>
                </w:p>
              </w:tc>
              <w:tc>
                <w:tcPr>
                  <w:tcW w:w="557" w:type="dxa"/>
                  <w:vAlign w:val="center"/>
                </w:tcPr>
                <w:p>
                  <w:pPr>
                    <w:widowControl/>
                    <w:jc w:val="center"/>
                    <w:textAlignment w:val="center"/>
                    <w:rPr>
                      <w:bCs/>
                      <w:kern w:val="0"/>
                      <w:szCs w:val="21"/>
                    </w:rPr>
                  </w:pPr>
                  <w:r>
                    <w:rPr>
                      <w:color w:val="000000"/>
                      <w:kern w:val="0"/>
                      <w:szCs w:val="21"/>
                    </w:rPr>
                    <w:t>7.65</w:t>
                  </w:r>
                </w:p>
              </w:tc>
              <w:tc>
                <w:tcPr>
                  <w:tcW w:w="753" w:type="dxa"/>
                  <w:vAlign w:val="center"/>
                </w:tcPr>
                <w:p>
                  <w:pPr>
                    <w:widowControl/>
                    <w:jc w:val="center"/>
                    <w:textAlignment w:val="center"/>
                    <w:rPr>
                      <w:bCs/>
                      <w:kern w:val="0"/>
                      <w:szCs w:val="21"/>
                    </w:rPr>
                  </w:pPr>
                  <w:r>
                    <w:rPr>
                      <w:color w:val="000000"/>
                      <w:kern w:val="0"/>
                      <w:szCs w:val="21"/>
                    </w:rPr>
                    <w:t>18</w:t>
                  </w:r>
                </w:p>
              </w:tc>
              <w:tc>
                <w:tcPr>
                  <w:tcW w:w="922" w:type="dxa"/>
                  <w:vAlign w:val="center"/>
                </w:tcPr>
                <w:p>
                  <w:pPr>
                    <w:widowControl/>
                    <w:jc w:val="center"/>
                    <w:textAlignment w:val="center"/>
                    <w:rPr>
                      <w:bCs/>
                      <w:kern w:val="0"/>
                      <w:szCs w:val="21"/>
                    </w:rPr>
                  </w:pPr>
                  <w:r>
                    <w:rPr>
                      <w:color w:val="000000"/>
                      <w:kern w:val="0"/>
                      <w:szCs w:val="21"/>
                    </w:rPr>
                    <w:t>0.76</w:t>
                  </w:r>
                </w:p>
              </w:tc>
              <w:tc>
                <w:tcPr>
                  <w:tcW w:w="919" w:type="dxa"/>
                  <w:gridSpan w:val="2"/>
                  <w:vAlign w:val="center"/>
                </w:tcPr>
                <w:p>
                  <w:pPr>
                    <w:widowControl/>
                    <w:jc w:val="center"/>
                    <w:textAlignment w:val="center"/>
                    <w:rPr>
                      <w:bCs/>
                      <w:kern w:val="0"/>
                      <w:szCs w:val="21"/>
                    </w:rPr>
                  </w:pPr>
                  <w:r>
                    <w:rPr>
                      <w:color w:val="000000"/>
                      <w:kern w:val="0"/>
                      <w:szCs w:val="21"/>
                    </w:rPr>
                    <w:t>0.05</w:t>
                  </w:r>
                </w:p>
              </w:tc>
              <w:tc>
                <w:tcPr>
                  <w:tcW w:w="833" w:type="dxa"/>
                  <w:gridSpan w:val="2"/>
                  <w:vAlign w:val="center"/>
                </w:tcPr>
                <w:p>
                  <w:pPr>
                    <w:widowControl/>
                    <w:jc w:val="center"/>
                    <w:textAlignment w:val="center"/>
                    <w:rPr>
                      <w:bCs/>
                      <w:kern w:val="0"/>
                      <w:szCs w:val="21"/>
                    </w:rPr>
                  </w:pPr>
                  <w:r>
                    <w:rPr>
                      <w:color w:val="000000"/>
                      <w:kern w:val="0"/>
                      <w:szCs w:val="21"/>
                    </w:rPr>
                    <w:t>6.9</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51"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2月</w:t>
                  </w:r>
                </w:p>
              </w:tc>
              <w:tc>
                <w:tcPr>
                  <w:tcW w:w="557" w:type="dxa"/>
                  <w:vAlign w:val="center"/>
                </w:tcPr>
                <w:p>
                  <w:pPr>
                    <w:widowControl/>
                    <w:jc w:val="center"/>
                    <w:textAlignment w:val="center"/>
                    <w:rPr>
                      <w:bCs/>
                      <w:kern w:val="0"/>
                      <w:szCs w:val="21"/>
                    </w:rPr>
                  </w:pPr>
                  <w:r>
                    <w:rPr>
                      <w:color w:val="000000"/>
                      <w:kern w:val="0"/>
                      <w:szCs w:val="21"/>
                    </w:rPr>
                    <w:t>7.48</w:t>
                  </w:r>
                </w:p>
              </w:tc>
              <w:tc>
                <w:tcPr>
                  <w:tcW w:w="753" w:type="dxa"/>
                  <w:vAlign w:val="center"/>
                </w:tcPr>
                <w:p>
                  <w:pPr>
                    <w:widowControl/>
                    <w:jc w:val="center"/>
                    <w:textAlignment w:val="center"/>
                    <w:rPr>
                      <w:bCs/>
                      <w:kern w:val="0"/>
                      <w:szCs w:val="21"/>
                    </w:rPr>
                  </w:pPr>
                  <w:r>
                    <w:rPr>
                      <w:color w:val="000000"/>
                      <w:kern w:val="0"/>
                      <w:szCs w:val="21"/>
                    </w:rPr>
                    <w:t>13</w:t>
                  </w:r>
                </w:p>
              </w:tc>
              <w:tc>
                <w:tcPr>
                  <w:tcW w:w="922" w:type="dxa"/>
                  <w:vAlign w:val="center"/>
                </w:tcPr>
                <w:p>
                  <w:pPr>
                    <w:widowControl/>
                    <w:jc w:val="center"/>
                    <w:textAlignment w:val="center"/>
                    <w:rPr>
                      <w:bCs/>
                      <w:kern w:val="0"/>
                      <w:szCs w:val="21"/>
                    </w:rPr>
                  </w:pPr>
                  <w:r>
                    <w:rPr>
                      <w:color w:val="000000"/>
                      <w:kern w:val="0"/>
                      <w:szCs w:val="21"/>
                    </w:rPr>
                    <w:t>1.12</w:t>
                  </w:r>
                </w:p>
              </w:tc>
              <w:tc>
                <w:tcPr>
                  <w:tcW w:w="919" w:type="dxa"/>
                  <w:gridSpan w:val="2"/>
                  <w:vAlign w:val="center"/>
                </w:tcPr>
                <w:p>
                  <w:pPr>
                    <w:widowControl/>
                    <w:jc w:val="center"/>
                    <w:textAlignment w:val="center"/>
                    <w:rPr>
                      <w:bCs/>
                      <w:kern w:val="0"/>
                      <w:szCs w:val="21"/>
                    </w:rPr>
                  </w:pPr>
                  <w:r>
                    <w:rPr>
                      <w:color w:val="000000"/>
                      <w:kern w:val="0"/>
                      <w:szCs w:val="21"/>
                    </w:rPr>
                    <w:t>0.06</w:t>
                  </w:r>
                </w:p>
              </w:tc>
              <w:tc>
                <w:tcPr>
                  <w:tcW w:w="833" w:type="dxa"/>
                  <w:gridSpan w:val="2"/>
                  <w:vAlign w:val="center"/>
                </w:tcPr>
                <w:p>
                  <w:pPr>
                    <w:widowControl/>
                    <w:jc w:val="center"/>
                    <w:textAlignment w:val="center"/>
                    <w:rPr>
                      <w:bCs/>
                      <w:kern w:val="0"/>
                      <w:szCs w:val="21"/>
                    </w:rPr>
                  </w:pPr>
                  <w:r>
                    <w:rPr>
                      <w:color w:val="000000"/>
                      <w:kern w:val="0"/>
                      <w:szCs w:val="21"/>
                    </w:rPr>
                    <w:t>2.5</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0.0006</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32"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3月</w:t>
                  </w:r>
                </w:p>
              </w:tc>
              <w:tc>
                <w:tcPr>
                  <w:tcW w:w="557" w:type="dxa"/>
                  <w:vAlign w:val="center"/>
                </w:tcPr>
                <w:p>
                  <w:pPr>
                    <w:widowControl/>
                    <w:jc w:val="center"/>
                    <w:textAlignment w:val="center"/>
                    <w:rPr>
                      <w:bCs/>
                      <w:kern w:val="0"/>
                      <w:szCs w:val="21"/>
                    </w:rPr>
                  </w:pPr>
                  <w:r>
                    <w:rPr>
                      <w:color w:val="000000"/>
                      <w:kern w:val="0"/>
                      <w:szCs w:val="21"/>
                    </w:rPr>
                    <w:t>6.92</w:t>
                  </w:r>
                </w:p>
              </w:tc>
              <w:tc>
                <w:tcPr>
                  <w:tcW w:w="753" w:type="dxa"/>
                  <w:vAlign w:val="center"/>
                </w:tcPr>
                <w:p>
                  <w:pPr>
                    <w:widowControl/>
                    <w:jc w:val="center"/>
                    <w:textAlignment w:val="center"/>
                    <w:rPr>
                      <w:bCs/>
                      <w:kern w:val="0"/>
                      <w:szCs w:val="21"/>
                    </w:rPr>
                  </w:pPr>
                  <w:r>
                    <w:rPr>
                      <w:color w:val="000000"/>
                      <w:kern w:val="0"/>
                      <w:szCs w:val="21"/>
                    </w:rPr>
                    <w:t>29</w:t>
                  </w:r>
                </w:p>
              </w:tc>
              <w:tc>
                <w:tcPr>
                  <w:tcW w:w="922" w:type="dxa"/>
                  <w:vAlign w:val="center"/>
                </w:tcPr>
                <w:p>
                  <w:pPr>
                    <w:widowControl/>
                    <w:jc w:val="center"/>
                    <w:textAlignment w:val="center"/>
                    <w:rPr>
                      <w:bCs/>
                      <w:kern w:val="0"/>
                      <w:szCs w:val="21"/>
                    </w:rPr>
                  </w:pPr>
                  <w:r>
                    <w:rPr>
                      <w:color w:val="000000"/>
                      <w:kern w:val="0"/>
                      <w:szCs w:val="21"/>
                    </w:rPr>
                    <w:t>1.79</w:t>
                  </w:r>
                </w:p>
              </w:tc>
              <w:tc>
                <w:tcPr>
                  <w:tcW w:w="919" w:type="dxa"/>
                  <w:gridSpan w:val="2"/>
                  <w:vAlign w:val="center"/>
                </w:tcPr>
                <w:p>
                  <w:pPr>
                    <w:widowControl/>
                    <w:jc w:val="center"/>
                    <w:textAlignment w:val="center"/>
                    <w:rPr>
                      <w:bCs/>
                      <w:kern w:val="0"/>
                      <w:szCs w:val="21"/>
                    </w:rPr>
                  </w:pPr>
                  <w:r>
                    <w:rPr>
                      <w:color w:val="000000"/>
                      <w:kern w:val="0"/>
                      <w:szCs w:val="21"/>
                    </w:rPr>
                    <w:t>0.08</w:t>
                  </w:r>
                </w:p>
              </w:tc>
              <w:tc>
                <w:tcPr>
                  <w:tcW w:w="833" w:type="dxa"/>
                  <w:gridSpan w:val="2"/>
                  <w:vAlign w:val="center"/>
                </w:tcPr>
                <w:p>
                  <w:pPr>
                    <w:widowControl/>
                    <w:jc w:val="center"/>
                    <w:textAlignment w:val="center"/>
                    <w:rPr>
                      <w:bCs/>
                      <w:kern w:val="0"/>
                      <w:szCs w:val="21"/>
                    </w:rPr>
                  </w:pPr>
                  <w:r>
                    <w:rPr>
                      <w:color w:val="000000"/>
                      <w:kern w:val="0"/>
                      <w:szCs w:val="21"/>
                    </w:rPr>
                    <w:t>4.2</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0.0004</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65"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4月</w:t>
                  </w:r>
                </w:p>
              </w:tc>
              <w:tc>
                <w:tcPr>
                  <w:tcW w:w="557" w:type="dxa"/>
                  <w:vAlign w:val="center"/>
                </w:tcPr>
                <w:p>
                  <w:pPr>
                    <w:widowControl/>
                    <w:jc w:val="center"/>
                    <w:textAlignment w:val="center"/>
                    <w:rPr>
                      <w:bCs/>
                      <w:kern w:val="0"/>
                      <w:szCs w:val="21"/>
                    </w:rPr>
                  </w:pPr>
                  <w:r>
                    <w:rPr>
                      <w:color w:val="000000"/>
                      <w:kern w:val="0"/>
                      <w:szCs w:val="21"/>
                    </w:rPr>
                    <w:t>6.86</w:t>
                  </w:r>
                </w:p>
              </w:tc>
              <w:tc>
                <w:tcPr>
                  <w:tcW w:w="753" w:type="dxa"/>
                  <w:vAlign w:val="center"/>
                </w:tcPr>
                <w:p>
                  <w:pPr>
                    <w:widowControl/>
                    <w:jc w:val="center"/>
                    <w:textAlignment w:val="center"/>
                    <w:rPr>
                      <w:bCs/>
                      <w:kern w:val="0"/>
                      <w:szCs w:val="21"/>
                    </w:rPr>
                  </w:pPr>
                  <w:r>
                    <w:rPr>
                      <w:color w:val="000000"/>
                      <w:kern w:val="0"/>
                      <w:szCs w:val="21"/>
                    </w:rPr>
                    <w:t>27</w:t>
                  </w:r>
                </w:p>
              </w:tc>
              <w:tc>
                <w:tcPr>
                  <w:tcW w:w="922" w:type="dxa"/>
                  <w:vAlign w:val="center"/>
                </w:tcPr>
                <w:p>
                  <w:pPr>
                    <w:widowControl/>
                    <w:jc w:val="center"/>
                    <w:textAlignment w:val="center"/>
                    <w:rPr>
                      <w:bCs/>
                      <w:kern w:val="0"/>
                      <w:szCs w:val="21"/>
                    </w:rPr>
                  </w:pPr>
                  <w:r>
                    <w:rPr>
                      <w:color w:val="000000"/>
                      <w:kern w:val="0"/>
                      <w:szCs w:val="21"/>
                    </w:rPr>
                    <w:t>1.19</w:t>
                  </w:r>
                </w:p>
              </w:tc>
              <w:tc>
                <w:tcPr>
                  <w:tcW w:w="919" w:type="dxa"/>
                  <w:gridSpan w:val="2"/>
                  <w:vAlign w:val="center"/>
                </w:tcPr>
                <w:p>
                  <w:pPr>
                    <w:widowControl/>
                    <w:jc w:val="center"/>
                    <w:textAlignment w:val="center"/>
                    <w:rPr>
                      <w:bCs/>
                      <w:kern w:val="0"/>
                      <w:szCs w:val="21"/>
                    </w:rPr>
                  </w:pPr>
                  <w:r>
                    <w:rPr>
                      <w:color w:val="000000"/>
                      <w:kern w:val="0"/>
                      <w:szCs w:val="21"/>
                    </w:rPr>
                    <w:t>0.11</w:t>
                  </w:r>
                </w:p>
              </w:tc>
              <w:tc>
                <w:tcPr>
                  <w:tcW w:w="833" w:type="dxa"/>
                  <w:gridSpan w:val="2"/>
                  <w:vAlign w:val="center"/>
                </w:tcPr>
                <w:p>
                  <w:pPr>
                    <w:widowControl/>
                    <w:jc w:val="center"/>
                    <w:textAlignment w:val="center"/>
                    <w:rPr>
                      <w:bCs/>
                      <w:kern w:val="0"/>
                      <w:szCs w:val="21"/>
                    </w:rPr>
                  </w:pPr>
                  <w:r>
                    <w:rPr>
                      <w:color w:val="000000"/>
                      <w:kern w:val="0"/>
                      <w:szCs w:val="21"/>
                    </w:rPr>
                    <w:t>3.0</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5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5月</w:t>
                  </w:r>
                </w:p>
              </w:tc>
              <w:tc>
                <w:tcPr>
                  <w:tcW w:w="557" w:type="dxa"/>
                  <w:vAlign w:val="center"/>
                </w:tcPr>
                <w:p>
                  <w:pPr>
                    <w:widowControl/>
                    <w:jc w:val="center"/>
                    <w:textAlignment w:val="center"/>
                    <w:rPr>
                      <w:bCs/>
                      <w:kern w:val="0"/>
                      <w:szCs w:val="21"/>
                    </w:rPr>
                  </w:pPr>
                  <w:r>
                    <w:rPr>
                      <w:color w:val="000000"/>
                      <w:kern w:val="0"/>
                      <w:szCs w:val="21"/>
                    </w:rPr>
                    <w:t>6.61</w:t>
                  </w:r>
                </w:p>
              </w:tc>
              <w:tc>
                <w:tcPr>
                  <w:tcW w:w="753" w:type="dxa"/>
                  <w:vAlign w:val="center"/>
                </w:tcPr>
                <w:p>
                  <w:pPr>
                    <w:widowControl/>
                    <w:jc w:val="center"/>
                    <w:textAlignment w:val="center"/>
                    <w:rPr>
                      <w:bCs/>
                      <w:kern w:val="0"/>
                      <w:szCs w:val="21"/>
                    </w:rPr>
                  </w:pPr>
                  <w:r>
                    <w:rPr>
                      <w:color w:val="000000"/>
                      <w:kern w:val="0"/>
                      <w:szCs w:val="21"/>
                    </w:rPr>
                    <w:t>22</w:t>
                  </w:r>
                </w:p>
              </w:tc>
              <w:tc>
                <w:tcPr>
                  <w:tcW w:w="922" w:type="dxa"/>
                  <w:vAlign w:val="center"/>
                </w:tcPr>
                <w:p>
                  <w:pPr>
                    <w:widowControl/>
                    <w:jc w:val="center"/>
                    <w:textAlignment w:val="center"/>
                    <w:rPr>
                      <w:bCs/>
                      <w:kern w:val="0"/>
                      <w:szCs w:val="21"/>
                    </w:rPr>
                  </w:pPr>
                  <w:r>
                    <w:rPr>
                      <w:color w:val="000000"/>
                      <w:kern w:val="0"/>
                      <w:szCs w:val="21"/>
                    </w:rPr>
                    <w:t>0.41</w:t>
                  </w:r>
                </w:p>
              </w:tc>
              <w:tc>
                <w:tcPr>
                  <w:tcW w:w="919" w:type="dxa"/>
                  <w:gridSpan w:val="2"/>
                  <w:vAlign w:val="center"/>
                </w:tcPr>
                <w:p>
                  <w:pPr>
                    <w:widowControl/>
                    <w:jc w:val="center"/>
                    <w:textAlignment w:val="center"/>
                    <w:rPr>
                      <w:bCs/>
                      <w:kern w:val="0"/>
                      <w:szCs w:val="21"/>
                    </w:rPr>
                  </w:pPr>
                  <w:r>
                    <w:rPr>
                      <w:color w:val="000000"/>
                      <w:kern w:val="0"/>
                      <w:szCs w:val="21"/>
                    </w:rPr>
                    <w:t>0.20</w:t>
                  </w:r>
                </w:p>
              </w:tc>
              <w:tc>
                <w:tcPr>
                  <w:tcW w:w="833" w:type="dxa"/>
                  <w:gridSpan w:val="2"/>
                  <w:vAlign w:val="center"/>
                </w:tcPr>
                <w:p>
                  <w:pPr>
                    <w:widowControl/>
                    <w:jc w:val="center"/>
                    <w:textAlignment w:val="center"/>
                    <w:rPr>
                      <w:bCs/>
                      <w:kern w:val="0"/>
                      <w:szCs w:val="21"/>
                    </w:rPr>
                  </w:pPr>
                  <w:r>
                    <w:rPr>
                      <w:color w:val="000000"/>
                      <w:kern w:val="0"/>
                      <w:szCs w:val="21"/>
                    </w:rPr>
                    <w:t>5.8</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4"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6月</w:t>
                  </w:r>
                </w:p>
              </w:tc>
              <w:tc>
                <w:tcPr>
                  <w:tcW w:w="557" w:type="dxa"/>
                  <w:vAlign w:val="center"/>
                </w:tcPr>
                <w:p>
                  <w:pPr>
                    <w:widowControl/>
                    <w:jc w:val="center"/>
                    <w:textAlignment w:val="center"/>
                    <w:rPr>
                      <w:bCs/>
                      <w:kern w:val="0"/>
                      <w:szCs w:val="21"/>
                    </w:rPr>
                  </w:pPr>
                  <w:r>
                    <w:rPr>
                      <w:color w:val="000000"/>
                      <w:kern w:val="0"/>
                      <w:szCs w:val="21"/>
                    </w:rPr>
                    <w:t>6.72</w:t>
                  </w:r>
                </w:p>
              </w:tc>
              <w:tc>
                <w:tcPr>
                  <w:tcW w:w="753" w:type="dxa"/>
                  <w:vAlign w:val="center"/>
                </w:tcPr>
                <w:p>
                  <w:pPr>
                    <w:widowControl/>
                    <w:jc w:val="center"/>
                    <w:textAlignment w:val="center"/>
                    <w:rPr>
                      <w:bCs/>
                      <w:kern w:val="0"/>
                      <w:szCs w:val="21"/>
                    </w:rPr>
                  </w:pPr>
                  <w:r>
                    <w:rPr>
                      <w:color w:val="000000"/>
                      <w:kern w:val="0"/>
                      <w:szCs w:val="21"/>
                    </w:rPr>
                    <w:t>43</w:t>
                  </w:r>
                </w:p>
              </w:tc>
              <w:tc>
                <w:tcPr>
                  <w:tcW w:w="922" w:type="dxa"/>
                  <w:vAlign w:val="center"/>
                </w:tcPr>
                <w:p>
                  <w:pPr>
                    <w:widowControl/>
                    <w:jc w:val="center"/>
                    <w:textAlignment w:val="center"/>
                    <w:rPr>
                      <w:bCs/>
                      <w:kern w:val="0"/>
                      <w:szCs w:val="21"/>
                    </w:rPr>
                  </w:pPr>
                  <w:r>
                    <w:rPr>
                      <w:color w:val="000000"/>
                      <w:kern w:val="0"/>
                      <w:szCs w:val="21"/>
                    </w:rPr>
                    <w:t>0.27</w:t>
                  </w:r>
                </w:p>
              </w:tc>
              <w:tc>
                <w:tcPr>
                  <w:tcW w:w="919" w:type="dxa"/>
                  <w:gridSpan w:val="2"/>
                  <w:vAlign w:val="center"/>
                </w:tcPr>
                <w:p>
                  <w:pPr>
                    <w:widowControl/>
                    <w:jc w:val="center"/>
                    <w:textAlignment w:val="center"/>
                    <w:rPr>
                      <w:bCs/>
                      <w:kern w:val="0"/>
                      <w:szCs w:val="21"/>
                    </w:rPr>
                  </w:pPr>
                  <w:r>
                    <w:rPr>
                      <w:color w:val="000000"/>
                      <w:kern w:val="0"/>
                      <w:szCs w:val="21"/>
                    </w:rPr>
                    <w:t>0.24</w:t>
                  </w:r>
                </w:p>
              </w:tc>
              <w:tc>
                <w:tcPr>
                  <w:tcW w:w="833" w:type="dxa"/>
                  <w:gridSpan w:val="2"/>
                  <w:vAlign w:val="center"/>
                </w:tcPr>
                <w:p>
                  <w:pPr>
                    <w:widowControl/>
                    <w:jc w:val="center"/>
                    <w:textAlignment w:val="center"/>
                    <w:rPr>
                      <w:bCs/>
                      <w:kern w:val="0"/>
                      <w:szCs w:val="21"/>
                    </w:rPr>
                  </w:pPr>
                  <w:r>
                    <w:rPr>
                      <w:color w:val="000000"/>
                      <w:kern w:val="0"/>
                      <w:szCs w:val="21"/>
                    </w:rPr>
                    <w:t>2.1</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0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7月</w:t>
                  </w:r>
                </w:p>
              </w:tc>
              <w:tc>
                <w:tcPr>
                  <w:tcW w:w="557" w:type="dxa"/>
                  <w:vAlign w:val="center"/>
                </w:tcPr>
                <w:p>
                  <w:pPr>
                    <w:widowControl/>
                    <w:jc w:val="center"/>
                    <w:textAlignment w:val="center"/>
                    <w:rPr>
                      <w:bCs/>
                      <w:kern w:val="0"/>
                      <w:szCs w:val="21"/>
                    </w:rPr>
                  </w:pPr>
                  <w:r>
                    <w:rPr>
                      <w:color w:val="000000"/>
                      <w:kern w:val="0"/>
                      <w:szCs w:val="21"/>
                    </w:rPr>
                    <w:t>6.95</w:t>
                  </w:r>
                </w:p>
              </w:tc>
              <w:tc>
                <w:tcPr>
                  <w:tcW w:w="753" w:type="dxa"/>
                  <w:vAlign w:val="center"/>
                </w:tcPr>
                <w:p>
                  <w:pPr>
                    <w:widowControl/>
                    <w:jc w:val="center"/>
                    <w:textAlignment w:val="center"/>
                    <w:rPr>
                      <w:bCs/>
                      <w:kern w:val="0"/>
                      <w:szCs w:val="21"/>
                    </w:rPr>
                  </w:pPr>
                  <w:r>
                    <w:rPr>
                      <w:color w:val="000000"/>
                      <w:kern w:val="0"/>
                      <w:szCs w:val="21"/>
                    </w:rPr>
                    <w:t>25</w:t>
                  </w:r>
                </w:p>
              </w:tc>
              <w:tc>
                <w:tcPr>
                  <w:tcW w:w="922" w:type="dxa"/>
                  <w:vAlign w:val="center"/>
                </w:tcPr>
                <w:p>
                  <w:pPr>
                    <w:widowControl/>
                    <w:jc w:val="center"/>
                    <w:textAlignment w:val="center"/>
                    <w:rPr>
                      <w:bCs/>
                      <w:kern w:val="0"/>
                      <w:szCs w:val="21"/>
                    </w:rPr>
                  </w:pPr>
                  <w:r>
                    <w:rPr>
                      <w:color w:val="000000"/>
                      <w:kern w:val="0"/>
                      <w:szCs w:val="21"/>
                    </w:rPr>
                    <w:t>0.10</w:t>
                  </w:r>
                </w:p>
              </w:tc>
              <w:tc>
                <w:tcPr>
                  <w:tcW w:w="919" w:type="dxa"/>
                  <w:gridSpan w:val="2"/>
                  <w:vAlign w:val="center"/>
                </w:tcPr>
                <w:p>
                  <w:pPr>
                    <w:widowControl/>
                    <w:jc w:val="center"/>
                    <w:textAlignment w:val="center"/>
                    <w:rPr>
                      <w:bCs/>
                      <w:kern w:val="0"/>
                      <w:szCs w:val="21"/>
                    </w:rPr>
                  </w:pPr>
                  <w:r>
                    <w:rPr>
                      <w:color w:val="000000"/>
                      <w:kern w:val="0"/>
                      <w:szCs w:val="21"/>
                    </w:rPr>
                    <w:t>0.54</w:t>
                  </w:r>
                </w:p>
              </w:tc>
              <w:tc>
                <w:tcPr>
                  <w:tcW w:w="833" w:type="dxa"/>
                  <w:gridSpan w:val="2"/>
                  <w:vAlign w:val="center"/>
                </w:tcPr>
                <w:p>
                  <w:pPr>
                    <w:widowControl/>
                    <w:jc w:val="center"/>
                    <w:textAlignment w:val="center"/>
                    <w:rPr>
                      <w:bCs/>
                      <w:kern w:val="0"/>
                      <w:szCs w:val="21"/>
                    </w:rPr>
                  </w:pPr>
                  <w:r>
                    <w:rPr>
                      <w:color w:val="000000"/>
                      <w:kern w:val="0"/>
                      <w:szCs w:val="21"/>
                    </w:rPr>
                    <w:t>4.7</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8月</w:t>
                  </w:r>
                </w:p>
              </w:tc>
              <w:tc>
                <w:tcPr>
                  <w:tcW w:w="557" w:type="dxa"/>
                  <w:vAlign w:val="center"/>
                </w:tcPr>
                <w:p>
                  <w:pPr>
                    <w:widowControl/>
                    <w:jc w:val="center"/>
                    <w:textAlignment w:val="center"/>
                    <w:rPr>
                      <w:bCs/>
                      <w:kern w:val="0"/>
                      <w:szCs w:val="21"/>
                    </w:rPr>
                  </w:pPr>
                  <w:r>
                    <w:rPr>
                      <w:color w:val="000000"/>
                      <w:kern w:val="0"/>
                      <w:szCs w:val="21"/>
                    </w:rPr>
                    <w:t>6.92</w:t>
                  </w:r>
                </w:p>
              </w:tc>
              <w:tc>
                <w:tcPr>
                  <w:tcW w:w="753" w:type="dxa"/>
                  <w:vAlign w:val="center"/>
                </w:tcPr>
                <w:p>
                  <w:pPr>
                    <w:widowControl/>
                    <w:jc w:val="center"/>
                    <w:textAlignment w:val="center"/>
                    <w:rPr>
                      <w:bCs/>
                      <w:kern w:val="0"/>
                      <w:szCs w:val="21"/>
                    </w:rPr>
                  </w:pPr>
                  <w:r>
                    <w:rPr>
                      <w:color w:val="000000"/>
                      <w:kern w:val="0"/>
                      <w:szCs w:val="21"/>
                    </w:rPr>
                    <w:t>26</w:t>
                  </w:r>
                </w:p>
              </w:tc>
              <w:tc>
                <w:tcPr>
                  <w:tcW w:w="922" w:type="dxa"/>
                  <w:vAlign w:val="center"/>
                </w:tcPr>
                <w:p>
                  <w:pPr>
                    <w:widowControl/>
                    <w:jc w:val="center"/>
                    <w:textAlignment w:val="center"/>
                    <w:rPr>
                      <w:bCs/>
                      <w:kern w:val="0"/>
                      <w:szCs w:val="21"/>
                    </w:rPr>
                  </w:pPr>
                  <w:r>
                    <w:rPr>
                      <w:color w:val="000000"/>
                      <w:kern w:val="0"/>
                      <w:szCs w:val="21"/>
                    </w:rPr>
                    <w:t>0.27</w:t>
                  </w:r>
                </w:p>
              </w:tc>
              <w:tc>
                <w:tcPr>
                  <w:tcW w:w="919" w:type="dxa"/>
                  <w:gridSpan w:val="2"/>
                  <w:vAlign w:val="center"/>
                </w:tcPr>
                <w:p>
                  <w:pPr>
                    <w:widowControl/>
                    <w:jc w:val="center"/>
                    <w:textAlignment w:val="center"/>
                    <w:rPr>
                      <w:bCs/>
                      <w:kern w:val="0"/>
                      <w:szCs w:val="21"/>
                    </w:rPr>
                  </w:pPr>
                  <w:r>
                    <w:rPr>
                      <w:color w:val="000000"/>
                      <w:kern w:val="0"/>
                      <w:szCs w:val="21"/>
                    </w:rPr>
                    <w:t>0.30</w:t>
                  </w:r>
                </w:p>
              </w:tc>
              <w:tc>
                <w:tcPr>
                  <w:tcW w:w="833" w:type="dxa"/>
                  <w:gridSpan w:val="2"/>
                  <w:vAlign w:val="center"/>
                </w:tcPr>
                <w:p>
                  <w:pPr>
                    <w:widowControl/>
                    <w:jc w:val="center"/>
                    <w:textAlignment w:val="center"/>
                    <w:rPr>
                      <w:bCs/>
                      <w:kern w:val="0"/>
                      <w:szCs w:val="21"/>
                    </w:rPr>
                  </w:pPr>
                  <w:r>
                    <w:rPr>
                      <w:color w:val="000000"/>
                      <w:kern w:val="0"/>
                      <w:szCs w:val="21"/>
                    </w:rPr>
                    <w:t>3.8</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0.0004</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0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9月</w:t>
                  </w:r>
                </w:p>
              </w:tc>
              <w:tc>
                <w:tcPr>
                  <w:tcW w:w="557" w:type="dxa"/>
                  <w:vAlign w:val="center"/>
                </w:tcPr>
                <w:p>
                  <w:pPr>
                    <w:widowControl/>
                    <w:jc w:val="center"/>
                    <w:textAlignment w:val="center"/>
                    <w:rPr>
                      <w:bCs/>
                      <w:kern w:val="0"/>
                      <w:szCs w:val="21"/>
                    </w:rPr>
                  </w:pPr>
                  <w:r>
                    <w:rPr>
                      <w:color w:val="000000"/>
                      <w:kern w:val="0"/>
                      <w:szCs w:val="21"/>
                    </w:rPr>
                    <w:t>6.98</w:t>
                  </w:r>
                </w:p>
              </w:tc>
              <w:tc>
                <w:tcPr>
                  <w:tcW w:w="753" w:type="dxa"/>
                  <w:vAlign w:val="center"/>
                </w:tcPr>
                <w:p>
                  <w:pPr>
                    <w:widowControl/>
                    <w:jc w:val="center"/>
                    <w:textAlignment w:val="center"/>
                    <w:rPr>
                      <w:bCs/>
                      <w:kern w:val="0"/>
                      <w:szCs w:val="21"/>
                    </w:rPr>
                  </w:pPr>
                  <w:r>
                    <w:rPr>
                      <w:color w:val="000000"/>
                      <w:kern w:val="0"/>
                      <w:szCs w:val="21"/>
                    </w:rPr>
                    <w:t>18</w:t>
                  </w:r>
                </w:p>
              </w:tc>
              <w:tc>
                <w:tcPr>
                  <w:tcW w:w="922" w:type="dxa"/>
                  <w:vAlign w:val="center"/>
                </w:tcPr>
                <w:p>
                  <w:pPr>
                    <w:widowControl/>
                    <w:jc w:val="center"/>
                    <w:textAlignment w:val="center"/>
                    <w:rPr>
                      <w:bCs/>
                      <w:kern w:val="0"/>
                      <w:szCs w:val="21"/>
                    </w:rPr>
                  </w:pPr>
                  <w:r>
                    <w:rPr>
                      <w:color w:val="000000"/>
                      <w:kern w:val="0"/>
                      <w:szCs w:val="21"/>
                    </w:rPr>
                    <w:t>0.15</w:t>
                  </w:r>
                </w:p>
              </w:tc>
              <w:tc>
                <w:tcPr>
                  <w:tcW w:w="919" w:type="dxa"/>
                  <w:gridSpan w:val="2"/>
                  <w:vAlign w:val="center"/>
                </w:tcPr>
                <w:p>
                  <w:pPr>
                    <w:widowControl/>
                    <w:jc w:val="center"/>
                    <w:textAlignment w:val="center"/>
                    <w:rPr>
                      <w:bCs/>
                      <w:kern w:val="0"/>
                      <w:szCs w:val="21"/>
                    </w:rPr>
                  </w:pPr>
                  <w:r>
                    <w:rPr>
                      <w:color w:val="000000"/>
                      <w:kern w:val="0"/>
                      <w:szCs w:val="21"/>
                    </w:rPr>
                    <w:t>0.18</w:t>
                  </w:r>
                </w:p>
              </w:tc>
              <w:tc>
                <w:tcPr>
                  <w:tcW w:w="833" w:type="dxa"/>
                  <w:gridSpan w:val="2"/>
                  <w:vAlign w:val="center"/>
                </w:tcPr>
                <w:p>
                  <w:pPr>
                    <w:widowControl/>
                    <w:jc w:val="center"/>
                    <w:textAlignment w:val="center"/>
                    <w:rPr>
                      <w:bCs/>
                      <w:kern w:val="0"/>
                      <w:szCs w:val="21"/>
                    </w:rPr>
                  </w:pPr>
                  <w:r>
                    <w:rPr>
                      <w:color w:val="000000"/>
                      <w:kern w:val="0"/>
                      <w:szCs w:val="21"/>
                    </w:rPr>
                    <w:t>1.6</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0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10月</w:t>
                  </w:r>
                </w:p>
              </w:tc>
              <w:tc>
                <w:tcPr>
                  <w:tcW w:w="557" w:type="dxa"/>
                  <w:vAlign w:val="center"/>
                </w:tcPr>
                <w:p>
                  <w:pPr>
                    <w:widowControl/>
                    <w:jc w:val="center"/>
                    <w:textAlignment w:val="center"/>
                    <w:rPr>
                      <w:bCs/>
                      <w:kern w:val="0"/>
                      <w:szCs w:val="21"/>
                    </w:rPr>
                  </w:pPr>
                  <w:r>
                    <w:rPr>
                      <w:color w:val="000000"/>
                      <w:kern w:val="0"/>
                      <w:szCs w:val="21"/>
                    </w:rPr>
                    <w:t>7.16</w:t>
                  </w:r>
                </w:p>
              </w:tc>
              <w:tc>
                <w:tcPr>
                  <w:tcW w:w="753" w:type="dxa"/>
                  <w:vAlign w:val="center"/>
                </w:tcPr>
                <w:p>
                  <w:pPr>
                    <w:widowControl/>
                    <w:jc w:val="center"/>
                    <w:textAlignment w:val="center"/>
                    <w:rPr>
                      <w:bCs/>
                      <w:kern w:val="0"/>
                      <w:szCs w:val="21"/>
                    </w:rPr>
                  </w:pPr>
                  <w:r>
                    <w:rPr>
                      <w:color w:val="000000"/>
                      <w:kern w:val="0"/>
                      <w:szCs w:val="21"/>
                    </w:rPr>
                    <w:t>24</w:t>
                  </w:r>
                </w:p>
              </w:tc>
              <w:tc>
                <w:tcPr>
                  <w:tcW w:w="922" w:type="dxa"/>
                  <w:vAlign w:val="center"/>
                </w:tcPr>
                <w:p>
                  <w:pPr>
                    <w:widowControl/>
                    <w:jc w:val="center"/>
                    <w:textAlignment w:val="center"/>
                    <w:rPr>
                      <w:bCs/>
                      <w:kern w:val="0"/>
                      <w:szCs w:val="21"/>
                    </w:rPr>
                  </w:pPr>
                  <w:r>
                    <w:rPr>
                      <w:color w:val="000000"/>
                      <w:kern w:val="0"/>
                      <w:szCs w:val="21"/>
                    </w:rPr>
                    <w:t>0.16</w:t>
                  </w:r>
                </w:p>
              </w:tc>
              <w:tc>
                <w:tcPr>
                  <w:tcW w:w="919" w:type="dxa"/>
                  <w:gridSpan w:val="2"/>
                  <w:vAlign w:val="center"/>
                </w:tcPr>
                <w:p>
                  <w:pPr>
                    <w:widowControl/>
                    <w:jc w:val="center"/>
                    <w:textAlignment w:val="center"/>
                    <w:rPr>
                      <w:bCs/>
                      <w:kern w:val="0"/>
                      <w:szCs w:val="21"/>
                    </w:rPr>
                  </w:pPr>
                  <w:r>
                    <w:rPr>
                      <w:color w:val="000000"/>
                      <w:kern w:val="0"/>
                      <w:szCs w:val="21"/>
                    </w:rPr>
                    <w:t>0.25</w:t>
                  </w:r>
                </w:p>
              </w:tc>
              <w:tc>
                <w:tcPr>
                  <w:tcW w:w="833" w:type="dxa"/>
                  <w:gridSpan w:val="2"/>
                  <w:vAlign w:val="center"/>
                </w:tcPr>
                <w:p>
                  <w:pPr>
                    <w:widowControl/>
                    <w:jc w:val="center"/>
                    <w:textAlignment w:val="center"/>
                    <w:rPr>
                      <w:bCs/>
                      <w:kern w:val="0"/>
                      <w:szCs w:val="21"/>
                    </w:rPr>
                  </w:pPr>
                  <w:r>
                    <w:rPr>
                      <w:color w:val="000000"/>
                      <w:kern w:val="0"/>
                      <w:szCs w:val="21"/>
                    </w:rPr>
                    <w:t>1.7</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0.0003L</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0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11月</w:t>
                  </w:r>
                </w:p>
              </w:tc>
              <w:tc>
                <w:tcPr>
                  <w:tcW w:w="557" w:type="dxa"/>
                  <w:vAlign w:val="center"/>
                </w:tcPr>
                <w:p>
                  <w:pPr>
                    <w:widowControl/>
                    <w:jc w:val="center"/>
                    <w:textAlignment w:val="center"/>
                    <w:rPr>
                      <w:bCs/>
                      <w:kern w:val="0"/>
                      <w:szCs w:val="21"/>
                    </w:rPr>
                  </w:pPr>
                  <w:r>
                    <w:rPr>
                      <w:color w:val="000000"/>
                      <w:kern w:val="0"/>
                      <w:szCs w:val="21"/>
                    </w:rPr>
                    <w:t>7.07</w:t>
                  </w:r>
                </w:p>
              </w:tc>
              <w:tc>
                <w:tcPr>
                  <w:tcW w:w="753" w:type="dxa"/>
                  <w:vAlign w:val="center"/>
                </w:tcPr>
                <w:p>
                  <w:pPr>
                    <w:widowControl/>
                    <w:jc w:val="center"/>
                    <w:textAlignment w:val="center"/>
                    <w:rPr>
                      <w:bCs/>
                      <w:kern w:val="0"/>
                      <w:szCs w:val="21"/>
                    </w:rPr>
                  </w:pPr>
                  <w:r>
                    <w:rPr>
                      <w:color w:val="000000"/>
                      <w:kern w:val="0"/>
                      <w:szCs w:val="21"/>
                    </w:rPr>
                    <w:t>24</w:t>
                  </w:r>
                </w:p>
              </w:tc>
              <w:tc>
                <w:tcPr>
                  <w:tcW w:w="922" w:type="dxa"/>
                  <w:vAlign w:val="center"/>
                </w:tcPr>
                <w:p>
                  <w:pPr>
                    <w:widowControl/>
                    <w:jc w:val="center"/>
                    <w:textAlignment w:val="center"/>
                    <w:rPr>
                      <w:bCs/>
                      <w:kern w:val="0"/>
                      <w:szCs w:val="21"/>
                    </w:rPr>
                  </w:pPr>
                  <w:r>
                    <w:rPr>
                      <w:color w:val="000000"/>
                      <w:kern w:val="0"/>
                      <w:szCs w:val="21"/>
                    </w:rPr>
                    <w:t>0.68</w:t>
                  </w:r>
                </w:p>
              </w:tc>
              <w:tc>
                <w:tcPr>
                  <w:tcW w:w="919" w:type="dxa"/>
                  <w:gridSpan w:val="2"/>
                  <w:vAlign w:val="center"/>
                </w:tcPr>
                <w:p>
                  <w:pPr>
                    <w:widowControl/>
                    <w:jc w:val="center"/>
                    <w:textAlignment w:val="center"/>
                    <w:rPr>
                      <w:bCs/>
                      <w:kern w:val="0"/>
                      <w:szCs w:val="21"/>
                    </w:rPr>
                  </w:pPr>
                  <w:r>
                    <w:rPr>
                      <w:color w:val="000000"/>
                      <w:kern w:val="0"/>
                      <w:szCs w:val="21"/>
                    </w:rPr>
                    <w:t>0.54</w:t>
                  </w:r>
                </w:p>
              </w:tc>
              <w:tc>
                <w:tcPr>
                  <w:tcW w:w="833" w:type="dxa"/>
                  <w:gridSpan w:val="2"/>
                  <w:vAlign w:val="center"/>
                </w:tcPr>
                <w:p>
                  <w:pPr>
                    <w:widowControl/>
                    <w:jc w:val="center"/>
                    <w:textAlignment w:val="center"/>
                    <w:rPr>
                      <w:b/>
                      <w:bCs/>
                      <w:kern w:val="0"/>
                      <w:szCs w:val="21"/>
                      <w:highlight w:val="yellow"/>
                    </w:rPr>
                  </w:pPr>
                  <w:r>
                    <w:rPr>
                      <w:color w:val="000000"/>
                      <w:kern w:val="0"/>
                      <w:szCs w:val="21"/>
                    </w:rPr>
                    <w:t>5.6</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0.0004</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08" w:hRule="atLeast"/>
                <w:jc w:val="center"/>
              </w:trPr>
              <w:tc>
                <w:tcPr>
                  <w:tcW w:w="428" w:type="dxa"/>
                  <w:vMerge w:val="continue"/>
                  <w:vAlign w:val="center"/>
                </w:tcPr>
                <w:p>
                  <w:pPr>
                    <w:widowControl/>
                    <w:spacing w:line="240" w:lineRule="exact"/>
                    <w:jc w:val="center"/>
                    <w:textAlignment w:val="center"/>
                    <w:rPr>
                      <w:b/>
                      <w:kern w:val="0"/>
                      <w:szCs w:val="21"/>
                    </w:rPr>
                  </w:pPr>
                </w:p>
              </w:tc>
              <w:tc>
                <w:tcPr>
                  <w:tcW w:w="630" w:type="dxa"/>
                  <w:vAlign w:val="center"/>
                </w:tcPr>
                <w:p>
                  <w:pPr>
                    <w:widowControl/>
                    <w:spacing w:line="240" w:lineRule="exact"/>
                    <w:jc w:val="center"/>
                    <w:textAlignment w:val="center"/>
                    <w:rPr>
                      <w:b/>
                      <w:kern w:val="0"/>
                      <w:szCs w:val="21"/>
                    </w:rPr>
                  </w:pPr>
                  <w:r>
                    <w:rPr>
                      <w:bCs/>
                      <w:kern w:val="0"/>
                      <w:szCs w:val="21"/>
                    </w:rPr>
                    <w:t>12月</w:t>
                  </w:r>
                </w:p>
              </w:tc>
              <w:tc>
                <w:tcPr>
                  <w:tcW w:w="557" w:type="dxa"/>
                  <w:vAlign w:val="center"/>
                </w:tcPr>
                <w:p>
                  <w:pPr>
                    <w:widowControl/>
                    <w:jc w:val="center"/>
                    <w:textAlignment w:val="center"/>
                    <w:rPr>
                      <w:bCs/>
                      <w:kern w:val="0"/>
                      <w:szCs w:val="21"/>
                    </w:rPr>
                  </w:pPr>
                  <w:r>
                    <w:rPr>
                      <w:color w:val="000000"/>
                      <w:kern w:val="0"/>
                      <w:szCs w:val="21"/>
                    </w:rPr>
                    <w:t>7.03</w:t>
                  </w:r>
                </w:p>
              </w:tc>
              <w:tc>
                <w:tcPr>
                  <w:tcW w:w="753" w:type="dxa"/>
                  <w:vAlign w:val="center"/>
                </w:tcPr>
                <w:p>
                  <w:pPr>
                    <w:widowControl/>
                    <w:jc w:val="center"/>
                    <w:textAlignment w:val="center"/>
                    <w:rPr>
                      <w:bCs/>
                      <w:kern w:val="0"/>
                      <w:szCs w:val="21"/>
                    </w:rPr>
                  </w:pPr>
                  <w:r>
                    <w:rPr>
                      <w:color w:val="000000"/>
                      <w:kern w:val="0"/>
                      <w:szCs w:val="21"/>
                    </w:rPr>
                    <w:t>24</w:t>
                  </w:r>
                </w:p>
              </w:tc>
              <w:tc>
                <w:tcPr>
                  <w:tcW w:w="922" w:type="dxa"/>
                  <w:vAlign w:val="center"/>
                </w:tcPr>
                <w:p>
                  <w:pPr>
                    <w:widowControl/>
                    <w:jc w:val="center"/>
                    <w:textAlignment w:val="center"/>
                    <w:rPr>
                      <w:bCs/>
                      <w:kern w:val="0"/>
                      <w:szCs w:val="21"/>
                    </w:rPr>
                  </w:pPr>
                  <w:r>
                    <w:rPr>
                      <w:color w:val="000000"/>
                      <w:kern w:val="0"/>
                      <w:szCs w:val="21"/>
                    </w:rPr>
                    <w:t>1.26</w:t>
                  </w:r>
                </w:p>
              </w:tc>
              <w:tc>
                <w:tcPr>
                  <w:tcW w:w="919" w:type="dxa"/>
                  <w:gridSpan w:val="2"/>
                  <w:vAlign w:val="center"/>
                </w:tcPr>
                <w:p>
                  <w:pPr>
                    <w:widowControl/>
                    <w:jc w:val="center"/>
                    <w:textAlignment w:val="center"/>
                    <w:rPr>
                      <w:bCs/>
                      <w:kern w:val="0"/>
                      <w:szCs w:val="21"/>
                    </w:rPr>
                  </w:pPr>
                  <w:r>
                    <w:rPr>
                      <w:color w:val="000000"/>
                      <w:kern w:val="0"/>
                      <w:szCs w:val="21"/>
                    </w:rPr>
                    <w:t>0.37</w:t>
                  </w:r>
                </w:p>
              </w:tc>
              <w:tc>
                <w:tcPr>
                  <w:tcW w:w="833" w:type="dxa"/>
                  <w:gridSpan w:val="2"/>
                  <w:vAlign w:val="center"/>
                </w:tcPr>
                <w:p>
                  <w:pPr>
                    <w:widowControl/>
                    <w:jc w:val="center"/>
                    <w:textAlignment w:val="center"/>
                    <w:rPr>
                      <w:b/>
                      <w:bCs/>
                      <w:kern w:val="0"/>
                      <w:szCs w:val="21"/>
                      <w:highlight w:val="yellow"/>
                    </w:rPr>
                  </w:pPr>
                  <w:r>
                    <w:rPr>
                      <w:color w:val="000000"/>
                      <w:kern w:val="0"/>
                      <w:szCs w:val="21"/>
                    </w:rPr>
                    <w:t>5.0</w:t>
                  </w:r>
                </w:p>
              </w:tc>
              <w:tc>
                <w:tcPr>
                  <w:tcW w:w="919" w:type="dxa"/>
                  <w:gridSpan w:val="2"/>
                  <w:vAlign w:val="center"/>
                </w:tcPr>
                <w:p>
                  <w:pPr>
                    <w:widowControl/>
                    <w:jc w:val="center"/>
                    <w:textAlignment w:val="center"/>
                    <w:rPr>
                      <w:kern w:val="0"/>
                      <w:szCs w:val="21"/>
                    </w:rPr>
                  </w:pPr>
                  <w:r>
                    <w:rPr>
                      <w:color w:val="000000"/>
                      <w:kern w:val="0"/>
                      <w:szCs w:val="21"/>
                    </w:rPr>
                    <w:t>0.05L</w:t>
                  </w:r>
                </w:p>
              </w:tc>
              <w:tc>
                <w:tcPr>
                  <w:tcW w:w="1092" w:type="dxa"/>
                  <w:vAlign w:val="center"/>
                </w:tcPr>
                <w:p>
                  <w:pPr>
                    <w:widowControl/>
                    <w:jc w:val="center"/>
                    <w:textAlignment w:val="center"/>
                    <w:rPr>
                      <w:bCs/>
                      <w:kern w:val="0"/>
                      <w:szCs w:val="21"/>
                    </w:rPr>
                  </w:pPr>
                  <w:r>
                    <w:rPr>
                      <w:color w:val="000000"/>
                      <w:kern w:val="0"/>
                      <w:szCs w:val="21"/>
                    </w:rPr>
                    <w:t>0.0006</w:t>
                  </w:r>
                </w:p>
              </w:tc>
              <w:tc>
                <w:tcPr>
                  <w:tcW w:w="926" w:type="dxa"/>
                  <w:vAlign w:val="center"/>
                </w:tcPr>
                <w:p>
                  <w:pPr>
                    <w:widowControl/>
                    <w:jc w:val="center"/>
                    <w:textAlignment w:val="center"/>
                    <w:rPr>
                      <w:kern w:val="0"/>
                      <w:szCs w:val="21"/>
                    </w:rPr>
                  </w:pPr>
                  <w:r>
                    <w:rPr>
                      <w:color w:val="000000"/>
                      <w:kern w:val="0"/>
                      <w:szCs w:val="21"/>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5" w:hRule="atLeast"/>
                <w:jc w:val="center"/>
              </w:trPr>
              <w:tc>
                <w:tcPr>
                  <w:tcW w:w="1058" w:type="dxa"/>
                  <w:gridSpan w:val="2"/>
                  <w:vAlign w:val="center"/>
                </w:tcPr>
                <w:p>
                  <w:pPr>
                    <w:widowControl/>
                    <w:spacing w:line="240" w:lineRule="exact"/>
                    <w:jc w:val="center"/>
                    <w:textAlignment w:val="center"/>
                    <w:rPr>
                      <w:b/>
                      <w:kern w:val="0"/>
                      <w:szCs w:val="21"/>
                    </w:rPr>
                  </w:pPr>
                  <w:r>
                    <w:rPr>
                      <w:b/>
                      <w:kern w:val="0"/>
                      <w:szCs w:val="21"/>
                    </w:rPr>
                    <w:t>执行</w:t>
                  </w:r>
                </w:p>
                <w:p>
                  <w:pPr>
                    <w:widowControl/>
                    <w:spacing w:line="240" w:lineRule="exact"/>
                    <w:jc w:val="center"/>
                    <w:textAlignment w:val="center"/>
                    <w:rPr>
                      <w:bCs/>
                      <w:kern w:val="0"/>
                      <w:szCs w:val="21"/>
                    </w:rPr>
                  </w:pPr>
                  <w:r>
                    <w:rPr>
                      <w:b/>
                      <w:kern w:val="0"/>
                      <w:szCs w:val="21"/>
                    </w:rPr>
                    <w:t>标准</w:t>
                  </w:r>
                </w:p>
              </w:tc>
              <w:tc>
                <w:tcPr>
                  <w:tcW w:w="557" w:type="dxa"/>
                  <w:vAlign w:val="center"/>
                </w:tcPr>
                <w:p>
                  <w:pPr>
                    <w:widowControl/>
                    <w:spacing w:line="240" w:lineRule="exact"/>
                    <w:jc w:val="center"/>
                    <w:textAlignment w:val="center"/>
                    <w:rPr>
                      <w:b/>
                      <w:kern w:val="0"/>
                      <w:szCs w:val="21"/>
                    </w:rPr>
                  </w:pPr>
                  <w:r>
                    <w:rPr>
                      <w:b/>
                      <w:kern w:val="0"/>
                      <w:szCs w:val="21"/>
                    </w:rPr>
                    <w:t>6~9</w:t>
                  </w:r>
                </w:p>
              </w:tc>
              <w:tc>
                <w:tcPr>
                  <w:tcW w:w="753" w:type="dxa"/>
                  <w:vAlign w:val="center"/>
                </w:tcPr>
                <w:p>
                  <w:pPr>
                    <w:widowControl/>
                    <w:spacing w:line="240" w:lineRule="exact"/>
                    <w:jc w:val="center"/>
                    <w:textAlignment w:val="center"/>
                    <w:rPr>
                      <w:b/>
                      <w:szCs w:val="21"/>
                    </w:rPr>
                  </w:pPr>
                  <w:r>
                    <w:rPr>
                      <w:b/>
                      <w:kern w:val="0"/>
                      <w:szCs w:val="21"/>
                    </w:rPr>
                    <w:t>≤20</w:t>
                  </w:r>
                </w:p>
              </w:tc>
              <w:tc>
                <w:tcPr>
                  <w:tcW w:w="922" w:type="dxa"/>
                  <w:vAlign w:val="center"/>
                </w:tcPr>
                <w:p>
                  <w:pPr>
                    <w:widowControl/>
                    <w:spacing w:line="240" w:lineRule="exact"/>
                    <w:jc w:val="center"/>
                    <w:textAlignment w:val="center"/>
                    <w:rPr>
                      <w:b/>
                      <w:szCs w:val="21"/>
                    </w:rPr>
                  </w:pPr>
                  <w:r>
                    <w:rPr>
                      <w:b/>
                      <w:kern w:val="0"/>
                      <w:szCs w:val="21"/>
                    </w:rPr>
                    <w:t>≤1.0</w:t>
                  </w:r>
                </w:p>
              </w:tc>
              <w:tc>
                <w:tcPr>
                  <w:tcW w:w="919" w:type="dxa"/>
                  <w:gridSpan w:val="2"/>
                  <w:vAlign w:val="center"/>
                </w:tcPr>
                <w:p>
                  <w:pPr>
                    <w:widowControl/>
                    <w:spacing w:line="240" w:lineRule="exact"/>
                    <w:jc w:val="center"/>
                    <w:textAlignment w:val="center"/>
                    <w:rPr>
                      <w:b/>
                      <w:szCs w:val="21"/>
                    </w:rPr>
                  </w:pPr>
                  <w:r>
                    <w:rPr>
                      <w:b/>
                      <w:kern w:val="0"/>
                      <w:szCs w:val="21"/>
                    </w:rPr>
                    <w:t>≤0.05</w:t>
                  </w:r>
                </w:p>
              </w:tc>
              <w:tc>
                <w:tcPr>
                  <w:tcW w:w="833" w:type="dxa"/>
                  <w:gridSpan w:val="2"/>
                  <w:vAlign w:val="center"/>
                </w:tcPr>
                <w:p>
                  <w:pPr>
                    <w:widowControl/>
                    <w:spacing w:line="240" w:lineRule="exact"/>
                    <w:jc w:val="center"/>
                    <w:textAlignment w:val="center"/>
                    <w:rPr>
                      <w:b/>
                      <w:kern w:val="0"/>
                      <w:szCs w:val="21"/>
                    </w:rPr>
                  </w:pPr>
                  <w:r>
                    <w:rPr>
                      <w:b/>
                      <w:kern w:val="0"/>
                      <w:szCs w:val="21"/>
                    </w:rPr>
                    <w:t>≤4</w:t>
                  </w:r>
                </w:p>
              </w:tc>
              <w:tc>
                <w:tcPr>
                  <w:tcW w:w="919" w:type="dxa"/>
                  <w:gridSpan w:val="2"/>
                  <w:vAlign w:val="center"/>
                </w:tcPr>
                <w:p>
                  <w:pPr>
                    <w:widowControl/>
                    <w:spacing w:line="240" w:lineRule="exact"/>
                    <w:jc w:val="center"/>
                    <w:textAlignment w:val="center"/>
                    <w:rPr>
                      <w:b/>
                      <w:kern w:val="0"/>
                      <w:szCs w:val="21"/>
                    </w:rPr>
                  </w:pPr>
                  <w:r>
                    <w:rPr>
                      <w:b/>
                      <w:kern w:val="0"/>
                      <w:szCs w:val="21"/>
                    </w:rPr>
                    <w:t>≤0.2</w:t>
                  </w:r>
                </w:p>
              </w:tc>
              <w:tc>
                <w:tcPr>
                  <w:tcW w:w="1092" w:type="dxa"/>
                  <w:vAlign w:val="center"/>
                </w:tcPr>
                <w:p>
                  <w:pPr>
                    <w:widowControl/>
                    <w:spacing w:line="240" w:lineRule="exact"/>
                    <w:jc w:val="center"/>
                    <w:textAlignment w:val="center"/>
                    <w:rPr>
                      <w:b/>
                      <w:kern w:val="0"/>
                      <w:szCs w:val="21"/>
                    </w:rPr>
                  </w:pPr>
                  <w:r>
                    <w:rPr>
                      <w:b/>
                      <w:kern w:val="0"/>
                      <w:szCs w:val="21"/>
                    </w:rPr>
                    <w:t>≤0.005</w:t>
                  </w:r>
                </w:p>
              </w:tc>
              <w:tc>
                <w:tcPr>
                  <w:tcW w:w="926" w:type="dxa"/>
                  <w:vAlign w:val="center"/>
                </w:tcPr>
                <w:p>
                  <w:pPr>
                    <w:widowControl/>
                    <w:spacing w:line="240" w:lineRule="exact"/>
                    <w:jc w:val="center"/>
                    <w:textAlignment w:val="center"/>
                    <w:rPr>
                      <w:bCs/>
                      <w:kern w:val="0"/>
                      <w:szCs w:val="21"/>
                    </w:rPr>
                  </w:pPr>
                  <w:r>
                    <w:rPr>
                      <w:b/>
                      <w:kern w:val="0"/>
                      <w:szCs w:val="21"/>
                    </w:rPr>
                    <w:t>≤0.05</w:t>
                  </w:r>
                </w:p>
              </w:tc>
            </w:tr>
          </w:tbl>
          <w:p>
            <w:pPr>
              <w:pStyle w:val="2"/>
              <w:ind w:firstLine="480"/>
            </w:pPr>
            <w:r>
              <w:t>根据上述监测结果可知，</w:t>
            </w:r>
            <w:r>
              <w:rPr>
                <w:rFonts w:hint="eastAsia"/>
              </w:rPr>
              <w:t>2019</w:t>
            </w:r>
            <w:r>
              <w:t>年</w:t>
            </w:r>
            <w:r>
              <w:rPr>
                <w:rFonts w:hint="eastAsia"/>
              </w:rPr>
              <w:t>东风湖断面</w:t>
            </w:r>
            <w:r>
              <w:t>的监测因子</w:t>
            </w:r>
            <w:r>
              <w:rPr>
                <w:rFonts w:hint="eastAsia"/>
              </w:rPr>
              <w:t>除p</w:t>
            </w:r>
            <w:r>
              <w:t>H、LAS、挥发酚、石油类达标以外，其它因子均未达到《地表水环境质量标准》（GB3838-2002）中的Ⅲ类标准。</w:t>
            </w:r>
          </w:p>
          <w:p>
            <w:pPr>
              <w:pStyle w:val="17"/>
              <w:adjustRightInd/>
              <w:snapToGrid/>
              <w:spacing w:beforeLines="0"/>
              <w:ind w:firstLine="482"/>
              <w:rPr>
                <w:b/>
                <w:kern w:val="2"/>
              </w:rPr>
            </w:pPr>
            <w:r>
              <w:rPr>
                <w:b/>
                <w:kern w:val="2"/>
              </w:rPr>
              <w:t>三、声环境质量现状</w:t>
            </w:r>
          </w:p>
          <w:p>
            <w:pPr>
              <w:pStyle w:val="2"/>
              <w:ind w:firstLine="480"/>
            </w:pPr>
            <w:r>
              <w:rPr>
                <w:rFonts w:hint="eastAsia"/>
              </w:rPr>
              <w:t>本项目</w:t>
            </w:r>
            <w:r>
              <w:rPr>
                <w:rFonts w:hint="eastAsia" w:hAnsi="宋体"/>
              </w:rPr>
              <w:t>西侧、北</w:t>
            </w:r>
            <w:r>
              <w:rPr>
                <w:rFonts w:hint="eastAsia"/>
              </w:rPr>
              <w:t>侧区域各有一处声环境保护目标点，根据</w:t>
            </w:r>
            <w:r>
              <w:t>《</w:t>
            </w:r>
            <w:r>
              <w:rPr>
                <w:rFonts w:hint="eastAsia"/>
              </w:rPr>
              <w:t>岳阳市城区声环境功能区划分方案</w:t>
            </w:r>
            <w:r>
              <w:t>》</w:t>
            </w:r>
            <w:r>
              <w:rPr>
                <w:rFonts w:hint="eastAsia"/>
              </w:rPr>
              <w:t>，项目所在</w:t>
            </w:r>
            <w:r>
              <w:t>区域属于2类区，执行《声环境质量标准》（GB3096-2008）2类标准</w:t>
            </w:r>
            <w:r>
              <w:rPr>
                <w:rFonts w:hint="eastAsia"/>
              </w:rPr>
              <w:t>。</w:t>
            </w:r>
          </w:p>
          <w:p>
            <w:pPr>
              <w:pStyle w:val="2"/>
              <w:ind w:firstLine="480"/>
              <w:rPr>
                <w:color w:val="auto"/>
              </w:rPr>
            </w:pPr>
            <w:r>
              <w:rPr>
                <w:rFonts w:hint="eastAsia"/>
              </w:rPr>
              <w:t>为了解项目所在区域内的声环境质量现状，本次评价委托于湖南博测检测技术有限公司</w:t>
            </w:r>
            <w:r>
              <w:t>对项目</w:t>
            </w:r>
            <w:r>
              <w:rPr>
                <w:rFonts w:hint="eastAsia"/>
              </w:rPr>
              <w:t>所在地周边</w:t>
            </w:r>
            <w:r>
              <w:t>进行声环境现状监测</w:t>
            </w:r>
            <w:r>
              <w:rPr>
                <w:rFonts w:hint="eastAsia"/>
                <w:color w:val="auto"/>
              </w:rPr>
              <w:t>，检测报告见</w:t>
            </w:r>
            <w:r>
              <w:rPr>
                <w:rFonts w:hint="eastAsia"/>
              </w:rPr>
              <w:t>附件6</w:t>
            </w:r>
            <w:r>
              <w:rPr>
                <w:rFonts w:hint="eastAsia"/>
                <w:lang w:eastAsia="zh-CN"/>
              </w:rPr>
              <w:t>，</w:t>
            </w:r>
            <w:r>
              <w:rPr>
                <w:rFonts w:hint="eastAsia"/>
                <w:color w:val="auto"/>
              </w:rPr>
              <w:t>监测结果如表3-3。</w:t>
            </w:r>
          </w:p>
          <w:p>
            <w:pPr>
              <w:jc w:val="center"/>
              <w:rPr>
                <w:b/>
                <w:bCs/>
                <w:color w:val="auto"/>
                <w:szCs w:val="21"/>
              </w:rPr>
            </w:pPr>
            <w:r>
              <w:rPr>
                <w:rFonts w:hint="eastAsia"/>
                <w:b/>
                <w:bCs/>
                <w:color w:val="auto"/>
                <w:szCs w:val="21"/>
              </w:rPr>
              <w:t>表3-3噪声监测结果单位：dB（A）</w:t>
            </w:r>
          </w:p>
          <w:tbl>
            <w:tblPr>
              <w:tblStyle w:val="18"/>
              <w:tblW w:w="8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898"/>
              <w:gridCol w:w="1014"/>
              <w:gridCol w:w="922"/>
              <w:gridCol w:w="921"/>
              <w:gridCol w:w="922"/>
              <w:gridCol w:w="921"/>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tblHeader/>
                <w:jc w:val="center"/>
              </w:trPr>
              <w:tc>
                <w:tcPr>
                  <w:tcW w:w="1508" w:type="dxa"/>
                  <w:vMerge w:val="restart"/>
                  <w:vAlign w:val="center"/>
                </w:tcPr>
                <w:p>
                  <w:pPr>
                    <w:adjustRightInd w:val="0"/>
                    <w:snapToGrid w:val="0"/>
                    <w:jc w:val="center"/>
                    <w:rPr>
                      <w:bCs/>
                      <w:color w:val="auto"/>
                      <w:szCs w:val="21"/>
                    </w:rPr>
                  </w:pPr>
                  <w:r>
                    <w:rPr>
                      <w:bCs/>
                      <w:color w:val="auto"/>
                      <w:szCs w:val="21"/>
                    </w:rPr>
                    <w:t>监测点位</w:t>
                  </w:r>
                </w:p>
              </w:tc>
              <w:tc>
                <w:tcPr>
                  <w:tcW w:w="898" w:type="dxa"/>
                  <w:vMerge w:val="restart"/>
                  <w:vAlign w:val="center"/>
                </w:tcPr>
                <w:p>
                  <w:pPr>
                    <w:adjustRightInd w:val="0"/>
                    <w:snapToGrid w:val="0"/>
                    <w:jc w:val="center"/>
                    <w:rPr>
                      <w:bCs/>
                      <w:color w:val="auto"/>
                      <w:szCs w:val="21"/>
                    </w:rPr>
                  </w:pPr>
                  <w:r>
                    <w:rPr>
                      <w:bCs/>
                      <w:color w:val="auto"/>
                      <w:szCs w:val="21"/>
                    </w:rPr>
                    <w:t>监测</w:t>
                  </w:r>
                </w:p>
                <w:p>
                  <w:pPr>
                    <w:adjustRightInd w:val="0"/>
                    <w:snapToGrid w:val="0"/>
                    <w:jc w:val="center"/>
                    <w:rPr>
                      <w:bCs/>
                      <w:color w:val="auto"/>
                      <w:szCs w:val="21"/>
                    </w:rPr>
                  </w:pPr>
                  <w:r>
                    <w:rPr>
                      <w:bCs/>
                      <w:color w:val="auto"/>
                      <w:szCs w:val="21"/>
                    </w:rPr>
                    <w:t>日期</w:t>
                  </w:r>
                </w:p>
              </w:tc>
              <w:tc>
                <w:tcPr>
                  <w:tcW w:w="1936" w:type="dxa"/>
                  <w:gridSpan w:val="2"/>
                  <w:vAlign w:val="center"/>
                </w:tcPr>
                <w:p>
                  <w:pPr>
                    <w:adjustRightInd w:val="0"/>
                    <w:snapToGrid w:val="0"/>
                    <w:jc w:val="center"/>
                    <w:rPr>
                      <w:bCs/>
                      <w:color w:val="auto"/>
                      <w:szCs w:val="21"/>
                    </w:rPr>
                  </w:pPr>
                  <w:r>
                    <w:rPr>
                      <w:bCs/>
                      <w:color w:val="auto"/>
                      <w:szCs w:val="21"/>
                    </w:rPr>
                    <w:t>监测结果</w:t>
                  </w:r>
                </w:p>
              </w:tc>
              <w:tc>
                <w:tcPr>
                  <w:tcW w:w="1843" w:type="dxa"/>
                  <w:gridSpan w:val="2"/>
                  <w:vAlign w:val="center"/>
                </w:tcPr>
                <w:p>
                  <w:pPr>
                    <w:adjustRightInd w:val="0"/>
                    <w:snapToGrid w:val="0"/>
                    <w:jc w:val="center"/>
                    <w:rPr>
                      <w:bCs/>
                      <w:color w:val="auto"/>
                      <w:szCs w:val="21"/>
                    </w:rPr>
                  </w:pPr>
                  <w:r>
                    <w:rPr>
                      <w:bCs/>
                      <w:color w:val="auto"/>
                      <w:szCs w:val="21"/>
                    </w:rPr>
                    <w:t>标准限值</w:t>
                  </w:r>
                </w:p>
              </w:tc>
              <w:tc>
                <w:tcPr>
                  <w:tcW w:w="1842" w:type="dxa"/>
                  <w:gridSpan w:val="2"/>
                  <w:vAlign w:val="center"/>
                </w:tcPr>
                <w:p>
                  <w:pPr>
                    <w:adjustRightInd w:val="0"/>
                    <w:snapToGrid w:val="0"/>
                    <w:jc w:val="center"/>
                    <w:rPr>
                      <w:bCs/>
                      <w:color w:val="auto"/>
                      <w:szCs w:val="21"/>
                    </w:rPr>
                  </w:pPr>
                  <w:r>
                    <w:rPr>
                      <w:bCs/>
                      <w:color w:val="auto"/>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tblHeader/>
                <w:jc w:val="center"/>
              </w:trPr>
              <w:tc>
                <w:tcPr>
                  <w:tcW w:w="1508" w:type="dxa"/>
                  <w:vMerge w:val="continue"/>
                  <w:vAlign w:val="center"/>
                </w:tcPr>
                <w:p>
                  <w:pPr>
                    <w:adjustRightInd w:val="0"/>
                    <w:snapToGrid w:val="0"/>
                    <w:jc w:val="center"/>
                    <w:rPr>
                      <w:bCs/>
                      <w:color w:val="auto"/>
                      <w:szCs w:val="21"/>
                    </w:rPr>
                  </w:pPr>
                </w:p>
              </w:tc>
              <w:tc>
                <w:tcPr>
                  <w:tcW w:w="898" w:type="dxa"/>
                  <w:vMerge w:val="continue"/>
                  <w:vAlign w:val="center"/>
                </w:tcPr>
                <w:p>
                  <w:pPr>
                    <w:adjustRightInd w:val="0"/>
                    <w:snapToGrid w:val="0"/>
                    <w:jc w:val="center"/>
                    <w:rPr>
                      <w:bCs/>
                      <w:color w:val="auto"/>
                      <w:szCs w:val="21"/>
                    </w:rPr>
                  </w:pPr>
                </w:p>
              </w:tc>
              <w:tc>
                <w:tcPr>
                  <w:tcW w:w="1014" w:type="dxa"/>
                  <w:vAlign w:val="center"/>
                </w:tcPr>
                <w:p>
                  <w:pPr>
                    <w:adjustRightInd w:val="0"/>
                    <w:snapToGrid w:val="0"/>
                    <w:jc w:val="center"/>
                    <w:rPr>
                      <w:bCs/>
                      <w:color w:val="auto"/>
                      <w:szCs w:val="21"/>
                    </w:rPr>
                  </w:pPr>
                  <w:r>
                    <w:rPr>
                      <w:bCs/>
                      <w:color w:val="auto"/>
                      <w:szCs w:val="21"/>
                    </w:rPr>
                    <w:t>昼间</w:t>
                  </w:r>
                </w:p>
              </w:tc>
              <w:tc>
                <w:tcPr>
                  <w:tcW w:w="922" w:type="dxa"/>
                  <w:vAlign w:val="center"/>
                </w:tcPr>
                <w:p>
                  <w:pPr>
                    <w:adjustRightInd w:val="0"/>
                    <w:snapToGrid w:val="0"/>
                    <w:jc w:val="center"/>
                    <w:rPr>
                      <w:bCs/>
                      <w:color w:val="auto"/>
                      <w:szCs w:val="21"/>
                    </w:rPr>
                  </w:pPr>
                  <w:r>
                    <w:rPr>
                      <w:bCs/>
                      <w:color w:val="auto"/>
                      <w:szCs w:val="21"/>
                    </w:rPr>
                    <w:t>夜间</w:t>
                  </w:r>
                </w:p>
              </w:tc>
              <w:tc>
                <w:tcPr>
                  <w:tcW w:w="921" w:type="dxa"/>
                  <w:vAlign w:val="center"/>
                </w:tcPr>
                <w:p>
                  <w:pPr>
                    <w:adjustRightInd w:val="0"/>
                    <w:snapToGrid w:val="0"/>
                    <w:jc w:val="center"/>
                    <w:rPr>
                      <w:bCs/>
                      <w:color w:val="auto"/>
                      <w:szCs w:val="21"/>
                    </w:rPr>
                  </w:pPr>
                  <w:r>
                    <w:rPr>
                      <w:bCs/>
                      <w:color w:val="auto"/>
                      <w:szCs w:val="21"/>
                    </w:rPr>
                    <w:t>昼间</w:t>
                  </w:r>
                </w:p>
              </w:tc>
              <w:tc>
                <w:tcPr>
                  <w:tcW w:w="922" w:type="dxa"/>
                  <w:vAlign w:val="center"/>
                </w:tcPr>
                <w:p>
                  <w:pPr>
                    <w:adjustRightInd w:val="0"/>
                    <w:snapToGrid w:val="0"/>
                    <w:jc w:val="center"/>
                    <w:rPr>
                      <w:bCs/>
                      <w:color w:val="auto"/>
                      <w:szCs w:val="21"/>
                    </w:rPr>
                  </w:pPr>
                  <w:r>
                    <w:rPr>
                      <w:bCs/>
                      <w:color w:val="auto"/>
                      <w:szCs w:val="21"/>
                    </w:rPr>
                    <w:t>夜间</w:t>
                  </w:r>
                </w:p>
              </w:tc>
              <w:tc>
                <w:tcPr>
                  <w:tcW w:w="921" w:type="dxa"/>
                  <w:vAlign w:val="center"/>
                </w:tcPr>
                <w:p>
                  <w:pPr>
                    <w:adjustRightInd w:val="0"/>
                    <w:snapToGrid w:val="0"/>
                    <w:jc w:val="center"/>
                    <w:rPr>
                      <w:bCs/>
                      <w:color w:val="auto"/>
                      <w:szCs w:val="21"/>
                    </w:rPr>
                  </w:pPr>
                  <w:r>
                    <w:rPr>
                      <w:bCs/>
                      <w:color w:val="auto"/>
                      <w:szCs w:val="21"/>
                    </w:rPr>
                    <w:t>昼间</w:t>
                  </w:r>
                </w:p>
              </w:tc>
              <w:tc>
                <w:tcPr>
                  <w:tcW w:w="921" w:type="dxa"/>
                  <w:vAlign w:val="center"/>
                </w:tcPr>
                <w:p>
                  <w:pPr>
                    <w:adjustRightInd w:val="0"/>
                    <w:snapToGrid w:val="0"/>
                    <w:jc w:val="center"/>
                    <w:rPr>
                      <w:bCs/>
                      <w:color w:val="auto"/>
                      <w:szCs w:val="21"/>
                    </w:rPr>
                  </w:pPr>
                  <w:r>
                    <w:rPr>
                      <w:bCs/>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1508" w:type="dxa"/>
                  <w:vAlign w:val="center"/>
                </w:tcPr>
                <w:p>
                  <w:pPr>
                    <w:jc w:val="center"/>
                    <w:rPr>
                      <w:bCs/>
                      <w:color w:val="auto"/>
                      <w:szCs w:val="21"/>
                    </w:rPr>
                  </w:pPr>
                  <w:r>
                    <w:rPr>
                      <w:rFonts w:hint="eastAsia"/>
                      <w:color w:val="auto"/>
                      <w:szCs w:val="21"/>
                    </w:rPr>
                    <w:t>1#1#厂界外西侧18m处环境保护目标点：九华北门新区</w:t>
                  </w:r>
                </w:p>
              </w:tc>
              <w:tc>
                <w:tcPr>
                  <w:tcW w:w="898" w:type="dxa"/>
                  <w:vMerge w:val="restart"/>
                  <w:vAlign w:val="center"/>
                </w:tcPr>
                <w:p>
                  <w:pPr>
                    <w:jc w:val="center"/>
                    <w:rPr>
                      <w:rFonts w:hint="default" w:eastAsia="宋体"/>
                      <w:color w:val="auto"/>
                      <w:szCs w:val="21"/>
                      <w:lang w:val="en-US" w:eastAsia="zh-CN"/>
                    </w:rPr>
                  </w:pPr>
                  <w:r>
                    <w:rPr>
                      <w:rFonts w:hint="eastAsia"/>
                      <w:color w:val="auto"/>
                      <w:szCs w:val="21"/>
                      <w:lang w:val="en-US" w:eastAsia="zh-CN"/>
                    </w:rPr>
                    <w:t>2021.6.29</w:t>
                  </w:r>
                </w:p>
              </w:tc>
              <w:tc>
                <w:tcPr>
                  <w:tcW w:w="1014" w:type="dxa"/>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55</w:t>
                  </w:r>
                </w:p>
              </w:tc>
              <w:tc>
                <w:tcPr>
                  <w:tcW w:w="922" w:type="dxa"/>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48</w:t>
                  </w:r>
                </w:p>
              </w:tc>
              <w:tc>
                <w:tcPr>
                  <w:tcW w:w="921" w:type="dxa"/>
                  <w:vMerge w:val="restart"/>
                  <w:vAlign w:val="center"/>
                </w:tcPr>
                <w:p>
                  <w:pPr>
                    <w:jc w:val="center"/>
                    <w:rPr>
                      <w:rFonts w:hint="default" w:eastAsia="宋体"/>
                      <w:color w:val="auto"/>
                      <w:szCs w:val="21"/>
                      <w:lang w:val="en-US" w:eastAsia="zh-CN"/>
                    </w:rPr>
                  </w:pPr>
                  <w:r>
                    <w:rPr>
                      <w:rFonts w:hint="eastAsia"/>
                      <w:color w:val="auto"/>
                      <w:szCs w:val="21"/>
                      <w:lang w:val="en-US" w:eastAsia="zh-CN"/>
                    </w:rPr>
                    <w:t>60</w:t>
                  </w:r>
                </w:p>
              </w:tc>
              <w:tc>
                <w:tcPr>
                  <w:tcW w:w="922" w:type="dxa"/>
                  <w:vMerge w:val="restart"/>
                  <w:vAlign w:val="center"/>
                </w:tcPr>
                <w:p>
                  <w:pPr>
                    <w:jc w:val="center"/>
                    <w:rPr>
                      <w:rFonts w:hint="default" w:eastAsia="宋体"/>
                      <w:color w:val="auto"/>
                      <w:szCs w:val="21"/>
                      <w:lang w:val="en-US" w:eastAsia="zh-CN"/>
                    </w:rPr>
                  </w:pPr>
                  <w:r>
                    <w:rPr>
                      <w:rFonts w:hint="eastAsia"/>
                      <w:color w:val="auto"/>
                      <w:szCs w:val="21"/>
                      <w:lang w:val="en-US" w:eastAsia="zh-CN"/>
                    </w:rPr>
                    <w:t>50</w:t>
                  </w:r>
                </w:p>
              </w:tc>
              <w:tc>
                <w:tcPr>
                  <w:tcW w:w="921" w:type="dxa"/>
                  <w:vMerge w:val="restart"/>
                  <w:vAlign w:val="center"/>
                </w:tcPr>
                <w:p>
                  <w:pPr>
                    <w:jc w:val="center"/>
                    <w:rPr>
                      <w:color w:val="auto"/>
                      <w:szCs w:val="21"/>
                    </w:rPr>
                  </w:pPr>
                  <w:r>
                    <w:rPr>
                      <w:rFonts w:hint="eastAsia"/>
                      <w:color w:val="auto"/>
                      <w:szCs w:val="21"/>
                    </w:rPr>
                    <w:t>达标</w:t>
                  </w:r>
                </w:p>
              </w:tc>
              <w:tc>
                <w:tcPr>
                  <w:tcW w:w="921" w:type="dxa"/>
                  <w:vMerge w:val="restart"/>
                  <w:vAlign w:val="center"/>
                </w:tcPr>
                <w:p>
                  <w:pPr>
                    <w:jc w:val="center"/>
                    <w:rPr>
                      <w:color w:val="auto"/>
                      <w:szCs w:val="21"/>
                    </w:rPr>
                  </w:pPr>
                  <w:r>
                    <w:rPr>
                      <w:rFonts w:hint="eastAsia"/>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508" w:type="dxa"/>
                  <w:vAlign w:val="center"/>
                </w:tcPr>
                <w:p>
                  <w:pPr>
                    <w:rPr>
                      <w:bCs/>
                      <w:color w:val="auto"/>
                      <w:szCs w:val="21"/>
                    </w:rPr>
                  </w:pPr>
                  <w:r>
                    <w:rPr>
                      <w:color w:val="auto"/>
                      <w:szCs w:val="21"/>
                    </w:rPr>
                    <w:t>2</w:t>
                  </w:r>
                  <w:r>
                    <w:rPr>
                      <w:color w:val="auto"/>
                      <w:sz w:val="22"/>
                      <w:szCs w:val="22"/>
                    </w:rPr>
                    <w:t>#</w:t>
                  </w:r>
                  <w:r>
                    <w:rPr>
                      <w:rFonts w:hint="eastAsia"/>
                      <w:color w:val="auto"/>
                      <w:szCs w:val="21"/>
                    </w:rPr>
                    <w:t>厂界外北侧30m处环境保护目标点：洞庭渔都</w:t>
                  </w:r>
                </w:p>
              </w:tc>
              <w:tc>
                <w:tcPr>
                  <w:tcW w:w="898" w:type="dxa"/>
                  <w:vMerge w:val="continue"/>
                  <w:vAlign w:val="center"/>
                </w:tcPr>
                <w:p>
                  <w:pPr>
                    <w:jc w:val="center"/>
                    <w:rPr>
                      <w:color w:val="auto"/>
                      <w:szCs w:val="21"/>
                    </w:rPr>
                  </w:pPr>
                </w:p>
              </w:tc>
              <w:tc>
                <w:tcPr>
                  <w:tcW w:w="1014" w:type="dxa"/>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53</w:t>
                  </w:r>
                </w:p>
              </w:tc>
              <w:tc>
                <w:tcPr>
                  <w:tcW w:w="922" w:type="dxa"/>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47</w:t>
                  </w:r>
                </w:p>
              </w:tc>
              <w:tc>
                <w:tcPr>
                  <w:tcW w:w="921" w:type="dxa"/>
                  <w:vMerge w:val="continue"/>
                  <w:tcBorders/>
                  <w:vAlign w:val="center"/>
                </w:tcPr>
                <w:p>
                  <w:pPr>
                    <w:jc w:val="center"/>
                    <w:rPr>
                      <w:color w:val="auto"/>
                      <w:szCs w:val="21"/>
                    </w:rPr>
                  </w:pPr>
                </w:p>
              </w:tc>
              <w:tc>
                <w:tcPr>
                  <w:tcW w:w="922" w:type="dxa"/>
                  <w:vMerge w:val="continue"/>
                  <w:tcBorders/>
                  <w:vAlign w:val="center"/>
                </w:tcPr>
                <w:p>
                  <w:pPr>
                    <w:jc w:val="center"/>
                    <w:rPr>
                      <w:color w:val="auto"/>
                      <w:szCs w:val="21"/>
                    </w:rPr>
                  </w:pPr>
                </w:p>
              </w:tc>
              <w:tc>
                <w:tcPr>
                  <w:tcW w:w="921" w:type="dxa"/>
                  <w:vMerge w:val="continue"/>
                  <w:vAlign w:val="center"/>
                </w:tcPr>
                <w:p>
                  <w:pPr>
                    <w:jc w:val="center"/>
                    <w:rPr>
                      <w:color w:val="auto"/>
                      <w:szCs w:val="21"/>
                    </w:rPr>
                  </w:pPr>
                </w:p>
              </w:tc>
              <w:tc>
                <w:tcPr>
                  <w:tcW w:w="921" w:type="dxa"/>
                  <w:vMerge w:val="continue"/>
                  <w:vAlign w:val="center"/>
                </w:tcPr>
                <w:p>
                  <w:pPr>
                    <w:jc w:val="center"/>
                    <w:rPr>
                      <w:color w:val="auto"/>
                      <w:szCs w:val="21"/>
                    </w:rPr>
                  </w:pPr>
                </w:p>
              </w:tc>
            </w:tr>
          </w:tbl>
          <w:p>
            <w:pPr>
              <w:pStyle w:val="2"/>
              <w:rPr>
                <w:color w:val="FF0000"/>
              </w:rPr>
            </w:pPr>
            <w:r>
              <w:rPr>
                <w:rFonts w:hint="eastAsia"/>
                <w:color w:val="auto"/>
                <w:lang w:eastAsia="zh-CN"/>
              </w:rPr>
              <w:t>根据</w:t>
            </w:r>
            <w:r>
              <w:rPr>
                <w:rFonts w:hint="eastAsia"/>
                <w:color w:val="auto"/>
              </w:rPr>
              <w:t>现状监测结果表明，项目场址</w:t>
            </w:r>
            <w:r>
              <w:rPr>
                <w:rFonts w:hint="eastAsia"/>
                <w:color w:val="auto"/>
                <w:lang w:eastAsia="zh-CN"/>
              </w:rPr>
              <w:t>环境敏感</w:t>
            </w:r>
            <w:r>
              <w:rPr>
                <w:rFonts w:hint="eastAsia"/>
                <w:color w:val="auto"/>
              </w:rPr>
              <w:t>目标</w:t>
            </w:r>
            <w:r>
              <w:rPr>
                <w:rFonts w:hint="eastAsia"/>
                <w:color w:val="auto"/>
                <w:lang w:eastAsia="zh-CN"/>
              </w:rPr>
              <w:t>点</w:t>
            </w:r>
            <w:r>
              <w:rPr>
                <w:rFonts w:hint="eastAsia"/>
                <w:color w:val="auto"/>
              </w:rPr>
              <w:t>声环境质量现状监测值</w:t>
            </w:r>
            <w:r>
              <w:rPr>
                <w:rFonts w:hint="eastAsia"/>
                <w:color w:val="auto"/>
                <w:lang w:eastAsia="zh-CN"/>
              </w:rPr>
              <w:t>能达到</w:t>
            </w:r>
            <w:r>
              <w:rPr>
                <w:rFonts w:hAnsi="宋体"/>
                <w:color w:val="auto"/>
              </w:rPr>
              <w:t>《声环境质量标准》（</w:t>
            </w:r>
            <w:r>
              <w:rPr>
                <w:color w:val="auto"/>
              </w:rPr>
              <w:t>GB3096-2008</w:t>
            </w:r>
            <w:r>
              <w:rPr>
                <w:rFonts w:hAnsi="宋体"/>
                <w:color w:val="auto"/>
              </w:rPr>
              <w:t>）</w:t>
            </w:r>
            <w:r>
              <w:rPr>
                <w:rFonts w:hint="eastAsia"/>
                <w:color w:val="auto"/>
              </w:rPr>
              <w:t>2</w:t>
            </w:r>
            <w:r>
              <w:rPr>
                <w:color w:val="auto"/>
              </w:rPr>
              <w:t>类</w:t>
            </w:r>
            <w:r>
              <w:rPr>
                <w:rFonts w:hint="eastAsia"/>
                <w:color w:val="auto"/>
              </w:rPr>
              <w:t>标准。</w:t>
            </w:r>
          </w:p>
          <w:p>
            <w:pPr>
              <w:pStyle w:val="17"/>
              <w:adjustRightInd/>
              <w:snapToGrid/>
              <w:spacing w:beforeLines="0"/>
              <w:ind w:firstLine="482"/>
              <w:rPr>
                <w:b/>
                <w:kern w:val="2"/>
              </w:rPr>
            </w:pPr>
            <w:r>
              <w:rPr>
                <w:b/>
                <w:kern w:val="2"/>
              </w:rPr>
              <w:t>四、生态环境质量</w:t>
            </w:r>
            <w:bookmarkStart w:id="3" w:name="_Toc508206565"/>
          </w:p>
          <w:bookmarkEnd w:id="3"/>
          <w:p>
            <w:pPr>
              <w:pStyle w:val="2"/>
              <w:ind w:firstLine="480"/>
            </w:pPr>
            <w:r>
              <w:t>通过</w:t>
            </w:r>
            <w:r>
              <w:rPr>
                <w:rFonts w:hint="eastAsia"/>
              </w:rPr>
              <w:t>现场调查，项目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lang w:val="en-US" w:eastAsia="zh-CN"/>
              </w:rPr>
              <w:t>。</w:t>
            </w:r>
            <w:r>
              <w:rPr>
                <w:rFonts w:hint="eastAsia"/>
              </w:rPr>
              <w:t>项目02#地块西侧、04#地块北侧50m范围内各有1处敏感目标点。04#地块施工范围内地表无植被。项目生态环境直接影响区域的土地利用类型为建设用地，</w:t>
            </w:r>
            <w:r>
              <w:t>评价区</w:t>
            </w:r>
            <w:r>
              <w:rPr>
                <w:rFonts w:hint="eastAsia"/>
              </w:rPr>
              <w:t>周边</w:t>
            </w:r>
            <w:r>
              <w:t>自然植被状况</w:t>
            </w:r>
            <w:r>
              <w:rPr>
                <w:rFonts w:hint="eastAsia"/>
              </w:rPr>
              <w:t>一般</w:t>
            </w:r>
            <w:r>
              <w:t>，以人工种植林木为主</w:t>
            </w:r>
            <w:r>
              <w:rPr>
                <w:rFonts w:hint="eastAsia"/>
              </w:rPr>
              <w:t>，</w:t>
            </w:r>
            <w:r>
              <w:t>评价范围区无重点保护的动物，主要为蛙类、鼠类</w:t>
            </w:r>
            <w:r>
              <w:rPr>
                <w:rFonts w:hint="eastAsia"/>
              </w:rPr>
              <w:t>以及人工生态系统中常见鸟</w:t>
            </w:r>
            <w:r>
              <w:t>类等。总体评价</w:t>
            </w:r>
            <w:r>
              <w:rPr>
                <w:rFonts w:hint="eastAsia"/>
              </w:rPr>
              <w:t>项目所在</w:t>
            </w:r>
            <w:r>
              <w:t>区域自然环境质量</w:t>
            </w:r>
            <w:r>
              <w:rPr>
                <w:rFonts w:hint="eastAsia"/>
              </w:rPr>
              <w:t>一般</w:t>
            </w:r>
            <w:r>
              <w:t>，不是野生动物活动的重要场所，野生动物种类较少</w:t>
            </w:r>
            <w:r>
              <w:rPr>
                <w:rFonts w:hint="eastAsia"/>
              </w:rPr>
              <w:t>。</w:t>
            </w:r>
          </w:p>
          <w:p>
            <w:pPr>
              <w:pStyle w:val="2"/>
              <w:ind w:firstLine="48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904" w:type="dxa"/>
            <w:vAlign w:val="center"/>
          </w:tcPr>
          <w:p>
            <w:pPr>
              <w:adjustRightInd w:val="0"/>
              <w:snapToGrid w:val="0"/>
              <w:jc w:val="center"/>
              <w:rPr>
                <w:rFonts w:ascii="宋体" w:hAnsi="宋体" w:cs="宋体"/>
                <w:kern w:val="0"/>
                <w:sz w:val="24"/>
              </w:rPr>
            </w:pPr>
            <w:r>
              <w:rPr>
                <w:rFonts w:hint="eastAsia" w:ascii="宋体" w:hAnsi="宋体"/>
                <w:bCs/>
                <w:sz w:val="24"/>
              </w:rPr>
              <w:t>与项目有关的原有环境污染和生态破坏问题</w:t>
            </w:r>
          </w:p>
        </w:tc>
        <w:tc>
          <w:tcPr>
            <w:tcW w:w="8253" w:type="dxa"/>
            <w:vAlign w:val="center"/>
          </w:tcPr>
          <w:p>
            <w:pPr>
              <w:pStyle w:val="2"/>
              <w:ind w:firstLine="480"/>
            </w:pPr>
            <w:r>
              <w:rPr>
                <w:rFonts w:hint="eastAsia"/>
              </w:rPr>
              <w:t>本项目为新建项目，</w:t>
            </w:r>
            <w:r>
              <w:rPr>
                <w:bCs/>
                <w:kern w:val="0"/>
              </w:rPr>
              <w:t>区域内无与本项目有关的原有环境污染</w:t>
            </w:r>
            <w:r>
              <w:rPr>
                <w:rFonts w:hint="eastAsia"/>
                <w:bCs/>
                <w:kern w:val="0"/>
              </w:rPr>
              <w:t>和生态破坏问题</w:t>
            </w:r>
            <w:r>
              <w:rPr>
                <w:bCs/>
                <w:kern w:val="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904" w:type="dxa"/>
            <w:vAlign w:val="center"/>
          </w:tcPr>
          <w:p>
            <w:pPr>
              <w:adjustRightInd w:val="0"/>
              <w:snapToGrid w:val="0"/>
              <w:jc w:val="center"/>
              <w:rPr>
                <w:rFonts w:ascii="宋体" w:hAnsi="宋体" w:cs="宋体"/>
                <w:kern w:val="0"/>
                <w:sz w:val="24"/>
              </w:rPr>
            </w:pPr>
            <w:r>
              <w:rPr>
                <w:rFonts w:hint="eastAsia" w:ascii="宋体" w:hAnsi="宋体" w:cs="宋体"/>
                <w:kern w:val="0"/>
                <w:sz w:val="24"/>
              </w:rPr>
              <w:t>生态环境保护目标</w:t>
            </w:r>
          </w:p>
        </w:tc>
        <w:tc>
          <w:tcPr>
            <w:tcW w:w="8253" w:type="dxa"/>
            <w:vAlign w:val="center"/>
          </w:tcPr>
          <w:p>
            <w:pPr>
              <w:pStyle w:val="2"/>
              <w:ind w:firstLine="480"/>
            </w:pPr>
            <w:r>
              <w:rPr>
                <w:rFonts w:hint="eastAsia"/>
              </w:rPr>
              <w:t>项目周边主要环境保护目标见下表。</w:t>
            </w:r>
          </w:p>
          <w:p>
            <w:pPr>
              <w:pStyle w:val="30"/>
              <w:rPr>
                <w:kern w:val="2"/>
                <w:szCs w:val="24"/>
              </w:rPr>
            </w:pPr>
            <w:r>
              <w:rPr>
                <w:rFonts w:hint="eastAsia"/>
                <w:kern w:val="2"/>
                <w:szCs w:val="24"/>
              </w:rPr>
              <w:t>表3-4 项目环境空气保护目标</w:t>
            </w:r>
          </w:p>
          <w:tbl>
            <w:tblPr>
              <w:tblStyle w:val="18"/>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009"/>
              <w:gridCol w:w="1096"/>
              <w:gridCol w:w="629"/>
              <w:gridCol w:w="1273"/>
              <w:gridCol w:w="941"/>
              <w:gridCol w:w="1036"/>
              <w:gridCol w:w="1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vMerge w:val="restart"/>
                  <w:vAlign w:val="center"/>
                </w:tcPr>
                <w:p>
                  <w:pPr>
                    <w:pStyle w:val="31"/>
                  </w:pPr>
                  <w:r>
                    <w:rPr>
                      <w:rFonts w:hint="eastAsia"/>
                    </w:rPr>
                    <w:t>名称</w:t>
                  </w:r>
                </w:p>
              </w:tc>
              <w:tc>
                <w:tcPr>
                  <w:tcW w:w="2105" w:type="dxa"/>
                  <w:gridSpan w:val="2"/>
                  <w:vAlign w:val="center"/>
                </w:tcPr>
                <w:p>
                  <w:pPr>
                    <w:pStyle w:val="31"/>
                  </w:pPr>
                  <w:r>
                    <w:rPr>
                      <w:rFonts w:hint="eastAsia"/>
                    </w:rPr>
                    <w:t>坐标</w:t>
                  </w:r>
                </w:p>
              </w:tc>
              <w:tc>
                <w:tcPr>
                  <w:tcW w:w="629" w:type="dxa"/>
                  <w:vMerge w:val="restart"/>
                  <w:vAlign w:val="center"/>
                </w:tcPr>
                <w:p>
                  <w:pPr>
                    <w:pStyle w:val="31"/>
                  </w:pPr>
                  <w:r>
                    <w:rPr>
                      <w:rFonts w:hint="eastAsia"/>
                    </w:rPr>
                    <w:t>保护对象</w:t>
                  </w:r>
                </w:p>
              </w:tc>
              <w:tc>
                <w:tcPr>
                  <w:tcW w:w="1273" w:type="dxa"/>
                  <w:vMerge w:val="restart"/>
                  <w:vAlign w:val="center"/>
                </w:tcPr>
                <w:p>
                  <w:pPr>
                    <w:pStyle w:val="31"/>
                  </w:pPr>
                  <w:r>
                    <w:rPr>
                      <w:rFonts w:hint="eastAsia"/>
                    </w:rPr>
                    <w:t>保护内容</w:t>
                  </w:r>
                </w:p>
              </w:tc>
              <w:tc>
                <w:tcPr>
                  <w:tcW w:w="941" w:type="dxa"/>
                  <w:vMerge w:val="restart"/>
                  <w:vAlign w:val="center"/>
                </w:tcPr>
                <w:p>
                  <w:pPr>
                    <w:pStyle w:val="31"/>
                  </w:pPr>
                  <w:r>
                    <w:rPr>
                      <w:rFonts w:hint="eastAsia"/>
                    </w:rPr>
                    <w:t>保护功能区</w:t>
                  </w:r>
                </w:p>
              </w:tc>
              <w:tc>
                <w:tcPr>
                  <w:tcW w:w="1036" w:type="dxa"/>
                  <w:vMerge w:val="restart"/>
                  <w:vAlign w:val="center"/>
                </w:tcPr>
                <w:p>
                  <w:pPr>
                    <w:pStyle w:val="31"/>
                  </w:pPr>
                  <w:r>
                    <w:rPr>
                      <w:rFonts w:hint="eastAsia"/>
                    </w:rPr>
                    <w:t>相对厂址方位</w:t>
                  </w:r>
                </w:p>
              </w:tc>
              <w:tc>
                <w:tcPr>
                  <w:tcW w:w="1105" w:type="dxa"/>
                  <w:vMerge w:val="restart"/>
                  <w:vAlign w:val="center"/>
                </w:tcPr>
                <w:p>
                  <w:pPr>
                    <w:pStyle w:val="31"/>
                  </w:pPr>
                  <w:r>
                    <w:rPr>
                      <w:rFonts w:hint="eastAsia"/>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vMerge w:val="continue"/>
                  <w:vAlign w:val="center"/>
                </w:tcPr>
                <w:p>
                  <w:pPr>
                    <w:pStyle w:val="31"/>
                  </w:pPr>
                </w:p>
              </w:tc>
              <w:tc>
                <w:tcPr>
                  <w:tcW w:w="1009" w:type="dxa"/>
                  <w:vAlign w:val="center"/>
                </w:tcPr>
                <w:p>
                  <w:pPr>
                    <w:pStyle w:val="31"/>
                  </w:pPr>
                  <w:r>
                    <w:rPr>
                      <w:rFonts w:hint="eastAsia"/>
                    </w:rPr>
                    <w:t>X</w:t>
                  </w:r>
                </w:p>
              </w:tc>
              <w:tc>
                <w:tcPr>
                  <w:tcW w:w="1096" w:type="dxa"/>
                  <w:vAlign w:val="center"/>
                </w:tcPr>
                <w:p>
                  <w:pPr>
                    <w:pStyle w:val="31"/>
                  </w:pPr>
                  <w:r>
                    <w:rPr>
                      <w:rFonts w:hint="eastAsia"/>
                    </w:rPr>
                    <w:t>Y</w:t>
                  </w:r>
                </w:p>
              </w:tc>
              <w:tc>
                <w:tcPr>
                  <w:tcW w:w="629" w:type="dxa"/>
                  <w:vMerge w:val="continue"/>
                  <w:vAlign w:val="center"/>
                </w:tcPr>
                <w:p>
                  <w:pPr>
                    <w:pStyle w:val="31"/>
                  </w:pPr>
                </w:p>
              </w:tc>
              <w:tc>
                <w:tcPr>
                  <w:tcW w:w="1273" w:type="dxa"/>
                  <w:vMerge w:val="continue"/>
                  <w:vAlign w:val="center"/>
                </w:tcPr>
                <w:p>
                  <w:pPr>
                    <w:pStyle w:val="31"/>
                  </w:pPr>
                </w:p>
              </w:tc>
              <w:tc>
                <w:tcPr>
                  <w:tcW w:w="941" w:type="dxa"/>
                  <w:vMerge w:val="continue"/>
                  <w:vAlign w:val="center"/>
                </w:tcPr>
                <w:p>
                  <w:pPr>
                    <w:pStyle w:val="31"/>
                  </w:pPr>
                </w:p>
              </w:tc>
              <w:tc>
                <w:tcPr>
                  <w:tcW w:w="1036" w:type="dxa"/>
                  <w:vMerge w:val="continue"/>
                  <w:vAlign w:val="center"/>
                </w:tcPr>
                <w:p>
                  <w:pPr>
                    <w:pStyle w:val="31"/>
                  </w:pPr>
                </w:p>
              </w:tc>
              <w:tc>
                <w:tcPr>
                  <w:tcW w:w="1105" w:type="dxa"/>
                  <w:vMerge w:val="continue"/>
                  <w:vAlign w:val="center"/>
                </w:tcPr>
                <w:p>
                  <w:pPr>
                    <w:pStyle w:val="3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848" w:type="dxa"/>
                  <w:vAlign w:val="center"/>
                </w:tcPr>
                <w:p>
                  <w:pPr>
                    <w:pStyle w:val="31"/>
                  </w:pPr>
                  <w:r>
                    <w:rPr>
                      <w:rFonts w:hint="eastAsia"/>
                    </w:rPr>
                    <w:t>九华北门新区</w:t>
                  </w:r>
                </w:p>
              </w:tc>
              <w:tc>
                <w:tcPr>
                  <w:tcW w:w="1009" w:type="dxa"/>
                  <w:vAlign w:val="center"/>
                </w:tcPr>
                <w:p>
                  <w:pPr>
                    <w:pStyle w:val="31"/>
                  </w:pPr>
                  <w:r>
                    <w:rPr>
                      <w:rFonts w:hint="eastAsia"/>
                    </w:rPr>
                    <w:t>113.092157699</w:t>
                  </w:r>
                </w:p>
              </w:tc>
              <w:tc>
                <w:tcPr>
                  <w:tcW w:w="1096" w:type="dxa"/>
                  <w:vAlign w:val="center"/>
                </w:tcPr>
                <w:p>
                  <w:pPr>
                    <w:pStyle w:val="31"/>
                  </w:pPr>
                  <w:r>
                    <w:rPr>
                      <w:rFonts w:hint="eastAsia"/>
                    </w:rPr>
                    <w:t>29.393348224</w:t>
                  </w:r>
                </w:p>
              </w:tc>
              <w:tc>
                <w:tcPr>
                  <w:tcW w:w="629" w:type="dxa"/>
                  <w:vMerge w:val="restart"/>
                  <w:vAlign w:val="center"/>
                </w:tcPr>
                <w:p>
                  <w:pPr>
                    <w:pStyle w:val="31"/>
                  </w:pPr>
                  <w:r>
                    <w:rPr>
                      <w:rFonts w:hint="eastAsia"/>
                    </w:rPr>
                    <w:t>居民</w:t>
                  </w:r>
                </w:p>
                <w:p>
                  <w:pPr>
                    <w:pStyle w:val="31"/>
                  </w:pPr>
                </w:p>
              </w:tc>
              <w:tc>
                <w:tcPr>
                  <w:tcW w:w="1273" w:type="dxa"/>
                  <w:vAlign w:val="center"/>
                </w:tcPr>
                <w:p>
                  <w:pPr>
                    <w:pStyle w:val="31"/>
                  </w:pPr>
                  <w:r>
                    <w:rPr>
                      <w:rFonts w:hint="eastAsia"/>
                    </w:rPr>
                    <w:t>约444户</w:t>
                  </w:r>
                </w:p>
              </w:tc>
              <w:tc>
                <w:tcPr>
                  <w:tcW w:w="941" w:type="dxa"/>
                  <w:vMerge w:val="restart"/>
                  <w:vAlign w:val="center"/>
                </w:tcPr>
                <w:p>
                  <w:pPr>
                    <w:pStyle w:val="31"/>
                  </w:pPr>
                  <w:r>
                    <w:t>《环境空气质量标准》（GB3095-2012），二级</w:t>
                  </w:r>
                </w:p>
              </w:tc>
              <w:tc>
                <w:tcPr>
                  <w:tcW w:w="1036" w:type="dxa"/>
                  <w:vAlign w:val="center"/>
                </w:tcPr>
                <w:p>
                  <w:pPr>
                    <w:pStyle w:val="31"/>
                  </w:pPr>
                  <w:r>
                    <w:rPr>
                      <w:rFonts w:hint="eastAsia"/>
                    </w:rPr>
                    <w:t>西</w:t>
                  </w:r>
                </w:p>
              </w:tc>
              <w:tc>
                <w:tcPr>
                  <w:tcW w:w="1105" w:type="dxa"/>
                  <w:vAlign w:val="center"/>
                </w:tcPr>
                <w:p>
                  <w:pPr>
                    <w:pStyle w:val="31"/>
                  </w:pPr>
                  <w:r>
                    <w:rPr>
                      <w:rFonts w:hint="eastAsia"/>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vAlign w:val="center"/>
                </w:tcPr>
                <w:p>
                  <w:pPr>
                    <w:pStyle w:val="31"/>
                  </w:pPr>
                  <w:r>
                    <w:rPr>
                      <w:rFonts w:hint="eastAsia"/>
                    </w:rPr>
                    <w:t>洞庭渔都</w:t>
                  </w:r>
                </w:p>
              </w:tc>
              <w:tc>
                <w:tcPr>
                  <w:tcW w:w="1009" w:type="dxa"/>
                  <w:vAlign w:val="center"/>
                </w:tcPr>
                <w:p>
                  <w:pPr>
                    <w:pStyle w:val="31"/>
                  </w:pPr>
                  <w:r>
                    <w:rPr>
                      <w:rFonts w:hint="eastAsia"/>
                    </w:rPr>
                    <w:t>113.095137353</w:t>
                  </w:r>
                </w:p>
              </w:tc>
              <w:tc>
                <w:tcPr>
                  <w:tcW w:w="1096" w:type="dxa"/>
                  <w:vAlign w:val="center"/>
                </w:tcPr>
                <w:p>
                  <w:pPr>
                    <w:pStyle w:val="31"/>
                  </w:pPr>
                  <w:r>
                    <w:rPr>
                      <w:rFonts w:hint="eastAsia"/>
                    </w:rPr>
                    <w:t>29.395070393</w:t>
                  </w:r>
                </w:p>
              </w:tc>
              <w:tc>
                <w:tcPr>
                  <w:tcW w:w="629" w:type="dxa"/>
                  <w:vMerge w:val="continue"/>
                  <w:vAlign w:val="center"/>
                </w:tcPr>
                <w:p>
                  <w:pPr>
                    <w:pStyle w:val="31"/>
                  </w:pPr>
                </w:p>
              </w:tc>
              <w:tc>
                <w:tcPr>
                  <w:tcW w:w="1273" w:type="dxa"/>
                  <w:vAlign w:val="center"/>
                </w:tcPr>
                <w:p>
                  <w:pPr>
                    <w:pStyle w:val="31"/>
                  </w:pPr>
                  <w:r>
                    <w:rPr>
                      <w:rFonts w:hint="eastAsia"/>
                    </w:rPr>
                    <w:t>约200人</w:t>
                  </w:r>
                </w:p>
              </w:tc>
              <w:tc>
                <w:tcPr>
                  <w:tcW w:w="941" w:type="dxa"/>
                  <w:vMerge w:val="continue"/>
                  <w:vAlign w:val="center"/>
                </w:tcPr>
                <w:p>
                  <w:pPr>
                    <w:pStyle w:val="31"/>
                  </w:pPr>
                </w:p>
              </w:tc>
              <w:tc>
                <w:tcPr>
                  <w:tcW w:w="1036" w:type="dxa"/>
                  <w:vAlign w:val="center"/>
                </w:tcPr>
                <w:p>
                  <w:pPr>
                    <w:pStyle w:val="31"/>
                  </w:pPr>
                  <w:r>
                    <w:rPr>
                      <w:rFonts w:hint="eastAsia"/>
                    </w:rPr>
                    <w:t>北</w:t>
                  </w:r>
                </w:p>
              </w:tc>
              <w:tc>
                <w:tcPr>
                  <w:tcW w:w="1105" w:type="dxa"/>
                  <w:vAlign w:val="center"/>
                </w:tcPr>
                <w:p>
                  <w:pPr>
                    <w:pStyle w:val="31"/>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vAlign w:val="center"/>
                </w:tcPr>
                <w:p>
                  <w:pPr>
                    <w:pStyle w:val="31"/>
                  </w:pPr>
                  <w:r>
                    <w:rPr>
                      <w:rFonts w:hint="eastAsia"/>
                    </w:rPr>
                    <w:t>九华山小学</w:t>
                  </w:r>
                </w:p>
              </w:tc>
              <w:tc>
                <w:tcPr>
                  <w:tcW w:w="1009" w:type="dxa"/>
                  <w:vAlign w:val="center"/>
                </w:tcPr>
                <w:p>
                  <w:pPr>
                    <w:pStyle w:val="31"/>
                  </w:pPr>
                  <w:r>
                    <w:rPr>
                      <w:rFonts w:hint="eastAsia"/>
                    </w:rPr>
                    <w:t>113.097213383</w:t>
                  </w:r>
                </w:p>
              </w:tc>
              <w:tc>
                <w:tcPr>
                  <w:tcW w:w="1096" w:type="dxa"/>
                  <w:vAlign w:val="center"/>
                </w:tcPr>
                <w:p>
                  <w:pPr>
                    <w:pStyle w:val="31"/>
                  </w:pPr>
                  <w:r>
                    <w:rPr>
                      <w:rFonts w:hint="eastAsia"/>
                    </w:rPr>
                    <w:t>29.395346660</w:t>
                  </w:r>
                </w:p>
              </w:tc>
              <w:tc>
                <w:tcPr>
                  <w:tcW w:w="629" w:type="dxa"/>
                  <w:vMerge w:val="continue"/>
                  <w:vAlign w:val="center"/>
                </w:tcPr>
                <w:p>
                  <w:pPr>
                    <w:pStyle w:val="31"/>
                  </w:pPr>
                </w:p>
              </w:tc>
              <w:tc>
                <w:tcPr>
                  <w:tcW w:w="1273" w:type="dxa"/>
                  <w:vAlign w:val="center"/>
                </w:tcPr>
                <w:p>
                  <w:pPr>
                    <w:pStyle w:val="31"/>
                  </w:pPr>
                  <w:r>
                    <w:rPr>
                      <w:rFonts w:hint="eastAsia"/>
                    </w:rPr>
                    <w:t>约500人</w:t>
                  </w:r>
                </w:p>
              </w:tc>
              <w:tc>
                <w:tcPr>
                  <w:tcW w:w="941" w:type="dxa"/>
                  <w:vMerge w:val="continue"/>
                  <w:vAlign w:val="center"/>
                </w:tcPr>
                <w:p>
                  <w:pPr>
                    <w:pStyle w:val="31"/>
                  </w:pPr>
                </w:p>
              </w:tc>
              <w:tc>
                <w:tcPr>
                  <w:tcW w:w="1036" w:type="dxa"/>
                  <w:vAlign w:val="center"/>
                </w:tcPr>
                <w:p>
                  <w:pPr>
                    <w:pStyle w:val="31"/>
                  </w:pPr>
                  <w:r>
                    <w:rPr>
                      <w:rFonts w:hint="eastAsia"/>
                    </w:rPr>
                    <w:t>东</w:t>
                  </w:r>
                </w:p>
              </w:tc>
              <w:tc>
                <w:tcPr>
                  <w:tcW w:w="1105" w:type="dxa"/>
                  <w:vAlign w:val="center"/>
                </w:tcPr>
                <w:p>
                  <w:pPr>
                    <w:pStyle w:val="31"/>
                  </w:pPr>
                  <w:r>
                    <w:rPr>
                      <w:rFonts w:hint="eastAsia"/>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vAlign w:val="center"/>
                </w:tcPr>
                <w:p>
                  <w:pPr>
                    <w:pStyle w:val="31"/>
                  </w:pPr>
                  <w:r>
                    <w:rPr>
                      <w:rFonts w:hint="eastAsia"/>
                    </w:rPr>
                    <w:t>洞庭书香苑</w:t>
                  </w:r>
                </w:p>
              </w:tc>
              <w:tc>
                <w:tcPr>
                  <w:tcW w:w="1009" w:type="dxa"/>
                  <w:vAlign w:val="center"/>
                </w:tcPr>
                <w:p>
                  <w:pPr>
                    <w:pStyle w:val="31"/>
                  </w:pPr>
                  <w:r>
                    <w:rPr>
                      <w:rFonts w:hint="eastAsia"/>
                    </w:rPr>
                    <w:t>113. 089149765</w:t>
                  </w:r>
                </w:p>
              </w:tc>
              <w:tc>
                <w:tcPr>
                  <w:tcW w:w="1096" w:type="dxa"/>
                  <w:vAlign w:val="center"/>
                </w:tcPr>
                <w:p>
                  <w:pPr>
                    <w:pStyle w:val="31"/>
                  </w:pPr>
                  <w:r>
                    <w:rPr>
                      <w:rFonts w:hint="eastAsia"/>
                    </w:rPr>
                    <w:t xml:space="preserve">29.390505611 </w:t>
                  </w:r>
                </w:p>
              </w:tc>
              <w:tc>
                <w:tcPr>
                  <w:tcW w:w="629" w:type="dxa"/>
                  <w:vMerge w:val="continue"/>
                  <w:vAlign w:val="center"/>
                </w:tcPr>
                <w:p>
                  <w:pPr>
                    <w:pStyle w:val="31"/>
                  </w:pPr>
                </w:p>
              </w:tc>
              <w:tc>
                <w:tcPr>
                  <w:tcW w:w="1273" w:type="dxa"/>
                  <w:vAlign w:val="center"/>
                </w:tcPr>
                <w:p>
                  <w:pPr>
                    <w:pStyle w:val="31"/>
                  </w:pPr>
                  <w:r>
                    <w:rPr>
                      <w:rFonts w:hint="eastAsia"/>
                    </w:rPr>
                    <w:t>约1000人</w:t>
                  </w:r>
                </w:p>
              </w:tc>
              <w:tc>
                <w:tcPr>
                  <w:tcW w:w="941" w:type="dxa"/>
                  <w:vMerge w:val="continue"/>
                  <w:vAlign w:val="center"/>
                </w:tcPr>
                <w:p>
                  <w:pPr>
                    <w:pStyle w:val="31"/>
                  </w:pPr>
                </w:p>
              </w:tc>
              <w:tc>
                <w:tcPr>
                  <w:tcW w:w="1036" w:type="dxa"/>
                  <w:vAlign w:val="center"/>
                </w:tcPr>
                <w:p>
                  <w:pPr>
                    <w:pStyle w:val="31"/>
                  </w:pPr>
                  <w:r>
                    <w:rPr>
                      <w:rFonts w:hint="eastAsia"/>
                    </w:rPr>
                    <w:t>西南</w:t>
                  </w:r>
                </w:p>
              </w:tc>
              <w:tc>
                <w:tcPr>
                  <w:tcW w:w="1105" w:type="dxa"/>
                  <w:vAlign w:val="center"/>
                </w:tcPr>
                <w:p>
                  <w:pPr>
                    <w:pStyle w:val="31"/>
                  </w:pPr>
                  <w:r>
                    <w:rPr>
                      <w:rFonts w:hint="eastAsia"/>
                    </w:rPr>
                    <w:t>449</w:t>
                  </w:r>
                </w:p>
              </w:tc>
            </w:tr>
          </w:tbl>
          <w:p>
            <w:pPr>
              <w:pStyle w:val="30"/>
              <w:rPr>
                <w:kern w:val="2"/>
                <w:szCs w:val="24"/>
              </w:rPr>
            </w:pPr>
            <w:r>
              <w:rPr>
                <w:kern w:val="2"/>
                <w:szCs w:val="24"/>
              </w:rPr>
              <w:t>表3-</w:t>
            </w:r>
            <w:r>
              <w:rPr>
                <w:rFonts w:hint="eastAsia"/>
                <w:kern w:val="2"/>
                <w:szCs w:val="24"/>
              </w:rPr>
              <w:t>5项目声环境、水环境保护目标</w:t>
            </w:r>
          </w:p>
          <w:tbl>
            <w:tblPr>
              <w:tblStyle w:val="18"/>
              <w:tblW w:w="793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45"/>
              <w:gridCol w:w="1233"/>
              <w:gridCol w:w="876"/>
              <w:gridCol w:w="903"/>
              <w:gridCol w:w="1543"/>
              <w:gridCol w:w="243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Align w:val="center"/>
                </w:tcPr>
                <w:p>
                  <w:pPr>
                    <w:pStyle w:val="31"/>
                  </w:pPr>
                  <w:r>
                    <w:t>环境要素</w:t>
                  </w:r>
                </w:p>
              </w:tc>
              <w:tc>
                <w:tcPr>
                  <w:tcW w:w="1233" w:type="dxa"/>
                  <w:vAlign w:val="center"/>
                </w:tcPr>
                <w:p>
                  <w:pPr>
                    <w:pStyle w:val="31"/>
                  </w:pPr>
                  <w:r>
                    <w:t>环境敏感点</w:t>
                  </w:r>
                </w:p>
              </w:tc>
              <w:tc>
                <w:tcPr>
                  <w:tcW w:w="876" w:type="dxa"/>
                  <w:vAlign w:val="center"/>
                </w:tcPr>
                <w:p>
                  <w:pPr>
                    <w:pStyle w:val="31"/>
                  </w:pPr>
                  <w:r>
                    <w:t>方位</w:t>
                  </w:r>
                </w:p>
              </w:tc>
              <w:tc>
                <w:tcPr>
                  <w:tcW w:w="903" w:type="dxa"/>
                  <w:vAlign w:val="center"/>
                </w:tcPr>
                <w:p>
                  <w:pPr>
                    <w:pStyle w:val="31"/>
                  </w:pPr>
                  <w:r>
                    <w:rPr>
                      <w:rFonts w:hint="eastAsia"/>
                    </w:rPr>
                    <w:t>厂界最近</w:t>
                  </w:r>
                  <w:r>
                    <w:t>距离（m）</w:t>
                  </w:r>
                </w:p>
              </w:tc>
              <w:tc>
                <w:tcPr>
                  <w:tcW w:w="1543" w:type="dxa"/>
                  <w:vAlign w:val="center"/>
                </w:tcPr>
                <w:p>
                  <w:pPr>
                    <w:pStyle w:val="31"/>
                  </w:pPr>
                  <w:r>
                    <w:t>功能规模</w:t>
                  </w:r>
                </w:p>
              </w:tc>
              <w:tc>
                <w:tcPr>
                  <w:tcW w:w="2437" w:type="dxa"/>
                  <w:vAlign w:val="center"/>
                </w:tcPr>
                <w:p>
                  <w:pPr>
                    <w:pStyle w:val="31"/>
                  </w:pPr>
                  <w:r>
                    <w:t>环境保护区域标准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restart"/>
                  <w:vAlign w:val="center"/>
                </w:tcPr>
                <w:p>
                  <w:pPr>
                    <w:pStyle w:val="31"/>
                  </w:pPr>
                  <w:r>
                    <w:t>声环境</w:t>
                  </w:r>
                </w:p>
              </w:tc>
              <w:tc>
                <w:tcPr>
                  <w:tcW w:w="1233" w:type="dxa"/>
                  <w:vAlign w:val="center"/>
                </w:tcPr>
                <w:p>
                  <w:pPr>
                    <w:pStyle w:val="31"/>
                  </w:pPr>
                  <w:r>
                    <w:rPr>
                      <w:rFonts w:hint="eastAsia"/>
                    </w:rPr>
                    <w:t>九华北门新区</w:t>
                  </w:r>
                </w:p>
              </w:tc>
              <w:tc>
                <w:tcPr>
                  <w:tcW w:w="876" w:type="dxa"/>
                  <w:vAlign w:val="center"/>
                </w:tcPr>
                <w:p>
                  <w:pPr>
                    <w:pStyle w:val="31"/>
                  </w:pPr>
                  <w:r>
                    <w:rPr>
                      <w:rFonts w:hint="eastAsia"/>
                    </w:rPr>
                    <w:t>西</w:t>
                  </w:r>
                </w:p>
              </w:tc>
              <w:tc>
                <w:tcPr>
                  <w:tcW w:w="903" w:type="dxa"/>
                  <w:vAlign w:val="center"/>
                </w:tcPr>
                <w:p>
                  <w:pPr>
                    <w:pStyle w:val="31"/>
                  </w:pPr>
                  <w:r>
                    <w:rPr>
                      <w:rFonts w:hint="eastAsia"/>
                    </w:rPr>
                    <w:t>18.8</w:t>
                  </w:r>
                </w:p>
              </w:tc>
              <w:tc>
                <w:tcPr>
                  <w:tcW w:w="1543" w:type="dxa"/>
                  <w:vMerge w:val="restart"/>
                  <w:vAlign w:val="center"/>
                </w:tcPr>
                <w:p>
                  <w:pPr>
                    <w:pStyle w:val="31"/>
                  </w:pPr>
                  <w:r>
                    <w:rPr>
                      <w:rFonts w:hint="eastAsia"/>
                    </w:rPr>
                    <w:t>居民</w:t>
                  </w:r>
                </w:p>
              </w:tc>
              <w:tc>
                <w:tcPr>
                  <w:tcW w:w="2437" w:type="dxa"/>
                  <w:vMerge w:val="restart"/>
                  <w:vAlign w:val="center"/>
                </w:tcPr>
                <w:p>
                  <w:pPr>
                    <w:pStyle w:val="31"/>
                  </w:pPr>
                  <w:r>
                    <w:t>《声环境质量标准》GB3096-2008，</w:t>
                  </w:r>
                  <w:r>
                    <w:rPr>
                      <w:rFonts w:hint="eastAsia"/>
                    </w:rPr>
                    <w:t>2</w:t>
                  </w:r>
                  <w:r>
                    <w:t>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vAlign w:val="center"/>
                </w:tcPr>
                <w:p>
                  <w:pPr>
                    <w:pStyle w:val="31"/>
                  </w:pPr>
                </w:p>
              </w:tc>
              <w:tc>
                <w:tcPr>
                  <w:tcW w:w="1233" w:type="dxa"/>
                  <w:vAlign w:val="center"/>
                </w:tcPr>
                <w:p>
                  <w:pPr>
                    <w:pStyle w:val="31"/>
                  </w:pPr>
                  <w:r>
                    <w:rPr>
                      <w:rFonts w:hint="eastAsia"/>
                    </w:rPr>
                    <w:t>洞庭渔都</w:t>
                  </w:r>
                </w:p>
              </w:tc>
              <w:tc>
                <w:tcPr>
                  <w:tcW w:w="876" w:type="dxa"/>
                  <w:vAlign w:val="center"/>
                </w:tcPr>
                <w:p>
                  <w:pPr>
                    <w:pStyle w:val="31"/>
                  </w:pPr>
                  <w:r>
                    <w:rPr>
                      <w:rFonts w:hint="eastAsia"/>
                    </w:rPr>
                    <w:t>北</w:t>
                  </w:r>
                </w:p>
              </w:tc>
              <w:tc>
                <w:tcPr>
                  <w:tcW w:w="903" w:type="dxa"/>
                  <w:vAlign w:val="center"/>
                </w:tcPr>
                <w:p>
                  <w:pPr>
                    <w:pStyle w:val="31"/>
                  </w:pPr>
                  <w:r>
                    <w:rPr>
                      <w:rFonts w:hint="eastAsia"/>
                    </w:rPr>
                    <w:t>30</w:t>
                  </w:r>
                </w:p>
              </w:tc>
              <w:tc>
                <w:tcPr>
                  <w:tcW w:w="1543" w:type="dxa"/>
                  <w:vMerge w:val="continue"/>
                  <w:vAlign w:val="center"/>
                </w:tcPr>
                <w:p>
                  <w:pPr>
                    <w:pStyle w:val="31"/>
                  </w:pPr>
                </w:p>
              </w:tc>
              <w:tc>
                <w:tcPr>
                  <w:tcW w:w="2437" w:type="dxa"/>
                  <w:vMerge w:val="continue"/>
                  <w:vAlign w:val="center"/>
                </w:tcPr>
                <w:p>
                  <w:pPr>
                    <w:pStyle w:val="31"/>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restart"/>
                  <w:vAlign w:val="center"/>
                </w:tcPr>
                <w:p>
                  <w:pPr>
                    <w:pStyle w:val="31"/>
                  </w:pPr>
                  <w:r>
                    <w:t>水环境</w:t>
                  </w:r>
                </w:p>
              </w:tc>
              <w:tc>
                <w:tcPr>
                  <w:tcW w:w="1233" w:type="dxa"/>
                  <w:vAlign w:val="center"/>
                </w:tcPr>
                <w:p>
                  <w:pPr>
                    <w:pStyle w:val="31"/>
                    <w:rPr>
                      <w:color w:val="000000"/>
                      <w:szCs w:val="21"/>
                    </w:rPr>
                  </w:pPr>
                  <w:r>
                    <w:rPr>
                      <w:szCs w:val="21"/>
                    </w:rPr>
                    <w:t>东风湖</w:t>
                  </w:r>
                </w:p>
              </w:tc>
              <w:tc>
                <w:tcPr>
                  <w:tcW w:w="876" w:type="dxa"/>
                  <w:vAlign w:val="center"/>
                </w:tcPr>
                <w:p>
                  <w:pPr>
                    <w:pStyle w:val="31"/>
                    <w:rPr>
                      <w:kern w:val="0"/>
                      <w:szCs w:val="21"/>
                    </w:rPr>
                  </w:pPr>
                  <w:r>
                    <w:rPr>
                      <w:rFonts w:hint="eastAsia"/>
                      <w:kern w:val="0"/>
                      <w:szCs w:val="21"/>
                    </w:rPr>
                    <w:t>东北</w:t>
                  </w:r>
                </w:p>
              </w:tc>
              <w:tc>
                <w:tcPr>
                  <w:tcW w:w="903" w:type="dxa"/>
                  <w:vAlign w:val="center"/>
                </w:tcPr>
                <w:p>
                  <w:pPr>
                    <w:pStyle w:val="31"/>
                  </w:pPr>
                  <w:r>
                    <w:rPr>
                      <w:rFonts w:hint="eastAsia"/>
                    </w:rPr>
                    <w:t>814</w:t>
                  </w:r>
                </w:p>
              </w:tc>
              <w:tc>
                <w:tcPr>
                  <w:tcW w:w="1543" w:type="dxa"/>
                  <w:vAlign w:val="center"/>
                </w:tcPr>
                <w:p>
                  <w:pPr>
                    <w:pStyle w:val="31"/>
                    <w:rPr>
                      <w:szCs w:val="21"/>
                    </w:rPr>
                  </w:pPr>
                  <w:r>
                    <w:rPr>
                      <w:szCs w:val="21"/>
                    </w:rPr>
                    <w:t>小湖</w:t>
                  </w:r>
                </w:p>
              </w:tc>
              <w:tc>
                <w:tcPr>
                  <w:tcW w:w="2437" w:type="dxa"/>
                  <w:vAlign w:val="center"/>
                </w:tcPr>
                <w:p>
                  <w:pPr>
                    <w:pStyle w:val="31"/>
                  </w:pPr>
                  <w:r>
                    <w:rPr>
                      <w:rFonts w:hint="eastAsia"/>
                    </w:rPr>
                    <w:t>《地表水环境质量标准》（GB3838-2002），III类标准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vAlign w:val="center"/>
                </w:tcPr>
                <w:p>
                  <w:pPr>
                    <w:pStyle w:val="31"/>
                  </w:pPr>
                </w:p>
              </w:tc>
              <w:tc>
                <w:tcPr>
                  <w:tcW w:w="1233" w:type="dxa"/>
                  <w:vAlign w:val="center"/>
                </w:tcPr>
                <w:p>
                  <w:pPr>
                    <w:pStyle w:val="31"/>
                    <w:rPr>
                      <w:szCs w:val="21"/>
                    </w:rPr>
                  </w:pPr>
                  <w:r>
                    <w:rPr>
                      <w:szCs w:val="21"/>
                    </w:rPr>
                    <w:t>东洞庭湖</w:t>
                  </w:r>
                </w:p>
              </w:tc>
              <w:tc>
                <w:tcPr>
                  <w:tcW w:w="876" w:type="dxa"/>
                  <w:vAlign w:val="center"/>
                </w:tcPr>
                <w:p>
                  <w:pPr>
                    <w:pStyle w:val="31"/>
                    <w:rPr>
                      <w:kern w:val="0"/>
                      <w:szCs w:val="21"/>
                    </w:rPr>
                  </w:pPr>
                  <w:r>
                    <w:rPr>
                      <w:rFonts w:hint="eastAsia"/>
                      <w:kern w:val="0"/>
                      <w:szCs w:val="21"/>
                    </w:rPr>
                    <w:t>东</w:t>
                  </w:r>
                </w:p>
              </w:tc>
              <w:tc>
                <w:tcPr>
                  <w:tcW w:w="903" w:type="dxa"/>
                  <w:vAlign w:val="center"/>
                </w:tcPr>
                <w:p>
                  <w:pPr>
                    <w:pStyle w:val="31"/>
                  </w:pPr>
                  <w:r>
                    <w:rPr>
                      <w:rFonts w:hint="eastAsia"/>
                    </w:rPr>
                    <w:t>366.9</w:t>
                  </w:r>
                </w:p>
              </w:tc>
              <w:tc>
                <w:tcPr>
                  <w:tcW w:w="1543" w:type="dxa"/>
                  <w:vAlign w:val="center"/>
                </w:tcPr>
                <w:p>
                  <w:pPr>
                    <w:pStyle w:val="31"/>
                    <w:rPr>
                      <w:szCs w:val="21"/>
                    </w:rPr>
                  </w:pPr>
                  <w:r>
                    <w:rPr>
                      <w:rFonts w:hint="eastAsia"/>
                      <w:szCs w:val="21"/>
                    </w:rPr>
                    <w:t>大湖</w:t>
                  </w:r>
                </w:p>
              </w:tc>
              <w:tc>
                <w:tcPr>
                  <w:tcW w:w="2437" w:type="dxa"/>
                  <w:vAlign w:val="center"/>
                </w:tcPr>
                <w:p>
                  <w:pPr>
                    <w:pStyle w:val="31"/>
                  </w:pPr>
                  <w:r>
                    <w:rPr>
                      <w:rFonts w:hint="eastAsia"/>
                    </w:rPr>
                    <w:t>《地表水环境质量标准》（GB3838-2002），III类标准（总磷按≤0.1mg/L执行）。</w:t>
                  </w:r>
                </w:p>
              </w:tc>
            </w:tr>
          </w:tbl>
          <w:p>
            <w:pPr>
              <w:pStyle w:val="30"/>
              <w:rPr>
                <w:kern w:val="2"/>
                <w:szCs w:val="24"/>
              </w:rPr>
            </w:pPr>
            <w:r>
              <w:rPr>
                <w:kern w:val="2"/>
                <w:szCs w:val="24"/>
              </w:rPr>
              <w:t>表3-</w:t>
            </w:r>
            <w:r>
              <w:rPr>
                <w:rFonts w:hint="eastAsia"/>
                <w:kern w:val="2"/>
                <w:szCs w:val="24"/>
              </w:rPr>
              <w:t>6项目生态环境保护目标</w:t>
            </w:r>
          </w:p>
          <w:tbl>
            <w:tblPr>
              <w:tblStyle w:val="18"/>
              <w:tblW w:w="793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45"/>
              <w:gridCol w:w="1233"/>
              <w:gridCol w:w="876"/>
              <w:gridCol w:w="903"/>
              <w:gridCol w:w="2637"/>
              <w:gridCol w:w="134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Align w:val="center"/>
                </w:tcPr>
                <w:p>
                  <w:pPr>
                    <w:pStyle w:val="31"/>
                  </w:pPr>
                  <w:r>
                    <w:t>环境要素</w:t>
                  </w:r>
                </w:p>
              </w:tc>
              <w:tc>
                <w:tcPr>
                  <w:tcW w:w="1233" w:type="dxa"/>
                  <w:vAlign w:val="center"/>
                </w:tcPr>
                <w:p>
                  <w:pPr>
                    <w:pStyle w:val="31"/>
                  </w:pPr>
                  <w:r>
                    <w:t>环境敏感点</w:t>
                  </w:r>
                </w:p>
              </w:tc>
              <w:tc>
                <w:tcPr>
                  <w:tcW w:w="876" w:type="dxa"/>
                  <w:vAlign w:val="center"/>
                </w:tcPr>
                <w:p>
                  <w:pPr>
                    <w:pStyle w:val="31"/>
                  </w:pPr>
                  <w:r>
                    <w:t>方位</w:t>
                  </w:r>
                </w:p>
              </w:tc>
              <w:tc>
                <w:tcPr>
                  <w:tcW w:w="903" w:type="dxa"/>
                  <w:vAlign w:val="center"/>
                </w:tcPr>
                <w:p>
                  <w:pPr>
                    <w:pStyle w:val="31"/>
                  </w:pPr>
                  <w:r>
                    <w:rPr>
                      <w:rFonts w:hint="eastAsia"/>
                    </w:rPr>
                    <w:t>厂界最近</w:t>
                  </w:r>
                  <w:r>
                    <w:t>距离（m）</w:t>
                  </w:r>
                </w:p>
              </w:tc>
              <w:tc>
                <w:tcPr>
                  <w:tcW w:w="2637" w:type="dxa"/>
                  <w:vAlign w:val="center"/>
                </w:tcPr>
                <w:p>
                  <w:pPr>
                    <w:pStyle w:val="31"/>
                  </w:pPr>
                  <w:r>
                    <w:t>功能规模</w:t>
                  </w:r>
                </w:p>
              </w:tc>
              <w:tc>
                <w:tcPr>
                  <w:tcW w:w="1343" w:type="dxa"/>
                  <w:vAlign w:val="center"/>
                </w:tcPr>
                <w:p>
                  <w:pPr>
                    <w:pStyle w:val="31"/>
                  </w:pPr>
                  <w:r>
                    <w:t>环境保护区域标准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Align w:val="center"/>
                </w:tcPr>
                <w:p>
                  <w:pPr>
                    <w:pStyle w:val="31"/>
                  </w:pPr>
                  <w:r>
                    <w:rPr>
                      <w:rFonts w:hint="eastAsia"/>
                    </w:rPr>
                    <w:t>生态环境</w:t>
                  </w:r>
                </w:p>
              </w:tc>
              <w:tc>
                <w:tcPr>
                  <w:tcW w:w="1233" w:type="dxa"/>
                  <w:vAlign w:val="center"/>
                </w:tcPr>
                <w:p>
                  <w:pPr>
                    <w:pStyle w:val="31"/>
                    <w:rPr>
                      <w:color w:val="000000"/>
                      <w:szCs w:val="21"/>
                    </w:rPr>
                  </w:pPr>
                  <w:r>
                    <w:rPr>
                      <w:szCs w:val="21"/>
                    </w:rPr>
                    <w:t>岳阳楼景区</w:t>
                  </w:r>
                </w:p>
              </w:tc>
              <w:tc>
                <w:tcPr>
                  <w:tcW w:w="876" w:type="dxa"/>
                  <w:vAlign w:val="center"/>
                </w:tcPr>
                <w:p>
                  <w:pPr>
                    <w:pStyle w:val="31"/>
                    <w:rPr>
                      <w:kern w:val="0"/>
                      <w:szCs w:val="21"/>
                    </w:rPr>
                  </w:pPr>
                  <w:r>
                    <w:rPr>
                      <w:rFonts w:hint="eastAsia"/>
                      <w:kern w:val="0"/>
                      <w:szCs w:val="21"/>
                    </w:rPr>
                    <w:t>西</w:t>
                  </w:r>
                </w:p>
              </w:tc>
              <w:tc>
                <w:tcPr>
                  <w:tcW w:w="903" w:type="dxa"/>
                  <w:vAlign w:val="center"/>
                </w:tcPr>
                <w:p>
                  <w:pPr>
                    <w:pStyle w:val="31"/>
                  </w:pPr>
                  <w:r>
                    <w:rPr>
                      <w:rFonts w:hint="eastAsia"/>
                    </w:rPr>
                    <w:t>12</w:t>
                  </w:r>
                </w:p>
              </w:tc>
              <w:tc>
                <w:tcPr>
                  <w:tcW w:w="2637" w:type="dxa"/>
                  <w:vAlign w:val="center"/>
                </w:tcPr>
                <w:p>
                  <w:pPr>
                    <w:pStyle w:val="31"/>
                    <w:rPr>
                      <w:szCs w:val="21"/>
                    </w:rPr>
                  </w:pPr>
                  <w:r>
                    <w:rPr>
                      <w:szCs w:val="21"/>
                    </w:rPr>
                    <w:t>包括</w:t>
                  </w:r>
                  <w:r>
                    <w:fldChar w:fldCharType="begin"/>
                  </w:r>
                  <w:r>
                    <w:instrText xml:space="preserve"> HYPERLINK "https://baike.baidu.com/item/%E5%B2%B3%E9%98%B3%E6%A5%BC/42497" \t "_blank" </w:instrText>
                  </w:r>
                  <w:r>
                    <w:fldChar w:fldCharType="separate"/>
                  </w:r>
                  <w:r>
                    <w:rPr>
                      <w:szCs w:val="21"/>
                    </w:rPr>
                    <w:t>岳阳楼</w:t>
                  </w:r>
                  <w:r>
                    <w:rPr>
                      <w:szCs w:val="21"/>
                    </w:rPr>
                    <w:fldChar w:fldCharType="end"/>
                  </w:r>
                  <w:r>
                    <w:fldChar w:fldCharType="begin"/>
                  </w:r>
                  <w:r>
                    <w:instrText xml:space="preserve"> HYPERLINK "https://baike.baidu.com/item/%E5%8F%A4%E5%9F%8E%E5%8C%BA" \t "_blank" </w:instrText>
                  </w:r>
                  <w:r>
                    <w:fldChar w:fldCharType="separate"/>
                  </w:r>
                  <w:r>
                    <w:rPr>
                      <w:szCs w:val="21"/>
                    </w:rPr>
                    <w:t>古城区</w:t>
                  </w:r>
                  <w:r>
                    <w:rPr>
                      <w:szCs w:val="21"/>
                    </w:rPr>
                    <w:fldChar w:fldCharType="end"/>
                  </w:r>
                  <w:r>
                    <w:rPr>
                      <w:szCs w:val="21"/>
                    </w:rPr>
                    <w:t>、</w:t>
                  </w:r>
                  <w:r>
                    <w:fldChar w:fldCharType="begin"/>
                  </w:r>
                  <w:r>
                    <w:instrText xml:space="preserve"> HYPERLINK "https://baike.baidu.com/item/%E5%90%9B%E5%B1%B1" \t "_blank" </w:instrText>
                  </w:r>
                  <w:r>
                    <w:fldChar w:fldCharType="separate"/>
                  </w:r>
                  <w:r>
                    <w:rPr>
                      <w:szCs w:val="21"/>
                    </w:rPr>
                    <w:t>君山</w:t>
                  </w:r>
                  <w:r>
                    <w:rPr>
                      <w:szCs w:val="21"/>
                    </w:rPr>
                    <w:fldChar w:fldCharType="end"/>
                  </w:r>
                  <w:r>
                    <w:rPr>
                      <w:szCs w:val="21"/>
                    </w:rPr>
                    <w:t>、南湖、芭蕉湖、</w:t>
                  </w:r>
                  <w:r>
                    <w:fldChar w:fldCharType="begin"/>
                  </w:r>
                  <w:r>
                    <w:instrText xml:space="preserve"> HYPERLINK "https://baike.baidu.com/item/%E6%B1%A8%E7%BD%97%E6%B1%9F" \t "_blank" </w:instrText>
                  </w:r>
                  <w:r>
                    <w:fldChar w:fldCharType="separate"/>
                  </w:r>
                  <w:r>
                    <w:rPr>
                      <w:szCs w:val="21"/>
                    </w:rPr>
                    <w:t>汨罗江</w:t>
                  </w:r>
                  <w:r>
                    <w:rPr>
                      <w:szCs w:val="21"/>
                    </w:rPr>
                    <w:fldChar w:fldCharType="end"/>
                  </w:r>
                  <w:r>
                    <w:rPr>
                      <w:szCs w:val="21"/>
                    </w:rPr>
                    <w:t>、铁山水库、</w:t>
                  </w:r>
                  <w:r>
                    <w:fldChar w:fldCharType="begin"/>
                  </w:r>
                  <w:r>
                    <w:instrText xml:space="preserve"> HYPERLINK "https://baike.baidu.com/item/%E7%A6%8F%E5%AF%BF%E5%B1%B1" \t "_blank" </w:instrText>
                  </w:r>
                  <w:r>
                    <w:fldChar w:fldCharType="separate"/>
                  </w:r>
                  <w:r>
                    <w:rPr>
                      <w:szCs w:val="21"/>
                    </w:rPr>
                    <w:t>福寿山</w:t>
                  </w:r>
                  <w:r>
                    <w:rPr>
                      <w:szCs w:val="21"/>
                    </w:rPr>
                    <w:fldChar w:fldCharType="end"/>
                  </w:r>
                  <w:r>
                    <w:rPr>
                      <w:szCs w:val="21"/>
                    </w:rPr>
                    <w:t>、</w:t>
                  </w:r>
                  <w:r>
                    <w:fldChar w:fldCharType="begin"/>
                  </w:r>
                  <w:r>
                    <w:instrText xml:space="preserve"> HYPERLINK "https://baike.baidu.com/item/%E9%BB%84%E7%9B%96%E6%B9%96" \t "_blank" </w:instrText>
                  </w:r>
                  <w:r>
                    <w:fldChar w:fldCharType="separate"/>
                  </w:r>
                  <w:r>
                    <w:rPr>
                      <w:szCs w:val="21"/>
                    </w:rPr>
                    <w:t>黄盖湖</w:t>
                  </w:r>
                  <w:r>
                    <w:rPr>
                      <w:szCs w:val="21"/>
                    </w:rPr>
                    <w:fldChar w:fldCharType="end"/>
                  </w:r>
                  <w:r>
                    <w:rPr>
                      <w:szCs w:val="21"/>
                    </w:rPr>
                    <w:t>等9个景区，总面积1300多平方公里。</w:t>
                  </w:r>
                </w:p>
              </w:tc>
              <w:tc>
                <w:tcPr>
                  <w:tcW w:w="1343" w:type="dxa"/>
                  <w:vAlign w:val="center"/>
                </w:tcPr>
                <w:p>
                  <w:pPr>
                    <w:pStyle w:val="31"/>
                  </w:pPr>
                  <w:r>
                    <w:rPr>
                      <w:szCs w:val="21"/>
                    </w:rPr>
                    <w:t>项目建设不影响其正常功能</w:t>
                  </w:r>
                </w:p>
              </w:tc>
            </w:tr>
          </w:tbl>
          <w:p>
            <w:pPr>
              <w:pStyle w:val="2"/>
              <w:ind w:firstLine="480"/>
            </w:pPr>
          </w:p>
          <w:p>
            <w:pPr>
              <w:pStyle w:val="2"/>
              <w:ind w:firstLine="48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vAlign w:val="center"/>
          </w:tcPr>
          <w:p>
            <w:pPr>
              <w:adjustRightInd w:val="0"/>
              <w:snapToGrid w:val="0"/>
              <w:jc w:val="center"/>
              <w:rPr>
                <w:rFonts w:ascii="宋体" w:hAnsi="宋体" w:cs="宋体"/>
                <w:kern w:val="0"/>
                <w:sz w:val="24"/>
              </w:rPr>
            </w:pPr>
            <w:r>
              <w:rPr>
                <w:rFonts w:hint="eastAsia" w:ascii="宋体" w:hAnsi="宋体" w:cs="宋体"/>
                <w:kern w:val="0"/>
                <w:sz w:val="24"/>
              </w:rPr>
              <w:t>评价</w:t>
            </w:r>
          </w:p>
          <w:p>
            <w:pPr>
              <w:adjustRightInd w:val="0"/>
              <w:snapToGrid w:val="0"/>
              <w:jc w:val="center"/>
              <w:rPr>
                <w:rFonts w:ascii="宋体" w:hAnsi="宋体" w:cs="宋体"/>
                <w:kern w:val="0"/>
                <w:sz w:val="24"/>
              </w:rPr>
            </w:pPr>
            <w:r>
              <w:rPr>
                <w:rFonts w:hint="eastAsia" w:ascii="宋体" w:hAnsi="宋体" w:cs="宋体"/>
                <w:kern w:val="0"/>
                <w:sz w:val="24"/>
              </w:rPr>
              <w:t>标准</w:t>
            </w:r>
          </w:p>
        </w:tc>
        <w:tc>
          <w:tcPr>
            <w:tcW w:w="8253" w:type="dxa"/>
            <w:vAlign w:val="center"/>
          </w:tcPr>
          <w:p>
            <w:pPr>
              <w:pStyle w:val="2"/>
              <w:ind w:firstLine="482"/>
              <w:rPr>
                <w:b/>
                <w:bCs/>
              </w:rPr>
            </w:pPr>
            <w:r>
              <w:rPr>
                <w:rFonts w:hint="eastAsia"/>
                <w:b/>
                <w:bCs/>
              </w:rPr>
              <w:t>一、环境质量标准</w:t>
            </w:r>
          </w:p>
          <w:p>
            <w:pPr>
              <w:pStyle w:val="2"/>
              <w:ind w:firstLine="482"/>
            </w:pPr>
            <w:r>
              <w:rPr>
                <w:rFonts w:hint="eastAsia"/>
                <w:b/>
                <w:bCs/>
              </w:rPr>
              <w:t>1、环境空气</w:t>
            </w:r>
          </w:p>
          <w:p>
            <w:pPr>
              <w:pStyle w:val="2"/>
              <w:ind w:firstLine="480"/>
            </w:pPr>
            <w:r>
              <w:rPr>
                <w:rFonts w:hint="eastAsia"/>
              </w:rPr>
              <w:t>项目所在区域空气环境中常规污染物</w:t>
            </w:r>
            <w:r>
              <w:t>NO</w:t>
            </w:r>
            <w:r>
              <w:rPr>
                <w:vertAlign w:val="subscript"/>
              </w:rPr>
              <w:t>2</w:t>
            </w:r>
            <w:r>
              <w:t>、SO</w:t>
            </w:r>
            <w:r>
              <w:rPr>
                <w:vertAlign w:val="subscript"/>
              </w:rPr>
              <w:t>2</w:t>
            </w:r>
            <w:r>
              <w:t>、CO、O</w:t>
            </w:r>
            <w:r>
              <w:rPr>
                <w:vertAlign w:val="subscript"/>
              </w:rPr>
              <w:t>3</w:t>
            </w:r>
            <w:r>
              <w:t>、PM</w:t>
            </w:r>
            <w:r>
              <w:rPr>
                <w:vertAlign w:val="subscript"/>
              </w:rPr>
              <w:t>10</w:t>
            </w:r>
            <w:r>
              <w:t>、PM</w:t>
            </w:r>
            <w:r>
              <w:rPr>
                <w:vertAlign w:val="subscript"/>
              </w:rPr>
              <w:t>2.5</w:t>
            </w:r>
            <w:r>
              <w:rPr>
                <w:rFonts w:hint="eastAsia"/>
              </w:rPr>
              <w:t>执行《环境空气质量标准》（GB 3095-2012）中二级标准。</w:t>
            </w:r>
          </w:p>
          <w:p>
            <w:pPr>
              <w:jc w:val="center"/>
              <w:rPr>
                <w:b/>
                <w:bCs/>
                <w:szCs w:val="21"/>
                <w:vertAlign w:val="superscript"/>
              </w:rPr>
            </w:pPr>
            <w:r>
              <w:rPr>
                <w:rFonts w:hint="eastAsia"/>
                <w:b/>
                <w:bCs/>
                <w:szCs w:val="21"/>
              </w:rPr>
              <w:t>表3-7环境空气质量标准（二级标准）单位：mg/</w:t>
            </w:r>
            <w:r>
              <w:rPr>
                <w:b/>
                <w:bCs/>
                <w:szCs w:val="21"/>
              </w:rPr>
              <w:t>m</w:t>
            </w:r>
            <w:r>
              <w:rPr>
                <w:rFonts w:hint="eastAsia"/>
                <w:b/>
                <w:bCs/>
                <w:szCs w:val="21"/>
                <w:vertAlign w:val="superscript"/>
              </w:rPr>
              <w:t>3</w:t>
            </w:r>
          </w:p>
          <w:tbl>
            <w:tblPr>
              <w:tblStyle w:val="18"/>
              <w:tblW w:w="802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34"/>
              <w:gridCol w:w="884"/>
              <w:gridCol w:w="892"/>
              <w:gridCol w:w="892"/>
              <w:gridCol w:w="1788"/>
              <w:gridCol w:w="1091"/>
              <w:gridCol w:w="11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1334" w:type="dxa"/>
                  <w:vAlign w:val="center"/>
                </w:tcPr>
                <w:p>
                  <w:pPr>
                    <w:jc w:val="center"/>
                    <w:rPr>
                      <w:b/>
                      <w:bCs/>
                      <w:szCs w:val="21"/>
                    </w:rPr>
                  </w:pPr>
                  <w:r>
                    <w:rPr>
                      <w:b/>
                      <w:bCs/>
                      <w:szCs w:val="21"/>
                    </w:rPr>
                    <w:t>评价因子</w:t>
                  </w:r>
                </w:p>
              </w:tc>
              <w:tc>
                <w:tcPr>
                  <w:tcW w:w="884" w:type="dxa"/>
                  <w:vAlign w:val="center"/>
                </w:tcPr>
                <w:p>
                  <w:pPr>
                    <w:jc w:val="center"/>
                    <w:rPr>
                      <w:b/>
                      <w:bCs/>
                      <w:szCs w:val="21"/>
                    </w:rPr>
                  </w:pPr>
                  <w:r>
                    <w:rPr>
                      <w:b/>
                      <w:bCs/>
                      <w:szCs w:val="21"/>
                    </w:rPr>
                    <w:t>NO</w:t>
                  </w:r>
                  <w:r>
                    <w:rPr>
                      <w:b/>
                      <w:bCs/>
                      <w:szCs w:val="21"/>
                      <w:vertAlign w:val="subscript"/>
                    </w:rPr>
                    <w:t>2</w:t>
                  </w:r>
                </w:p>
              </w:tc>
              <w:tc>
                <w:tcPr>
                  <w:tcW w:w="892" w:type="dxa"/>
                  <w:vAlign w:val="center"/>
                </w:tcPr>
                <w:p>
                  <w:pPr>
                    <w:jc w:val="center"/>
                    <w:rPr>
                      <w:b/>
                      <w:bCs/>
                      <w:szCs w:val="21"/>
                    </w:rPr>
                  </w:pPr>
                  <w:r>
                    <w:rPr>
                      <w:b/>
                      <w:bCs/>
                      <w:szCs w:val="21"/>
                    </w:rPr>
                    <w:t>SO</w:t>
                  </w:r>
                  <w:r>
                    <w:rPr>
                      <w:b/>
                      <w:bCs/>
                      <w:szCs w:val="21"/>
                      <w:vertAlign w:val="subscript"/>
                    </w:rPr>
                    <w:t>2</w:t>
                  </w:r>
                </w:p>
              </w:tc>
              <w:tc>
                <w:tcPr>
                  <w:tcW w:w="892" w:type="dxa"/>
                  <w:vAlign w:val="center"/>
                </w:tcPr>
                <w:p>
                  <w:pPr>
                    <w:jc w:val="center"/>
                    <w:rPr>
                      <w:b/>
                      <w:bCs/>
                      <w:szCs w:val="21"/>
                    </w:rPr>
                  </w:pPr>
                  <w:r>
                    <w:rPr>
                      <w:b/>
                      <w:bCs/>
                      <w:szCs w:val="21"/>
                    </w:rPr>
                    <w:t>CO</w:t>
                  </w:r>
                </w:p>
              </w:tc>
              <w:tc>
                <w:tcPr>
                  <w:tcW w:w="1788" w:type="dxa"/>
                  <w:vAlign w:val="center"/>
                </w:tcPr>
                <w:p>
                  <w:pPr>
                    <w:jc w:val="center"/>
                    <w:rPr>
                      <w:b/>
                      <w:bCs/>
                      <w:szCs w:val="21"/>
                    </w:rPr>
                  </w:pPr>
                  <w:r>
                    <w:rPr>
                      <w:b/>
                      <w:bCs/>
                      <w:szCs w:val="21"/>
                    </w:rPr>
                    <w:t>O</w:t>
                  </w:r>
                  <w:r>
                    <w:rPr>
                      <w:b/>
                      <w:bCs/>
                      <w:szCs w:val="21"/>
                      <w:vertAlign w:val="subscript"/>
                    </w:rPr>
                    <w:t>3</w:t>
                  </w:r>
                </w:p>
              </w:tc>
              <w:tc>
                <w:tcPr>
                  <w:tcW w:w="1091" w:type="dxa"/>
                  <w:vAlign w:val="center"/>
                </w:tcPr>
                <w:p>
                  <w:pPr>
                    <w:jc w:val="center"/>
                    <w:rPr>
                      <w:b/>
                      <w:bCs/>
                      <w:szCs w:val="21"/>
                    </w:rPr>
                  </w:pPr>
                  <w:r>
                    <w:rPr>
                      <w:b/>
                      <w:bCs/>
                      <w:szCs w:val="21"/>
                    </w:rPr>
                    <w:t>PM</w:t>
                  </w:r>
                  <w:r>
                    <w:rPr>
                      <w:b/>
                      <w:bCs/>
                      <w:szCs w:val="21"/>
                      <w:vertAlign w:val="subscript"/>
                    </w:rPr>
                    <w:t>10</w:t>
                  </w:r>
                </w:p>
              </w:tc>
              <w:tc>
                <w:tcPr>
                  <w:tcW w:w="1143" w:type="dxa"/>
                  <w:vAlign w:val="center"/>
                </w:tcPr>
                <w:p>
                  <w:pPr>
                    <w:jc w:val="center"/>
                    <w:rPr>
                      <w:b/>
                      <w:bCs/>
                      <w:szCs w:val="21"/>
                    </w:rPr>
                  </w:pPr>
                  <w:r>
                    <w:rPr>
                      <w:b/>
                      <w:bCs/>
                      <w:szCs w:val="21"/>
                    </w:rPr>
                    <w:t>PM</w:t>
                  </w:r>
                  <w:r>
                    <w:rPr>
                      <w:b/>
                      <w:bCs/>
                      <w:szCs w:val="21"/>
                      <w:vertAlign w:val="subscript"/>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3" w:hRule="atLeast"/>
                <w:jc w:val="center"/>
              </w:trPr>
              <w:tc>
                <w:tcPr>
                  <w:tcW w:w="1334" w:type="dxa"/>
                  <w:vAlign w:val="center"/>
                </w:tcPr>
                <w:p>
                  <w:pPr>
                    <w:jc w:val="center"/>
                    <w:rPr>
                      <w:szCs w:val="21"/>
                    </w:rPr>
                  </w:pPr>
                  <w:r>
                    <w:rPr>
                      <w:szCs w:val="21"/>
                    </w:rPr>
                    <w:t>小时平均</w:t>
                  </w:r>
                </w:p>
              </w:tc>
              <w:tc>
                <w:tcPr>
                  <w:tcW w:w="884" w:type="dxa"/>
                  <w:vAlign w:val="center"/>
                </w:tcPr>
                <w:p>
                  <w:pPr>
                    <w:jc w:val="center"/>
                    <w:rPr>
                      <w:szCs w:val="21"/>
                    </w:rPr>
                  </w:pPr>
                  <w:r>
                    <w:rPr>
                      <w:szCs w:val="21"/>
                    </w:rPr>
                    <w:t>0.20</w:t>
                  </w:r>
                </w:p>
              </w:tc>
              <w:tc>
                <w:tcPr>
                  <w:tcW w:w="892" w:type="dxa"/>
                  <w:vAlign w:val="center"/>
                </w:tcPr>
                <w:p>
                  <w:pPr>
                    <w:jc w:val="center"/>
                    <w:rPr>
                      <w:szCs w:val="21"/>
                    </w:rPr>
                  </w:pPr>
                  <w:r>
                    <w:rPr>
                      <w:szCs w:val="21"/>
                    </w:rPr>
                    <w:t>0.5</w:t>
                  </w:r>
                </w:p>
              </w:tc>
              <w:tc>
                <w:tcPr>
                  <w:tcW w:w="892" w:type="dxa"/>
                  <w:vAlign w:val="center"/>
                </w:tcPr>
                <w:p>
                  <w:pPr>
                    <w:jc w:val="center"/>
                    <w:rPr>
                      <w:szCs w:val="21"/>
                    </w:rPr>
                  </w:pPr>
                  <w:r>
                    <w:rPr>
                      <w:szCs w:val="21"/>
                    </w:rPr>
                    <w:t>10</w:t>
                  </w:r>
                </w:p>
              </w:tc>
              <w:tc>
                <w:tcPr>
                  <w:tcW w:w="1788" w:type="dxa"/>
                  <w:vAlign w:val="center"/>
                </w:tcPr>
                <w:p>
                  <w:pPr>
                    <w:jc w:val="center"/>
                    <w:rPr>
                      <w:szCs w:val="21"/>
                    </w:rPr>
                  </w:pPr>
                  <w:r>
                    <w:rPr>
                      <w:szCs w:val="21"/>
                    </w:rPr>
                    <w:t>0.2</w:t>
                  </w:r>
                </w:p>
              </w:tc>
              <w:tc>
                <w:tcPr>
                  <w:tcW w:w="1091" w:type="dxa"/>
                  <w:vAlign w:val="center"/>
                </w:tcPr>
                <w:p>
                  <w:pPr>
                    <w:jc w:val="center"/>
                    <w:rPr>
                      <w:szCs w:val="21"/>
                    </w:rPr>
                  </w:pPr>
                  <w:r>
                    <w:rPr>
                      <w:szCs w:val="21"/>
                    </w:rPr>
                    <w:t>/</w:t>
                  </w:r>
                </w:p>
              </w:tc>
              <w:tc>
                <w:tcPr>
                  <w:tcW w:w="1143" w:type="dxa"/>
                  <w:vAlign w:val="center"/>
                </w:tcPr>
                <w:p>
                  <w:pPr>
                    <w:jc w:val="center"/>
                    <w:rPr>
                      <w:szCs w:val="21"/>
                    </w:rPr>
                  </w:pPr>
                  <w:r>
                    <w:rPr>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7" w:hRule="atLeast"/>
                <w:jc w:val="center"/>
              </w:trPr>
              <w:tc>
                <w:tcPr>
                  <w:tcW w:w="1334" w:type="dxa"/>
                  <w:vAlign w:val="center"/>
                </w:tcPr>
                <w:p>
                  <w:pPr>
                    <w:jc w:val="center"/>
                    <w:rPr>
                      <w:szCs w:val="21"/>
                    </w:rPr>
                  </w:pPr>
                  <w:r>
                    <w:rPr>
                      <w:szCs w:val="21"/>
                    </w:rPr>
                    <w:t>日平均</w:t>
                  </w:r>
                </w:p>
              </w:tc>
              <w:tc>
                <w:tcPr>
                  <w:tcW w:w="884" w:type="dxa"/>
                  <w:vAlign w:val="center"/>
                </w:tcPr>
                <w:p>
                  <w:pPr>
                    <w:jc w:val="center"/>
                    <w:rPr>
                      <w:szCs w:val="21"/>
                    </w:rPr>
                  </w:pPr>
                  <w:r>
                    <w:rPr>
                      <w:szCs w:val="21"/>
                    </w:rPr>
                    <w:t>0.08</w:t>
                  </w:r>
                </w:p>
              </w:tc>
              <w:tc>
                <w:tcPr>
                  <w:tcW w:w="892" w:type="dxa"/>
                  <w:vAlign w:val="center"/>
                </w:tcPr>
                <w:p>
                  <w:pPr>
                    <w:jc w:val="center"/>
                    <w:rPr>
                      <w:szCs w:val="21"/>
                    </w:rPr>
                  </w:pPr>
                  <w:r>
                    <w:rPr>
                      <w:szCs w:val="21"/>
                    </w:rPr>
                    <w:t>0.15</w:t>
                  </w:r>
                </w:p>
              </w:tc>
              <w:tc>
                <w:tcPr>
                  <w:tcW w:w="892" w:type="dxa"/>
                  <w:vAlign w:val="center"/>
                </w:tcPr>
                <w:p>
                  <w:pPr>
                    <w:jc w:val="center"/>
                    <w:rPr>
                      <w:szCs w:val="21"/>
                    </w:rPr>
                  </w:pPr>
                  <w:r>
                    <w:rPr>
                      <w:szCs w:val="21"/>
                    </w:rPr>
                    <w:t>4</w:t>
                  </w:r>
                </w:p>
              </w:tc>
              <w:tc>
                <w:tcPr>
                  <w:tcW w:w="1788" w:type="dxa"/>
                  <w:vAlign w:val="center"/>
                </w:tcPr>
                <w:p>
                  <w:pPr>
                    <w:jc w:val="center"/>
                    <w:rPr>
                      <w:szCs w:val="21"/>
                    </w:rPr>
                  </w:pPr>
                  <w:r>
                    <w:rPr>
                      <w:szCs w:val="21"/>
                    </w:rPr>
                    <w:t>0.16（日最大8小时平均）</w:t>
                  </w:r>
                </w:p>
              </w:tc>
              <w:tc>
                <w:tcPr>
                  <w:tcW w:w="1091" w:type="dxa"/>
                  <w:vAlign w:val="center"/>
                </w:tcPr>
                <w:p>
                  <w:pPr>
                    <w:jc w:val="center"/>
                    <w:rPr>
                      <w:szCs w:val="21"/>
                    </w:rPr>
                  </w:pPr>
                  <w:r>
                    <w:rPr>
                      <w:szCs w:val="21"/>
                    </w:rPr>
                    <w:t>0.15</w:t>
                  </w:r>
                </w:p>
              </w:tc>
              <w:tc>
                <w:tcPr>
                  <w:tcW w:w="1143" w:type="dxa"/>
                  <w:vAlign w:val="center"/>
                </w:tcPr>
                <w:p>
                  <w:pPr>
                    <w:jc w:val="center"/>
                    <w:rPr>
                      <w:szCs w:val="21"/>
                    </w:rPr>
                  </w:pPr>
                  <w:r>
                    <w:rPr>
                      <w:szCs w:val="21"/>
                    </w:rPr>
                    <w:t>0.075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4" w:hRule="atLeast"/>
                <w:jc w:val="center"/>
              </w:trPr>
              <w:tc>
                <w:tcPr>
                  <w:tcW w:w="1334" w:type="dxa"/>
                  <w:vAlign w:val="center"/>
                </w:tcPr>
                <w:p>
                  <w:pPr>
                    <w:jc w:val="center"/>
                    <w:rPr>
                      <w:szCs w:val="21"/>
                    </w:rPr>
                  </w:pPr>
                  <w:r>
                    <w:rPr>
                      <w:szCs w:val="21"/>
                    </w:rPr>
                    <w:t>年平均</w:t>
                  </w:r>
                </w:p>
              </w:tc>
              <w:tc>
                <w:tcPr>
                  <w:tcW w:w="884" w:type="dxa"/>
                  <w:vAlign w:val="center"/>
                </w:tcPr>
                <w:p>
                  <w:pPr>
                    <w:jc w:val="center"/>
                    <w:rPr>
                      <w:szCs w:val="21"/>
                    </w:rPr>
                  </w:pPr>
                  <w:r>
                    <w:rPr>
                      <w:szCs w:val="21"/>
                    </w:rPr>
                    <w:t>0.04</w:t>
                  </w:r>
                </w:p>
              </w:tc>
              <w:tc>
                <w:tcPr>
                  <w:tcW w:w="892" w:type="dxa"/>
                  <w:vAlign w:val="center"/>
                </w:tcPr>
                <w:p>
                  <w:pPr>
                    <w:jc w:val="center"/>
                    <w:rPr>
                      <w:szCs w:val="21"/>
                    </w:rPr>
                  </w:pPr>
                  <w:r>
                    <w:rPr>
                      <w:szCs w:val="21"/>
                    </w:rPr>
                    <w:t>0.06</w:t>
                  </w:r>
                </w:p>
              </w:tc>
              <w:tc>
                <w:tcPr>
                  <w:tcW w:w="892" w:type="dxa"/>
                  <w:vAlign w:val="center"/>
                </w:tcPr>
                <w:p>
                  <w:pPr>
                    <w:jc w:val="center"/>
                    <w:rPr>
                      <w:szCs w:val="21"/>
                    </w:rPr>
                  </w:pPr>
                  <w:r>
                    <w:rPr>
                      <w:szCs w:val="21"/>
                    </w:rPr>
                    <w:t>/</w:t>
                  </w:r>
                </w:p>
              </w:tc>
              <w:tc>
                <w:tcPr>
                  <w:tcW w:w="1788" w:type="dxa"/>
                  <w:vAlign w:val="center"/>
                </w:tcPr>
                <w:p>
                  <w:pPr>
                    <w:jc w:val="center"/>
                    <w:rPr>
                      <w:szCs w:val="21"/>
                    </w:rPr>
                  </w:pPr>
                  <w:r>
                    <w:rPr>
                      <w:szCs w:val="21"/>
                    </w:rPr>
                    <w:t>/</w:t>
                  </w:r>
                </w:p>
              </w:tc>
              <w:tc>
                <w:tcPr>
                  <w:tcW w:w="1091" w:type="dxa"/>
                  <w:vAlign w:val="center"/>
                </w:tcPr>
                <w:p>
                  <w:pPr>
                    <w:jc w:val="center"/>
                    <w:rPr>
                      <w:szCs w:val="21"/>
                    </w:rPr>
                  </w:pPr>
                  <w:r>
                    <w:rPr>
                      <w:szCs w:val="21"/>
                    </w:rPr>
                    <w:t>0.07</w:t>
                  </w:r>
                </w:p>
              </w:tc>
              <w:tc>
                <w:tcPr>
                  <w:tcW w:w="1143" w:type="dxa"/>
                  <w:vAlign w:val="center"/>
                </w:tcPr>
                <w:p>
                  <w:pPr>
                    <w:jc w:val="center"/>
                    <w:rPr>
                      <w:szCs w:val="21"/>
                    </w:rPr>
                  </w:pPr>
                  <w:r>
                    <w:rPr>
                      <w:szCs w:val="21"/>
                    </w:rPr>
                    <w:t>0.035</w:t>
                  </w:r>
                </w:p>
              </w:tc>
            </w:tr>
          </w:tbl>
          <w:p>
            <w:pPr>
              <w:pStyle w:val="2"/>
              <w:ind w:firstLine="482"/>
              <w:rPr>
                <w:b/>
                <w:bCs/>
              </w:rPr>
            </w:pPr>
            <w:r>
              <w:rPr>
                <w:rFonts w:hint="eastAsia"/>
                <w:b/>
                <w:bCs/>
              </w:rPr>
              <w:t>2、水环境</w:t>
            </w:r>
          </w:p>
          <w:p>
            <w:pPr>
              <w:pStyle w:val="2"/>
              <w:ind w:firstLine="480"/>
            </w:pPr>
            <w:r>
              <w:rPr>
                <w:rFonts w:hint="eastAsia"/>
              </w:rPr>
              <w:t>东风湖水体环境</w:t>
            </w:r>
            <w:r>
              <w:t>执行《地表水环境质量标准》（GB3838-2002）中的</w:t>
            </w:r>
            <w:r>
              <w:rPr>
                <w:snapToGrid w:val="0"/>
                <w:kern w:val="0"/>
              </w:rPr>
              <w:t>Ⅲ</w:t>
            </w:r>
            <w:r>
              <w:t>类标准</w:t>
            </w:r>
            <w:r>
              <w:rPr>
                <w:rFonts w:hint="eastAsia"/>
              </w:rPr>
              <w:t>。</w:t>
            </w:r>
          </w:p>
          <w:p>
            <w:pPr>
              <w:adjustRightInd w:val="0"/>
              <w:snapToGrid w:val="0"/>
              <w:spacing w:beforeLines="50"/>
              <w:jc w:val="center"/>
              <w:rPr>
                <w:rFonts w:ascii="宋体" w:hAnsi="宋体" w:cs="宋体"/>
                <w:b/>
                <w:snapToGrid w:val="0"/>
                <w:kern w:val="0"/>
                <w:szCs w:val="21"/>
              </w:rPr>
            </w:pPr>
            <w:r>
              <w:rPr>
                <w:rFonts w:hint="eastAsia" w:ascii="宋体" w:hAnsi="宋体" w:cs="宋体"/>
                <w:b/>
                <w:snapToGrid w:val="0"/>
                <w:kern w:val="0"/>
                <w:szCs w:val="21"/>
              </w:rPr>
              <w:t>表</w:t>
            </w:r>
            <w:r>
              <w:rPr>
                <w:rFonts w:hint="eastAsia"/>
                <w:b/>
                <w:snapToGrid w:val="0"/>
                <w:kern w:val="0"/>
                <w:szCs w:val="21"/>
              </w:rPr>
              <w:t>3-8</w:t>
            </w:r>
            <w:r>
              <w:rPr>
                <w:rFonts w:hint="eastAsia" w:ascii="宋体" w:hAnsi="宋体" w:cs="宋体"/>
                <w:b/>
                <w:snapToGrid w:val="0"/>
                <w:kern w:val="0"/>
                <w:szCs w:val="21"/>
              </w:rPr>
              <w:t>地表水环境质量标准单位：</w:t>
            </w:r>
            <w:r>
              <w:rPr>
                <w:rFonts w:hint="eastAsia" w:ascii="宋体" w:hAnsi="宋体" w:cs="宋体"/>
                <w:b/>
                <w:bCs/>
                <w:szCs w:val="21"/>
              </w:rPr>
              <w:t>mg/L</w:t>
            </w:r>
          </w:p>
          <w:tbl>
            <w:tblPr>
              <w:tblStyle w:val="18"/>
              <w:tblW w:w="80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1180"/>
              <w:gridCol w:w="5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227" w:type="dxa"/>
                  <w:vAlign w:val="center"/>
                </w:tcPr>
                <w:p>
                  <w:pPr>
                    <w:widowControl/>
                    <w:adjustRightInd w:val="0"/>
                    <w:snapToGrid w:val="0"/>
                    <w:jc w:val="center"/>
                    <w:rPr>
                      <w:b/>
                      <w:bCs/>
                      <w:snapToGrid w:val="0"/>
                      <w:kern w:val="0"/>
                      <w:szCs w:val="21"/>
                    </w:rPr>
                  </w:pPr>
                  <w:r>
                    <w:rPr>
                      <w:b/>
                      <w:bCs/>
                      <w:snapToGrid w:val="0"/>
                      <w:kern w:val="0"/>
                      <w:szCs w:val="21"/>
                    </w:rPr>
                    <w:t>序号</w:t>
                  </w:r>
                </w:p>
              </w:tc>
              <w:tc>
                <w:tcPr>
                  <w:tcW w:w="1180" w:type="dxa"/>
                  <w:vAlign w:val="center"/>
                </w:tcPr>
                <w:p>
                  <w:pPr>
                    <w:widowControl/>
                    <w:adjustRightInd w:val="0"/>
                    <w:snapToGrid w:val="0"/>
                    <w:jc w:val="center"/>
                    <w:rPr>
                      <w:b/>
                      <w:bCs/>
                      <w:snapToGrid w:val="0"/>
                      <w:kern w:val="0"/>
                      <w:szCs w:val="21"/>
                    </w:rPr>
                  </w:pPr>
                  <w:r>
                    <w:rPr>
                      <w:b/>
                      <w:bCs/>
                      <w:snapToGrid w:val="0"/>
                      <w:kern w:val="0"/>
                      <w:szCs w:val="21"/>
                    </w:rPr>
                    <w:t>指标</w:t>
                  </w:r>
                </w:p>
              </w:tc>
              <w:tc>
                <w:tcPr>
                  <w:tcW w:w="5618" w:type="dxa"/>
                  <w:vAlign w:val="center"/>
                </w:tcPr>
                <w:p>
                  <w:pPr>
                    <w:widowControl/>
                    <w:adjustRightInd w:val="0"/>
                    <w:snapToGrid w:val="0"/>
                    <w:jc w:val="center"/>
                    <w:rPr>
                      <w:b/>
                      <w:bCs/>
                      <w:snapToGrid w:val="0"/>
                      <w:kern w:val="0"/>
                      <w:szCs w:val="21"/>
                    </w:rPr>
                  </w:pPr>
                  <w:r>
                    <w:rPr>
                      <w:b/>
                      <w:bCs/>
                      <w:snapToGrid w:val="0"/>
                      <w:kern w:val="0"/>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1</w:t>
                  </w:r>
                </w:p>
              </w:tc>
              <w:tc>
                <w:tcPr>
                  <w:tcW w:w="1180" w:type="dxa"/>
                  <w:vAlign w:val="center"/>
                </w:tcPr>
                <w:p>
                  <w:pPr>
                    <w:widowControl/>
                    <w:adjustRightInd w:val="0"/>
                    <w:snapToGrid w:val="0"/>
                    <w:jc w:val="center"/>
                    <w:rPr>
                      <w:snapToGrid w:val="0"/>
                      <w:kern w:val="0"/>
                      <w:szCs w:val="21"/>
                    </w:rPr>
                  </w:pPr>
                  <w:r>
                    <w:rPr>
                      <w:snapToGrid w:val="0"/>
                      <w:kern w:val="0"/>
                      <w:szCs w:val="21"/>
                    </w:rPr>
                    <w:t>pH</w:t>
                  </w:r>
                </w:p>
              </w:tc>
              <w:tc>
                <w:tcPr>
                  <w:tcW w:w="5618" w:type="dxa"/>
                  <w:vAlign w:val="center"/>
                </w:tcPr>
                <w:p>
                  <w:pPr>
                    <w:widowControl/>
                    <w:adjustRightInd w:val="0"/>
                    <w:snapToGrid w:val="0"/>
                    <w:jc w:val="center"/>
                    <w:rPr>
                      <w:snapToGrid w:val="0"/>
                      <w:kern w:val="0"/>
                      <w:szCs w:val="21"/>
                    </w:rPr>
                  </w:pPr>
                  <w:r>
                    <w:rPr>
                      <w:snapToGrid w:val="0"/>
                      <w:kern w:val="0"/>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2</w:t>
                  </w:r>
                </w:p>
              </w:tc>
              <w:tc>
                <w:tcPr>
                  <w:tcW w:w="1180" w:type="dxa"/>
                  <w:vAlign w:val="center"/>
                </w:tcPr>
                <w:p>
                  <w:pPr>
                    <w:widowControl/>
                    <w:adjustRightInd w:val="0"/>
                    <w:snapToGrid w:val="0"/>
                    <w:jc w:val="center"/>
                    <w:rPr>
                      <w:snapToGrid w:val="0"/>
                      <w:kern w:val="0"/>
                      <w:szCs w:val="21"/>
                    </w:rPr>
                  </w:pPr>
                  <w:r>
                    <w:rPr>
                      <w:snapToGrid w:val="0"/>
                      <w:kern w:val="0"/>
                      <w:szCs w:val="21"/>
                    </w:rPr>
                    <w:t>COD</w:t>
                  </w:r>
                </w:p>
              </w:tc>
              <w:tc>
                <w:tcPr>
                  <w:tcW w:w="5618" w:type="dxa"/>
                  <w:vAlign w:val="center"/>
                </w:tcPr>
                <w:p>
                  <w:pPr>
                    <w:widowControl/>
                    <w:adjustRightInd w:val="0"/>
                    <w:snapToGrid w:val="0"/>
                    <w:jc w:val="center"/>
                    <w:rPr>
                      <w:snapToGrid w:val="0"/>
                      <w:kern w:val="0"/>
                      <w:szCs w:val="21"/>
                    </w:rPr>
                  </w:pPr>
                  <w:r>
                    <w:rPr>
                      <w:snapToGrid w:val="0"/>
                      <w:kern w:val="0"/>
                      <w:szCs w:val="21"/>
                    </w:rPr>
                    <w:t>≤</w:t>
                  </w:r>
                  <w:r>
                    <w:rPr>
                      <w:rFonts w:hint="eastAsia"/>
                      <w:snapToGrid w:val="0"/>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3</w:t>
                  </w:r>
                </w:p>
              </w:tc>
              <w:tc>
                <w:tcPr>
                  <w:tcW w:w="1180" w:type="dxa"/>
                  <w:vAlign w:val="center"/>
                </w:tcPr>
                <w:p>
                  <w:pPr>
                    <w:widowControl/>
                    <w:adjustRightInd w:val="0"/>
                    <w:snapToGrid w:val="0"/>
                    <w:jc w:val="center"/>
                    <w:rPr>
                      <w:snapToGrid w:val="0"/>
                      <w:kern w:val="0"/>
                      <w:szCs w:val="21"/>
                    </w:rPr>
                  </w:pPr>
                  <w:r>
                    <w:rPr>
                      <w:snapToGrid w:val="0"/>
                      <w:kern w:val="0"/>
                      <w:szCs w:val="21"/>
                    </w:rPr>
                    <w:t>BOD</w:t>
                  </w:r>
                  <w:r>
                    <w:rPr>
                      <w:snapToGrid w:val="0"/>
                      <w:kern w:val="0"/>
                      <w:szCs w:val="21"/>
                      <w:vertAlign w:val="subscript"/>
                    </w:rPr>
                    <w:t>5</w:t>
                  </w:r>
                </w:p>
              </w:tc>
              <w:tc>
                <w:tcPr>
                  <w:tcW w:w="5618" w:type="dxa"/>
                  <w:vAlign w:val="center"/>
                </w:tcPr>
                <w:p>
                  <w:pPr>
                    <w:widowControl/>
                    <w:adjustRightInd w:val="0"/>
                    <w:snapToGrid w:val="0"/>
                    <w:jc w:val="center"/>
                    <w:rPr>
                      <w:snapToGrid w:val="0"/>
                      <w:kern w:val="0"/>
                      <w:szCs w:val="21"/>
                    </w:rPr>
                  </w:pPr>
                  <w:r>
                    <w:rPr>
                      <w:snapToGrid w:val="0"/>
                      <w:kern w:val="0"/>
                      <w:szCs w:val="21"/>
                    </w:rPr>
                    <w:t>≤</w:t>
                  </w:r>
                  <w:r>
                    <w:rPr>
                      <w:rFonts w:hint="eastAsia"/>
                      <w:snapToGrid w:val="0"/>
                      <w:kern w:val="0"/>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4</w:t>
                  </w:r>
                </w:p>
              </w:tc>
              <w:tc>
                <w:tcPr>
                  <w:tcW w:w="1180" w:type="dxa"/>
                  <w:vAlign w:val="center"/>
                </w:tcPr>
                <w:p>
                  <w:pPr>
                    <w:widowControl/>
                    <w:adjustRightInd w:val="0"/>
                    <w:snapToGrid w:val="0"/>
                    <w:jc w:val="center"/>
                    <w:rPr>
                      <w:snapToGrid w:val="0"/>
                      <w:kern w:val="0"/>
                      <w:szCs w:val="21"/>
                    </w:rPr>
                  </w:pPr>
                  <w:r>
                    <w:rPr>
                      <w:snapToGrid w:val="0"/>
                      <w:kern w:val="0"/>
                      <w:szCs w:val="21"/>
                    </w:rPr>
                    <w:t>NH</w:t>
                  </w:r>
                  <w:r>
                    <w:rPr>
                      <w:snapToGrid w:val="0"/>
                      <w:kern w:val="0"/>
                      <w:szCs w:val="21"/>
                      <w:vertAlign w:val="subscript"/>
                    </w:rPr>
                    <w:t>3</w:t>
                  </w:r>
                  <w:r>
                    <w:rPr>
                      <w:snapToGrid w:val="0"/>
                      <w:kern w:val="0"/>
                      <w:szCs w:val="21"/>
                    </w:rPr>
                    <w:t>-N</w:t>
                  </w:r>
                </w:p>
              </w:tc>
              <w:tc>
                <w:tcPr>
                  <w:tcW w:w="5618" w:type="dxa"/>
                  <w:vAlign w:val="center"/>
                </w:tcPr>
                <w:p>
                  <w:pPr>
                    <w:widowControl/>
                    <w:adjustRightInd w:val="0"/>
                    <w:snapToGrid w:val="0"/>
                    <w:jc w:val="center"/>
                    <w:rPr>
                      <w:snapToGrid w:val="0"/>
                      <w:kern w:val="0"/>
                      <w:szCs w:val="21"/>
                    </w:rPr>
                  </w:pPr>
                  <w:r>
                    <w:rPr>
                      <w:snapToGrid w:val="0"/>
                      <w:kern w:val="0"/>
                      <w:szCs w:val="21"/>
                    </w:rPr>
                    <w:t>≤1.</w:t>
                  </w:r>
                  <w:r>
                    <w:rPr>
                      <w:rFonts w:hint="eastAsia"/>
                      <w:snapToGrid w:val="0"/>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5</w:t>
                  </w:r>
                </w:p>
              </w:tc>
              <w:tc>
                <w:tcPr>
                  <w:tcW w:w="1180" w:type="dxa"/>
                  <w:vAlign w:val="center"/>
                </w:tcPr>
                <w:p>
                  <w:pPr>
                    <w:widowControl/>
                    <w:adjustRightInd w:val="0"/>
                    <w:snapToGrid w:val="0"/>
                    <w:jc w:val="center"/>
                    <w:rPr>
                      <w:snapToGrid w:val="0"/>
                      <w:color w:val="000000"/>
                      <w:kern w:val="0"/>
                      <w:szCs w:val="21"/>
                    </w:rPr>
                  </w:pPr>
                  <w:r>
                    <w:rPr>
                      <w:snapToGrid w:val="0"/>
                      <w:color w:val="000000"/>
                      <w:kern w:val="0"/>
                      <w:szCs w:val="21"/>
                    </w:rPr>
                    <w:t>总磷</w:t>
                  </w:r>
                </w:p>
              </w:tc>
              <w:tc>
                <w:tcPr>
                  <w:tcW w:w="5618" w:type="dxa"/>
                  <w:vAlign w:val="center"/>
                </w:tcPr>
                <w:p>
                  <w:pPr>
                    <w:widowControl/>
                    <w:adjustRightInd w:val="0"/>
                    <w:snapToGrid w:val="0"/>
                    <w:jc w:val="center"/>
                    <w:rPr>
                      <w:snapToGrid w:val="0"/>
                      <w:color w:val="000000"/>
                      <w:kern w:val="0"/>
                      <w:szCs w:val="21"/>
                    </w:rPr>
                  </w:pPr>
                  <w:r>
                    <w:rPr>
                      <w:snapToGrid w:val="0"/>
                      <w:color w:val="000000"/>
                      <w:kern w:val="0"/>
                      <w:szCs w:val="21"/>
                    </w:rPr>
                    <w:t>≤0.</w:t>
                  </w:r>
                  <w:r>
                    <w:rPr>
                      <w:rFonts w:hint="eastAsia"/>
                      <w:snapToGrid w:val="0"/>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6</w:t>
                  </w:r>
                </w:p>
              </w:tc>
              <w:tc>
                <w:tcPr>
                  <w:tcW w:w="1180" w:type="dxa"/>
                  <w:vAlign w:val="center"/>
                </w:tcPr>
                <w:p>
                  <w:pPr>
                    <w:widowControl/>
                    <w:adjustRightInd w:val="0"/>
                    <w:snapToGrid w:val="0"/>
                    <w:jc w:val="center"/>
                    <w:rPr>
                      <w:snapToGrid w:val="0"/>
                      <w:kern w:val="0"/>
                      <w:szCs w:val="21"/>
                    </w:rPr>
                  </w:pPr>
                  <w:r>
                    <w:rPr>
                      <w:snapToGrid w:val="0"/>
                      <w:kern w:val="0"/>
                      <w:szCs w:val="21"/>
                    </w:rPr>
                    <w:t>LAS</w:t>
                  </w:r>
                </w:p>
              </w:tc>
              <w:tc>
                <w:tcPr>
                  <w:tcW w:w="5618" w:type="dxa"/>
                  <w:vAlign w:val="center"/>
                </w:tcPr>
                <w:p>
                  <w:pPr>
                    <w:widowControl/>
                    <w:adjustRightInd w:val="0"/>
                    <w:snapToGrid w:val="0"/>
                    <w:jc w:val="center"/>
                    <w:rPr>
                      <w:snapToGrid w:val="0"/>
                      <w:kern w:val="0"/>
                      <w:szCs w:val="21"/>
                    </w:rPr>
                  </w:pPr>
                  <w:r>
                    <w:rPr>
                      <w:snapToGrid w:val="0"/>
                      <w:kern w:val="0"/>
                      <w:szCs w:val="21"/>
                    </w:rPr>
                    <w:t>≤0.</w:t>
                  </w:r>
                  <w:r>
                    <w:rPr>
                      <w:rFonts w:hint="eastAsia"/>
                      <w:snapToGrid w:val="0"/>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7</w:t>
                  </w:r>
                </w:p>
              </w:tc>
              <w:tc>
                <w:tcPr>
                  <w:tcW w:w="1180" w:type="dxa"/>
                  <w:vAlign w:val="center"/>
                </w:tcPr>
                <w:p>
                  <w:pPr>
                    <w:widowControl/>
                    <w:adjustRightInd w:val="0"/>
                    <w:snapToGrid w:val="0"/>
                    <w:jc w:val="center"/>
                    <w:rPr>
                      <w:snapToGrid w:val="0"/>
                      <w:kern w:val="0"/>
                      <w:szCs w:val="21"/>
                    </w:rPr>
                  </w:pPr>
                  <w:r>
                    <w:rPr>
                      <w:snapToGrid w:val="0"/>
                      <w:kern w:val="0"/>
                      <w:szCs w:val="21"/>
                    </w:rPr>
                    <w:t>挥发酚</w:t>
                  </w:r>
                </w:p>
              </w:tc>
              <w:tc>
                <w:tcPr>
                  <w:tcW w:w="5618" w:type="dxa"/>
                  <w:vAlign w:val="center"/>
                </w:tcPr>
                <w:p>
                  <w:pPr>
                    <w:widowControl/>
                    <w:adjustRightInd w:val="0"/>
                    <w:snapToGrid w:val="0"/>
                    <w:jc w:val="center"/>
                    <w:rPr>
                      <w:snapToGrid w:val="0"/>
                      <w:kern w:val="0"/>
                      <w:szCs w:val="21"/>
                    </w:rPr>
                  </w:pPr>
                  <w:r>
                    <w:rPr>
                      <w:snapToGrid w:val="0"/>
                      <w:kern w:val="0"/>
                      <w:szCs w:val="21"/>
                    </w:rPr>
                    <w:t>≤0.</w:t>
                  </w:r>
                  <w:r>
                    <w:rPr>
                      <w:rFonts w:hint="eastAsia"/>
                      <w:snapToGrid w:val="0"/>
                      <w:kern w:val="0"/>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227" w:type="dxa"/>
                  <w:vAlign w:val="center"/>
                </w:tcPr>
                <w:p>
                  <w:pPr>
                    <w:widowControl/>
                    <w:adjustRightInd w:val="0"/>
                    <w:snapToGrid w:val="0"/>
                    <w:jc w:val="center"/>
                    <w:rPr>
                      <w:snapToGrid w:val="0"/>
                      <w:kern w:val="0"/>
                      <w:szCs w:val="21"/>
                    </w:rPr>
                  </w:pPr>
                  <w:r>
                    <w:rPr>
                      <w:snapToGrid w:val="0"/>
                      <w:kern w:val="0"/>
                      <w:szCs w:val="21"/>
                    </w:rPr>
                    <w:t>8</w:t>
                  </w:r>
                </w:p>
              </w:tc>
              <w:tc>
                <w:tcPr>
                  <w:tcW w:w="1180" w:type="dxa"/>
                  <w:vAlign w:val="center"/>
                </w:tcPr>
                <w:p>
                  <w:pPr>
                    <w:widowControl/>
                    <w:adjustRightInd w:val="0"/>
                    <w:snapToGrid w:val="0"/>
                    <w:jc w:val="center"/>
                    <w:rPr>
                      <w:snapToGrid w:val="0"/>
                      <w:kern w:val="0"/>
                      <w:szCs w:val="21"/>
                    </w:rPr>
                  </w:pPr>
                  <w:r>
                    <w:rPr>
                      <w:snapToGrid w:val="0"/>
                      <w:kern w:val="0"/>
                      <w:szCs w:val="21"/>
                    </w:rPr>
                    <w:t>石油类</w:t>
                  </w:r>
                </w:p>
              </w:tc>
              <w:tc>
                <w:tcPr>
                  <w:tcW w:w="5618" w:type="dxa"/>
                  <w:vAlign w:val="center"/>
                </w:tcPr>
                <w:p>
                  <w:pPr>
                    <w:widowControl/>
                    <w:adjustRightInd w:val="0"/>
                    <w:snapToGrid w:val="0"/>
                    <w:jc w:val="center"/>
                    <w:rPr>
                      <w:snapToGrid w:val="0"/>
                      <w:kern w:val="0"/>
                      <w:szCs w:val="21"/>
                    </w:rPr>
                  </w:pPr>
                  <w:r>
                    <w:rPr>
                      <w:snapToGrid w:val="0"/>
                      <w:kern w:val="0"/>
                      <w:szCs w:val="21"/>
                    </w:rPr>
                    <w:t>≤0.</w:t>
                  </w:r>
                  <w:r>
                    <w:rPr>
                      <w:rFonts w:hint="eastAsia"/>
                      <w:snapToGrid w:val="0"/>
                      <w:kern w:val="0"/>
                      <w:szCs w:val="21"/>
                    </w:rPr>
                    <w:t>05</w:t>
                  </w:r>
                </w:p>
              </w:tc>
            </w:tr>
          </w:tbl>
          <w:p>
            <w:pPr>
              <w:pStyle w:val="2"/>
              <w:ind w:firstLine="482"/>
              <w:rPr>
                <w:b/>
                <w:bCs/>
              </w:rPr>
            </w:pPr>
            <w:r>
              <w:rPr>
                <w:rFonts w:hint="eastAsia"/>
                <w:b/>
                <w:bCs/>
              </w:rPr>
              <w:t>3、声环境</w:t>
            </w:r>
          </w:p>
          <w:p>
            <w:pPr>
              <w:pStyle w:val="2"/>
              <w:ind w:firstLine="480"/>
              <w:rPr>
                <w:b/>
                <w:snapToGrid w:val="0"/>
                <w:kern w:val="0"/>
                <w:szCs w:val="21"/>
              </w:rPr>
            </w:pPr>
            <w:r>
              <w:rPr>
                <w:rFonts w:hint="eastAsia"/>
              </w:rPr>
              <w:t>本项目执行《声环境质量标准》（GB3096-2008）中2类标准。</w:t>
            </w:r>
          </w:p>
          <w:p>
            <w:pPr>
              <w:widowControl/>
              <w:adjustRightInd w:val="0"/>
              <w:snapToGrid w:val="0"/>
              <w:jc w:val="center"/>
              <w:rPr>
                <w:rFonts w:ascii="宋体" w:hAnsi="宋体" w:cs="宋体"/>
                <w:snapToGrid w:val="0"/>
                <w:kern w:val="0"/>
                <w:szCs w:val="21"/>
              </w:rPr>
            </w:pPr>
            <w:r>
              <w:rPr>
                <w:b/>
                <w:snapToGrid w:val="0"/>
                <w:kern w:val="0"/>
                <w:szCs w:val="21"/>
              </w:rPr>
              <w:t>表</w:t>
            </w:r>
            <w:r>
              <w:rPr>
                <w:rFonts w:hint="eastAsia"/>
                <w:b/>
                <w:snapToGrid w:val="0"/>
                <w:kern w:val="0"/>
                <w:szCs w:val="21"/>
              </w:rPr>
              <w:t>3-9</w:t>
            </w:r>
            <w:r>
              <w:rPr>
                <w:rFonts w:hint="eastAsia" w:ascii="宋体" w:hAnsi="宋体" w:cs="宋体"/>
                <w:b/>
                <w:snapToGrid w:val="0"/>
                <w:kern w:val="0"/>
                <w:szCs w:val="21"/>
              </w:rPr>
              <w:t>声环境质量标准单位:dB（A）</w:t>
            </w:r>
          </w:p>
          <w:tbl>
            <w:tblPr>
              <w:tblStyle w:val="18"/>
              <w:tblW w:w="80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7"/>
              <w:gridCol w:w="2553"/>
              <w:gridCol w:w="2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557" w:type="dxa"/>
                  <w:vAlign w:val="center"/>
                </w:tcPr>
                <w:p>
                  <w:pPr>
                    <w:widowControl/>
                    <w:adjustRightInd w:val="0"/>
                    <w:snapToGrid w:val="0"/>
                    <w:jc w:val="center"/>
                    <w:rPr>
                      <w:b/>
                      <w:bCs/>
                      <w:snapToGrid w:val="0"/>
                      <w:kern w:val="0"/>
                      <w:szCs w:val="21"/>
                    </w:rPr>
                  </w:pPr>
                  <w:r>
                    <w:rPr>
                      <w:b/>
                      <w:bCs/>
                      <w:snapToGrid w:val="0"/>
                      <w:kern w:val="0"/>
                      <w:szCs w:val="21"/>
                    </w:rPr>
                    <w:t>类别</w:t>
                  </w:r>
                </w:p>
              </w:tc>
              <w:tc>
                <w:tcPr>
                  <w:tcW w:w="2553" w:type="dxa"/>
                  <w:vAlign w:val="center"/>
                </w:tcPr>
                <w:p>
                  <w:pPr>
                    <w:widowControl/>
                    <w:adjustRightInd w:val="0"/>
                    <w:snapToGrid w:val="0"/>
                    <w:jc w:val="center"/>
                    <w:rPr>
                      <w:b/>
                      <w:bCs/>
                      <w:snapToGrid w:val="0"/>
                      <w:kern w:val="0"/>
                      <w:szCs w:val="21"/>
                    </w:rPr>
                  </w:pPr>
                  <w:r>
                    <w:rPr>
                      <w:b/>
                      <w:bCs/>
                      <w:snapToGrid w:val="0"/>
                      <w:kern w:val="0"/>
                      <w:szCs w:val="21"/>
                    </w:rPr>
                    <w:t>昼间</w:t>
                  </w:r>
                </w:p>
              </w:tc>
              <w:tc>
                <w:tcPr>
                  <w:tcW w:w="2914" w:type="dxa"/>
                  <w:vAlign w:val="center"/>
                </w:tcPr>
                <w:p>
                  <w:pPr>
                    <w:widowControl/>
                    <w:adjustRightInd w:val="0"/>
                    <w:snapToGrid w:val="0"/>
                    <w:jc w:val="center"/>
                    <w:rPr>
                      <w:b/>
                      <w:bCs/>
                      <w:snapToGrid w:val="0"/>
                      <w:kern w:val="0"/>
                      <w:szCs w:val="21"/>
                    </w:rPr>
                  </w:pPr>
                  <w:r>
                    <w:rPr>
                      <w:b/>
                      <w:bCs/>
                      <w:snapToGrid w:val="0"/>
                      <w:kern w:val="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557" w:type="dxa"/>
                  <w:vAlign w:val="center"/>
                </w:tcPr>
                <w:p>
                  <w:pPr>
                    <w:adjustRightInd w:val="0"/>
                    <w:snapToGrid w:val="0"/>
                    <w:jc w:val="center"/>
                    <w:rPr>
                      <w:szCs w:val="21"/>
                    </w:rPr>
                  </w:pPr>
                  <w:r>
                    <w:rPr>
                      <w:rFonts w:hint="eastAsia"/>
                      <w:szCs w:val="21"/>
                    </w:rPr>
                    <w:t>2</w:t>
                  </w:r>
                  <w:r>
                    <w:rPr>
                      <w:szCs w:val="21"/>
                    </w:rPr>
                    <w:t>类</w:t>
                  </w:r>
                </w:p>
              </w:tc>
              <w:tc>
                <w:tcPr>
                  <w:tcW w:w="2553" w:type="dxa"/>
                  <w:vAlign w:val="center"/>
                </w:tcPr>
                <w:p>
                  <w:pPr>
                    <w:adjustRightInd w:val="0"/>
                    <w:snapToGrid w:val="0"/>
                    <w:jc w:val="center"/>
                    <w:rPr>
                      <w:szCs w:val="21"/>
                    </w:rPr>
                  </w:pPr>
                  <w:r>
                    <w:rPr>
                      <w:rFonts w:hint="eastAsia"/>
                      <w:szCs w:val="21"/>
                    </w:rPr>
                    <w:t>60</w:t>
                  </w:r>
                </w:p>
              </w:tc>
              <w:tc>
                <w:tcPr>
                  <w:tcW w:w="2914" w:type="dxa"/>
                  <w:vAlign w:val="center"/>
                </w:tcPr>
                <w:p>
                  <w:pPr>
                    <w:adjustRightInd w:val="0"/>
                    <w:snapToGrid w:val="0"/>
                    <w:jc w:val="center"/>
                    <w:rPr>
                      <w:szCs w:val="21"/>
                    </w:rPr>
                  </w:pPr>
                  <w:r>
                    <w:rPr>
                      <w:rFonts w:hint="eastAsia"/>
                      <w:szCs w:val="21"/>
                    </w:rPr>
                    <w:t>50</w:t>
                  </w:r>
                </w:p>
              </w:tc>
            </w:tr>
          </w:tbl>
          <w:p>
            <w:pPr>
              <w:pStyle w:val="2"/>
              <w:ind w:firstLine="482"/>
              <w:rPr>
                <w:b/>
                <w:bCs/>
              </w:rPr>
            </w:pPr>
            <w:r>
              <w:rPr>
                <w:rFonts w:hint="eastAsia"/>
                <w:b/>
                <w:bCs/>
              </w:rPr>
              <w:t>二、污染物排放标准</w:t>
            </w:r>
          </w:p>
          <w:p>
            <w:pPr>
              <w:spacing w:line="360" w:lineRule="auto"/>
              <w:ind w:firstLine="422" w:firstLineChars="200"/>
              <w:rPr>
                <w:b/>
                <w:bCs/>
                <w:kern w:val="0"/>
                <w:sz w:val="24"/>
              </w:rPr>
            </w:pPr>
            <w:r>
              <w:rPr>
                <w:rFonts w:hint="eastAsia"/>
                <w:b/>
                <w:bCs/>
              </w:rPr>
              <w:t>1、</w:t>
            </w:r>
            <w:r>
              <w:rPr>
                <w:b/>
                <w:bCs/>
                <w:kern w:val="0"/>
                <w:sz w:val="24"/>
              </w:rPr>
              <w:t>废气</w:t>
            </w:r>
          </w:p>
          <w:p>
            <w:pPr>
              <w:spacing w:line="360" w:lineRule="auto"/>
              <w:ind w:firstLine="480" w:firstLineChars="200"/>
              <w:rPr>
                <w:sz w:val="24"/>
              </w:rPr>
            </w:pPr>
            <w:r>
              <w:rPr>
                <w:kern w:val="0"/>
                <w:sz w:val="24"/>
              </w:rPr>
              <w:t>施工期</w:t>
            </w:r>
            <w:r>
              <w:rPr>
                <w:sz w:val="24"/>
              </w:rPr>
              <w:t>执行《大气污染物综合排放标准》（GB16297-1996）表2中无组织排放标准的限值。</w:t>
            </w:r>
          </w:p>
          <w:p>
            <w:pPr>
              <w:spacing w:line="360" w:lineRule="auto"/>
              <w:ind w:firstLine="480" w:firstLineChars="200"/>
              <w:rPr>
                <w:bCs/>
                <w:sz w:val="24"/>
              </w:rPr>
            </w:pPr>
            <w:r>
              <w:rPr>
                <w:sz w:val="24"/>
              </w:rPr>
              <w:t>运营期</w:t>
            </w:r>
            <w:r>
              <w:rPr>
                <w:rFonts w:hint="eastAsia"/>
                <w:sz w:val="24"/>
              </w:rPr>
              <w:t>幼儿园、居民厨房</w:t>
            </w:r>
            <w:r>
              <w:rPr>
                <w:sz w:val="24"/>
              </w:rPr>
              <w:t>油烟</w:t>
            </w:r>
            <w:r>
              <w:rPr>
                <w:rFonts w:hint="eastAsia"/>
                <w:sz w:val="24"/>
              </w:rPr>
              <w:t>参考</w:t>
            </w:r>
            <w:r>
              <w:rPr>
                <w:sz w:val="24"/>
              </w:rPr>
              <w:t>执行</w:t>
            </w:r>
            <w:r>
              <w:rPr>
                <w:bCs/>
                <w:sz w:val="24"/>
              </w:rPr>
              <w:t>《饮食业油烟排放标准（试行）》（GB18483-2001）相关标准；</w:t>
            </w:r>
          </w:p>
          <w:p>
            <w:pPr>
              <w:spacing w:line="360" w:lineRule="auto"/>
              <w:ind w:firstLine="480" w:firstLineChars="200"/>
              <w:rPr>
                <w:kern w:val="0"/>
                <w:sz w:val="24"/>
              </w:rPr>
            </w:pPr>
            <w:r>
              <w:rPr>
                <w:rFonts w:hint="eastAsia"/>
                <w:bCs/>
                <w:sz w:val="24"/>
              </w:rPr>
              <w:t>公厕、</w:t>
            </w:r>
            <w:r>
              <w:rPr>
                <w:bCs/>
                <w:sz w:val="24"/>
              </w:rPr>
              <w:t>垃圾</w:t>
            </w:r>
            <w:r>
              <w:rPr>
                <w:rFonts w:hint="eastAsia"/>
                <w:bCs/>
                <w:sz w:val="24"/>
              </w:rPr>
              <w:t>收集点</w:t>
            </w:r>
            <w:r>
              <w:rPr>
                <w:bCs/>
                <w:sz w:val="24"/>
              </w:rPr>
              <w:t>恶臭</w:t>
            </w:r>
            <w:r>
              <w:rPr>
                <w:rFonts w:hint="eastAsia"/>
                <w:bCs/>
                <w:sz w:val="24"/>
              </w:rPr>
              <w:t>气体（臭气浓度）</w:t>
            </w:r>
            <w:r>
              <w:rPr>
                <w:bCs/>
                <w:sz w:val="24"/>
              </w:rPr>
              <w:t>执行《恶臭污染物排放标准》（GB14554-93）中表1厂界浓度限值，具体如下：</w:t>
            </w:r>
          </w:p>
          <w:p>
            <w:pPr>
              <w:pStyle w:val="2"/>
              <w:spacing w:line="240" w:lineRule="auto"/>
              <w:ind w:firstLine="0" w:firstLineChars="0"/>
              <w:jc w:val="center"/>
              <w:rPr>
                <w:b/>
                <w:sz w:val="21"/>
              </w:rPr>
            </w:pPr>
            <w:r>
              <w:rPr>
                <w:b/>
                <w:sz w:val="21"/>
              </w:rPr>
              <w:t>表3-</w:t>
            </w:r>
            <w:r>
              <w:rPr>
                <w:rFonts w:hint="eastAsia"/>
                <w:b/>
                <w:sz w:val="21"/>
              </w:rPr>
              <w:t>10</w:t>
            </w:r>
            <w:r>
              <w:rPr>
                <w:b/>
                <w:sz w:val="21"/>
              </w:rPr>
              <w:t>大气污染物排放标准</w:t>
            </w:r>
          </w:p>
          <w:tbl>
            <w:tblPr>
              <w:tblStyle w:val="18"/>
              <w:tblW w:w="8024"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2168"/>
              <w:gridCol w:w="2353"/>
              <w:gridCol w:w="2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46" w:type="dxa"/>
                  <w:vMerge w:val="restart"/>
                  <w:vAlign w:val="center"/>
                </w:tcPr>
                <w:p>
                  <w:pPr>
                    <w:jc w:val="center"/>
                    <w:rPr>
                      <w:b/>
                      <w:bCs/>
                      <w:kern w:val="0"/>
                      <w:szCs w:val="21"/>
                    </w:rPr>
                  </w:pPr>
                  <w:r>
                    <w:rPr>
                      <w:b/>
                      <w:bCs/>
                      <w:szCs w:val="21"/>
                    </w:rPr>
                    <w:t>污染物</w:t>
                  </w:r>
                </w:p>
              </w:tc>
              <w:tc>
                <w:tcPr>
                  <w:tcW w:w="2168" w:type="dxa"/>
                  <w:vMerge w:val="restart"/>
                  <w:vAlign w:val="center"/>
                </w:tcPr>
                <w:p>
                  <w:pPr>
                    <w:jc w:val="center"/>
                    <w:rPr>
                      <w:b/>
                      <w:bCs/>
                      <w:szCs w:val="21"/>
                    </w:rPr>
                  </w:pPr>
                  <w:r>
                    <w:rPr>
                      <w:b/>
                      <w:bCs/>
                      <w:szCs w:val="21"/>
                    </w:rPr>
                    <w:t>最高允许排放浓度mg/m</w:t>
                  </w:r>
                  <w:r>
                    <w:rPr>
                      <w:b/>
                      <w:bCs/>
                      <w:szCs w:val="21"/>
                      <w:vertAlign w:val="superscript"/>
                    </w:rPr>
                    <w:t>3</w:t>
                  </w:r>
                </w:p>
              </w:tc>
              <w:tc>
                <w:tcPr>
                  <w:tcW w:w="4710" w:type="dxa"/>
                  <w:gridSpan w:val="2"/>
                  <w:vAlign w:val="center"/>
                </w:tcPr>
                <w:p>
                  <w:pPr>
                    <w:pStyle w:val="32"/>
                    <w:adjustRightInd/>
                    <w:spacing w:before="0" w:after="0" w:line="240" w:lineRule="auto"/>
                    <w:textAlignment w:val="auto"/>
                    <w:rPr>
                      <w:b/>
                      <w:bCs/>
                      <w:kern w:val="2"/>
                      <w:szCs w:val="21"/>
                    </w:rPr>
                  </w:pPr>
                  <w:r>
                    <w:rPr>
                      <w:b/>
                      <w:bCs/>
                      <w:kern w:val="2"/>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46" w:type="dxa"/>
                  <w:vMerge w:val="continue"/>
                </w:tcPr>
                <w:p>
                  <w:pPr>
                    <w:widowControl/>
                    <w:jc w:val="center"/>
                    <w:rPr>
                      <w:b/>
                      <w:bCs/>
                      <w:kern w:val="0"/>
                      <w:szCs w:val="21"/>
                    </w:rPr>
                  </w:pPr>
                </w:p>
              </w:tc>
              <w:tc>
                <w:tcPr>
                  <w:tcW w:w="2168" w:type="dxa"/>
                  <w:vMerge w:val="continue"/>
                </w:tcPr>
                <w:p>
                  <w:pPr>
                    <w:widowControl/>
                    <w:jc w:val="center"/>
                    <w:rPr>
                      <w:b/>
                      <w:bCs/>
                      <w:kern w:val="0"/>
                      <w:szCs w:val="21"/>
                    </w:rPr>
                  </w:pPr>
                </w:p>
              </w:tc>
              <w:tc>
                <w:tcPr>
                  <w:tcW w:w="2353" w:type="dxa"/>
                  <w:vAlign w:val="center"/>
                </w:tcPr>
                <w:p>
                  <w:pPr>
                    <w:jc w:val="center"/>
                    <w:rPr>
                      <w:b/>
                      <w:bCs/>
                      <w:kern w:val="0"/>
                      <w:szCs w:val="21"/>
                    </w:rPr>
                  </w:pPr>
                  <w:r>
                    <w:rPr>
                      <w:b/>
                      <w:bCs/>
                      <w:szCs w:val="21"/>
                    </w:rPr>
                    <w:t>监控点</w:t>
                  </w:r>
                </w:p>
              </w:tc>
              <w:tc>
                <w:tcPr>
                  <w:tcW w:w="2357" w:type="dxa"/>
                  <w:vAlign w:val="center"/>
                </w:tcPr>
                <w:p>
                  <w:pPr>
                    <w:jc w:val="center"/>
                    <w:rPr>
                      <w:b/>
                      <w:bCs/>
                      <w:kern w:val="0"/>
                      <w:szCs w:val="21"/>
                    </w:rPr>
                  </w:pPr>
                  <w:r>
                    <w:rPr>
                      <w:b/>
                      <w:bCs/>
                      <w:szCs w:val="21"/>
                    </w:rPr>
                    <w:t>浓度（mg/m</w:t>
                  </w:r>
                  <w:r>
                    <w:rPr>
                      <w:b/>
                      <w:bCs/>
                      <w:szCs w:val="21"/>
                      <w:vertAlign w:val="superscript"/>
                    </w:rPr>
                    <w:t>3</w:t>
                  </w:r>
                  <w:r>
                    <w:rPr>
                      <w:b/>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146" w:type="dxa"/>
                  <w:vAlign w:val="center"/>
                </w:tcPr>
                <w:p>
                  <w:pPr>
                    <w:jc w:val="center"/>
                    <w:rPr>
                      <w:szCs w:val="21"/>
                    </w:rPr>
                  </w:pPr>
                  <w:r>
                    <w:rPr>
                      <w:szCs w:val="21"/>
                    </w:rPr>
                    <w:t>颗粒物</w:t>
                  </w:r>
                </w:p>
              </w:tc>
              <w:tc>
                <w:tcPr>
                  <w:tcW w:w="2168" w:type="dxa"/>
                  <w:vAlign w:val="center"/>
                </w:tcPr>
                <w:p>
                  <w:pPr>
                    <w:jc w:val="center"/>
                    <w:rPr>
                      <w:szCs w:val="21"/>
                    </w:rPr>
                  </w:pPr>
                  <w:r>
                    <w:rPr>
                      <w:szCs w:val="21"/>
                    </w:rPr>
                    <w:t>120</w:t>
                  </w:r>
                </w:p>
              </w:tc>
              <w:tc>
                <w:tcPr>
                  <w:tcW w:w="2353" w:type="dxa"/>
                  <w:vMerge w:val="restart"/>
                  <w:vAlign w:val="center"/>
                </w:tcPr>
                <w:p>
                  <w:pPr>
                    <w:jc w:val="center"/>
                    <w:rPr>
                      <w:szCs w:val="21"/>
                    </w:rPr>
                  </w:pPr>
                  <w:r>
                    <w:rPr>
                      <w:szCs w:val="21"/>
                    </w:rPr>
                    <w:t>厂界外浓度最高点</w:t>
                  </w:r>
                </w:p>
              </w:tc>
              <w:tc>
                <w:tcPr>
                  <w:tcW w:w="2357" w:type="dxa"/>
                  <w:vAlign w:val="center"/>
                </w:tcPr>
                <w:p>
                  <w:pPr>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146" w:type="dxa"/>
                  <w:vAlign w:val="center"/>
                </w:tcPr>
                <w:p>
                  <w:pPr>
                    <w:jc w:val="center"/>
                    <w:rPr>
                      <w:szCs w:val="21"/>
                    </w:rPr>
                  </w:pPr>
                  <w:r>
                    <w:rPr>
                      <w:szCs w:val="21"/>
                    </w:rPr>
                    <w:t>二氧化硫</w:t>
                  </w:r>
                </w:p>
              </w:tc>
              <w:tc>
                <w:tcPr>
                  <w:tcW w:w="2168" w:type="dxa"/>
                  <w:vAlign w:val="center"/>
                </w:tcPr>
                <w:p>
                  <w:pPr>
                    <w:jc w:val="center"/>
                    <w:rPr>
                      <w:szCs w:val="21"/>
                    </w:rPr>
                  </w:pPr>
                  <w:r>
                    <w:rPr>
                      <w:szCs w:val="21"/>
                    </w:rPr>
                    <w:t>550</w:t>
                  </w:r>
                </w:p>
              </w:tc>
              <w:tc>
                <w:tcPr>
                  <w:tcW w:w="2353" w:type="dxa"/>
                  <w:vMerge w:val="continue"/>
                  <w:vAlign w:val="center"/>
                </w:tcPr>
                <w:p>
                  <w:pPr>
                    <w:jc w:val="center"/>
                    <w:rPr>
                      <w:szCs w:val="21"/>
                    </w:rPr>
                  </w:pPr>
                </w:p>
              </w:tc>
              <w:tc>
                <w:tcPr>
                  <w:tcW w:w="2357" w:type="dxa"/>
                  <w:vAlign w:val="center"/>
                </w:tcPr>
                <w:p>
                  <w:pPr>
                    <w:jc w:val="center"/>
                    <w:rPr>
                      <w:szCs w:val="21"/>
                    </w:rPr>
                  </w:pPr>
                  <w:r>
                    <w:rPr>
                      <w:szCs w:val="21"/>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146" w:type="dxa"/>
                  <w:vAlign w:val="center"/>
                </w:tcPr>
                <w:p>
                  <w:pPr>
                    <w:jc w:val="center"/>
                    <w:rPr>
                      <w:szCs w:val="21"/>
                    </w:rPr>
                  </w:pPr>
                  <w:r>
                    <w:rPr>
                      <w:szCs w:val="21"/>
                    </w:rPr>
                    <w:t>氮氧化物</w:t>
                  </w:r>
                </w:p>
              </w:tc>
              <w:tc>
                <w:tcPr>
                  <w:tcW w:w="2168" w:type="dxa"/>
                  <w:vAlign w:val="center"/>
                </w:tcPr>
                <w:p>
                  <w:pPr>
                    <w:jc w:val="center"/>
                    <w:rPr>
                      <w:szCs w:val="21"/>
                    </w:rPr>
                  </w:pPr>
                  <w:r>
                    <w:rPr>
                      <w:szCs w:val="21"/>
                    </w:rPr>
                    <w:t>240</w:t>
                  </w:r>
                </w:p>
              </w:tc>
              <w:tc>
                <w:tcPr>
                  <w:tcW w:w="2353" w:type="dxa"/>
                  <w:vMerge w:val="continue"/>
                  <w:vAlign w:val="center"/>
                </w:tcPr>
                <w:p>
                  <w:pPr>
                    <w:jc w:val="center"/>
                    <w:rPr>
                      <w:szCs w:val="21"/>
                    </w:rPr>
                  </w:pPr>
                </w:p>
              </w:tc>
              <w:tc>
                <w:tcPr>
                  <w:tcW w:w="2357" w:type="dxa"/>
                  <w:vAlign w:val="center"/>
                </w:tcPr>
                <w:p>
                  <w:pPr>
                    <w:jc w:val="center"/>
                    <w:rPr>
                      <w:szCs w:val="21"/>
                    </w:rPr>
                  </w:pPr>
                  <w:r>
                    <w:rPr>
                      <w:szCs w:val="21"/>
                    </w:rPr>
                    <w:t>0.12</w:t>
                  </w:r>
                </w:p>
              </w:tc>
            </w:tr>
          </w:tbl>
          <w:p>
            <w:pPr>
              <w:pStyle w:val="2"/>
              <w:spacing w:line="240" w:lineRule="auto"/>
              <w:ind w:firstLine="0" w:firstLineChars="0"/>
              <w:jc w:val="center"/>
              <w:rPr>
                <w:b/>
                <w:sz w:val="21"/>
              </w:rPr>
            </w:pPr>
            <w:r>
              <w:rPr>
                <w:b/>
                <w:sz w:val="21"/>
              </w:rPr>
              <w:t>表3-</w:t>
            </w:r>
            <w:r>
              <w:rPr>
                <w:rFonts w:hint="eastAsia"/>
                <w:b/>
                <w:sz w:val="21"/>
              </w:rPr>
              <w:t>11</w:t>
            </w:r>
            <w:r>
              <w:rPr>
                <w:b/>
                <w:sz w:val="21"/>
              </w:rPr>
              <w:t>饮食业油烟排放标准</w:t>
            </w:r>
          </w:p>
          <w:tbl>
            <w:tblPr>
              <w:tblStyle w:val="18"/>
              <w:tblW w:w="8027"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3"/>
              <w:gridCol w:w="4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4013" w:type="dxa"/>
                  <w:vAlign w:val="center"/>
                </w:tcPr>
                <w:p>
                  <w:pPr>
                    <w:pStyle w:val="2"/>
                    <w:spacing w:line="240" w:lineRule="auto"/>
                    <w:ind w:firstLine="0" w:firstLineChars="0"/>
                    <w:jc w:val="center"/>
                    <w:rPr>
                      <w:sz w:val="21"/>
                      <w:szCs w:val="22"/>
                    </w:rPr>
                  </w:pPr>
                  <w:r>
                    <w:rPr>
                      <w:sz w:val="21"/>
                      <w:szCs w:val="22"/>
                    </w:rPr>
                    <w:t>最高允许排放浓度</w:t>
                  </w:r>
                </w:p>
              </w:tc>
              <w:tc>
                <w:tcPr>
                  <w:tcW w:w="4014" w:type="dxa"/>
                  <w:vAlign w:val="center"/>
                </w:tcPr>
                <w:p>
                  <w:pPr>
                    <w:pStyle w:val="2"/>
                    <w:spacing w:line="240" w:lineRule="auto"/>
                    <w:ind w:firstLine="0" w:firstLineChars="0"/>
                    <w:jc w:val="center"/>
                    <w:rPr>
                      <w:sz w:val="21"/>
                      <w:szCs w:val="22"/>
                    </w:rPr>
                  </w:pPr>
                  <w:r>
                    <w:rPr>
                      <w:sz w:val="21"/>
                      <w:szCs w:val="22"/>
                    </w:rPr>
                    <w:t>2mg/m</w:t>
                  </w:r>
                  <w:r>
                    <w:rPr>
                      <w:sz w:val="21"/>
                      <w:szCs w:val="22"/>
                      <w:vertAlign w:val="superscript"/>
                    </w:rPr>
                    <w:t>3</w:t>
                  </w:r>
                </w:p>
              </w:tc>
            </w:tr>
          </w:tbl>
          <w:p>
            <w:pPr>
              <w:pStyle w:val="2"/>
              <w:spacing w:line="240" w:lineRule="auto"/>
              <w:ind w:firstLine="0" w:firstLineChars="0"/>
              <w:jc w:val="center"/>
              <w:rPr>
                <w:b/>
                <w:sz w:val="21"/>
              </w:rPr>
            </w:pPr>
            <w:r>
              <w:rPr>
                <w:b/>
                <w:sz w:val="21"/>
              </w:rPr>
              <w:t>表3-</w:t>
            </w:r>
            <w:r>
              <w:rPr>
                <w:rFonts w:hint="eastAsia"/>
                <w:b/>
                <w:sz w:val="21"/>
              </w:rPr>
              <w:t>12</w:t>
            </w:r>
            <w:r>
              <w:rPr>
                <w:b/>
                <w:sz w:val="21"/>
              </w:rPr>
              <w:t>恶臭污染物排放标准</w:t>
            </w:r>
          </w:p>
          <w:tbl>
            <w:tblPr>
              <w:tblStyle w:val="18"/>
              <w:tblW w:w="80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3"/>
              <w:gridCol w:w="2676"/>
              <w:gridCol w:w="2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3" w:type="dxa"/>
                  <w:vAlign w:val="center"/>
                </w:tcPr>
                <w:p>
                  <w:pPr>
                    <w:pStyle w:val="2"/>
                    <w:spacing w:line="240" w:lineRule="auto"/>
                    <w:ind w:firstLine="0" w:firstLineChars="0"/>
                    <w:jc w:val="center"/>
                    <w:rPr>
                      <w:b/>
                      <w:bCs/>
                      <w:sz w:val="21"/>
                      <w:szCs w:val="21"/>
                    </w:rPr>
                  </w:pPr>
                  <w:r>
                    <w:rPr>
                      <w:b/>
                      <w:bCs/>
                      <w:sz w:val="21"/>
                      <w:szCs w:val="21"/>
                    </w:rPr>
                    <w:t>污染物</w:t>
                  </w:r>
                </w:p>
              </w:tc>
              <w:tc>
                <w:tcPr>
                  <w:tcW w:w="2676" w:type="dxa"/>
                  <w:vAlign w:val="center"/>
                </w:tcPr>
                <w:p>
                  <w:pPr>
                    <w:pStyle w:val="2"/>
                    <w:spacing w:line="240" w:lineRule="auto"/>
                    <w:ind w:firstLine="0" w:firstLineChars="0"/>
                    <w:jc w:val="center"/>
                    <w:rPr>
                      <w:b/>
                      <w:bCs/>
                      <w:sz w:val="21"/>
                      <w:szCs w:val="21"/>
                    </w:rPr>
                  </w:pPr>
                  <w:r>
                    <w:rPr>
                      <w:b/>
                      <w:bCs/>
                      <w:sz w:val="21"/>
                      <w:szCs w:val="21"/>
                    </w:rPr>
                    <w:t>单位</w:t>
                  </w:r>
                </w:p>
              </w:tc>
              <w:tc>
                <w:tcPr>
                  <w:tcW w:w="2676" w:type="dxa"/>
                  <w:vAlign w:val="center"/>
                </w:tcPr>
                <w:p>
                  <w:pPr>
                    <w:pStyle w:val="2"/>
                    <w:spacing w:line="240" w:lineRule="auto"/>
                    <w:ind w:firstLine="0" w:firstLineChars="0"/>
                    <w:jc w:val="center"/>
                    <w:rPr>
                      <w:b/>
                      <w:bCs/>
                      <w:sz w:val="21"/>
                      <w:szCs w:val="21"/>
                    </w:rPr>
                  </w:pPr>
                  <w:r>
                    <w:rPr>
                      <w:b/>
                      <w:bCs/>
                      <w:sz w:val="21"/>
                      <w:szCs w:val="21"/>
                    </w:rPr>
                    <w:t>厂界标准值（二级）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3" w:type="dxa"/>
                  <w:vAlign w:val="center"/>
                </w:tcPr>
                <w:p>
                  <w:pPr>
                    <w:pStyle w:val="2"/>
                    <w:spacing w:line="240" w:lineRule="auto"/>
                    <w:ind w:firstLine="0" w:firstLineChars="0"/>
                    <w:jc w:val="center"/>
                    <w:rPr>
                      <w:sz w:val="21"/>
                      <w:szCs w:val="21"/>
                    </w:rPr>
                  </w:pPr>
                  <w:r>
                    <w:rPr>
                      <w:sz w:val="21"/>
                      <w:szCs w:val="21"/>
                    </w:rPr>
                    <w:t>氨</w:t>
                  </w:r>
                </w:p>
              </w:tc>
              <w:tc>
                <w:tcPr>
                  <w:tcW w:w="2676" w:type="dxa"/>
                  <w:vAlign w:val="center"/>
                </w:tcPr>
                <w:p>
                  <w:pPr>
                    <w:jc w:val="center"/>
                    <w:rPr>
                      <w:szCs w:val="21"/>
                    </w:rPr>
                  </w:pPr>
                  <w:r>
                    <w:rPr>
                      <w:szCs w:val="21"/>
                    </w:rPr>
                    <w:t>mg/m</w:t>
                  </w:r>
                  <w:r>
                    <w:rPr>
                      <w:szCs w:val="21"/>
                      <w:vertAlign w:val="superscript"/>
                    </w:rPr>
                    <w:t>3</w:t>
                  </w:r>
                </w:p>
              </w:tc>
              <w:tc>
                <w:tcPr>
                  <w:tcW w:w="2676" w:type="dxa"/>
                  <w:vAlign w:val="center"/>
                </w:tcPr>
                <w:p>
                  <w:pPr>
                    <w:pStyle w:val="2"/>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3" w:type="dxa"/>
                  <w:vAlign w:val="center"/>
                </w:tcPr>
                <w:p>
                  <w:pPr>
                    <w:pStyle w:val="2"/>
                    <w:spacing w:line="240" w:lineRule="auto"/>
                    <w:ind w:firstLine="0" w:firstLineChars="0"/>
                    <w:jc w:val="center"/>
                    <w:rPr>
                      <w:sz w:val="21"/>
                      <w:szCs w:val="21"/>
                    </w:rPr>
                  </w:pPr>
                  <w:r>
                    <w:rPr>
                      <w:sz w:val="21"/>
                      <w:szCs w:val="21"/>
                    </w:rPr>
                    <w:t>硫化氢</w:t>
                  </w:r>
                </w:p>
              </w:tc>
              <w:tc>
                <w:tcPr>
                  <w:tcW w:w="2676" w:type="dxa"/>
                  <w:vAlign w:val="center"/>
                </w:tcPr>
                <w:p>
                  <w:pPr>
                    <w:jc w:val="center"/>
                    <w:rPr>
                      <w:szCs w:val="21"/>
                    </w:rPr>
                  </w:pPr>
                  <w:r>
                    <w:rPr>
                      <w:szCs w:val="21"/>
                    </w:rPr>
                    <w:t>mg/m</w:t>
                  </w:r>
                  <w:r>
                    <w:rPr>
                      <w:szCs w:val="21"/>
                      <w:vertAlign w:val="superscript"/>
                    </w:rPr>
                    <w:t>3</w:t>
                  </w:r>
                </w:p>
              </w:tc>
              <w:tc>
                <w:tcPr>
                  <w:tcW w:w="2676" w:type="dxa"/>
                  <w:vAlign w:val="center"/>
                </w:tcPr>
                <w:p>
                  <w:pPr>
                    <w:pStyle w:val="2"/>
                    <w:spacing w:line="240" w:lineRule="auto"/>
                    <w:ind w:firstLine="0" w:firstLineChars="0"/>
                    <w:jc w:val="center"/>
                    <w:rPr>
                      <w:sz w:val="21"/>
                      <w:szCs w:val="21"/>
                    </w:rPr>
                  </w:pPr>
                  <w:r>
                    <w:rPr>
                      <w:sz w:val="21"/>
                      <w:szCs w:val="21"/>
                    </w:rPr>
                    <w:t>0.03</w:t>
                  </w:r>
                </w:p>
              </w:tc>
            </w:tr>
          </w:tbl>
          <w:p>
            <w:pPr>
              <w:adjustRightInd w:val="0"/>
              <w:snapToGrid w:val="0"/>
              <w:spacing w:beforeLines="50" w:line="360" w:lineRule="auto"/>
              <w:ind w:firstLine="422" w:firstLineChars="200"/>
              <w:rPr>
                <w:b/>
                <w:bCs/>
                <w:sz w:val="24"/>
              </w:rPr>
            </w:pPr>
            <w:r>
              <w:rPr>
                <w:rFonts w:hint="eastAsia"/>
                <w:b/>
                <w:bCs/>
              </w:rPr>
              <w:t>2、</w:t>
            </w:r>
            <w:r>
              <w:rPr>
                <w:b/>
                <w:bCs/>
                <w:sz w:val="24"/>
              </w:rPr>
              <w:t>废水</w:t>
            </w:r>
          </w:p>
          <w:p>
            <w:pPr>
              <w:spacing w:line="360" w:lineRule="auto"/>
              <w:ind w:firstLine="480" w:firstLineChars="200"/>
              <w:rPr>
                <w:bCs/>
                <w:snapToGrid w:val="0"/>
                <w:kern w:val="0"/>
                <w:sz w:val="24"/>
                <w:szCs w:val="20"/>
              </w:rPr>
            </w:pPr>
            <w:r>
              <w:rPr>
                <w:bCs/>
                <w:sz w:val="24"/>
              </w:rPr>
              <w:t>项目废水排放执行《污水综合排放标准》（GB8978-1996）中的表4三级标准，并应满</w:t>
            </w:r>
            <w:r>
              <w:rPr>
                <w:rStyle w:val="29"/>
              </w:rPr>
              <w:t>足</w:t>
            </w:r>
            <w:r>
              <w:rPr>
                <w:rStyle w:val="29"/>
                <w:rFonts w:hint="eastAsia"/>
              </w:rPr>
              <w:t>岳阳市马壕污水处理厂</w:t>
            </w:r>
            <w:r>
              <w:rPr>
                <w:bCs/>
                <w:sz w:val="24"/>
              </w:rPr>
              <w:t>进水水质要求（即</w:t>
            </w:r>
            <w:r>
              <w:rPr>
                <w:bCs/>
                <w:sz w:val="24"/>
                <w:szCs w:val="32"/>
              </w:rPr>
              <w:t>COD≤</w:t>
            </w:r>
            <w:r>
              <w:rPr>
                <w:rFonts w:hint="eastAsia"/>
                <w:bCs/>
                <w:sz w:val="24"/>
                <w:szCs w:val="32"/>
              </w:rPr>
              <w:t>500</w:t>
            </w:r>
            <w:r>
              <w:rPr>
                <w:bCs/>
                <w:sz w:val="24"/>
                <w:szCs w:val="32"/>
              </w:rPr>
              <w:t>mg/L、BOD</w:t>
            </w:r>
            <w:r>
              <w:rPr>
                <w:bCs/>
                <w:sz w:val="24"/>
                <w:szCs w:val="32"/>
                <w:vertAlign w:val="subscript"/>
              </w:rPr>
              <w:t>5</w:t>
            </w:r>
            <w:r>
              <w:rPr>
                <w:bCs/>
                <w:sz w:val="24"/>
                <w:szCs w:val="32"/>
              </w:rPr>
              <w:t>≤</w:t>
            </w:r>
            <w:r>
              <w:rPr>
                <w:rFonts w:hint="eastAsia"/>
                <w:bCs/>
                <w:sz w:val="24"/>
                <w:szCs w:val="32"/>
              </w:rPr>
              <w:t>130</w:t>
            </w:r>
            <w:r>
              <w:rPr>
                <w:bCs/>
                <w:sz w:val="24"/>
                <w:szCs w:val="32"/>
              </w:rPr>
              <w:t>mg/L、SS≤</w:t>
            </w:r>
            <w:r>
              <w:rPr>
                <w:rFonts w:hint="eastAsia"/>
                <w:bCs/>
                <w:sz w:val="24"/>
                <w:szCs w:val="32"/>
              </w:rPr>
              <w:t>200</w:t>
            </w:r>
            <w:r>
              <w:rPr>
                <w:bCs/>
                <w:sz w:val="24"/>
                <w:szCs w:val="32"/>
              </w:rPr>
              <w:t>mg/L、NH</w:t>
            </w:r>
            <w:r>
              <w:rPr>
                <w:bCs/>
                <w:sz w:val="24"/>
                <w:szCs w:val="32"/>
                <w:vertAlign w:val="subscript"/>
              </w:rPr>
              <w:t>3</w:t>
            </w:r>
            <w:r>
              <w:rPr>
                <w:bCs/>
                <w:sz w:val="24"/>
                <w:szCs w:val="32"/>
              </w:rPr>
              <w:t>-N≤</w:t>
            </w:r>
            <w:r>
              <w:rPr>
                <w:rFonts w:hint="eastAsia"/>
                <w:bCs/>
                <w:sz w:val="24"/>
                <w:szCs w:val="32"/>
              </w:rPr>
              <w:t>25</w:t>
            </w:r>
            <w:r>
              <w:rPr>
                <w:bCs/>
                <w:sz w:val="24"/>
                <w:szCs w:val="32"/>
              </w:rPr>
              <w:t>mg/L），</w:t>
            </w:r>
            <w:r>
              <w:rPr>
                <w:rStyle w:val="29"/>
                <w:rFonts w:hint="eastAsia"/>
              </w:rPr>
              <w:t>岳阳市马壕污水处理厂</w:t>
            </w:r>
            <w:r>
              <w:rPr>
                <w:bCs/>
                <w:sz w:val="24"/>
                <w:szCs w:val="32"/>
              </w:rPr>
              <w:t>尾水排放执行《城镇污水处理厂污染物排放标准》(GB 18918—2002)的一级A标准</w:t>
            </w:r>
            <w:r>
              <w:rPr>
                <w:bCs/>
                <w:sz w:val="24"/>
              </w:rPr>
              <w:t>。</w:t>
            </w:r>
          </w:p>
          <w:p>
            <w:pPr>
              <w:adjustRightInd w:val="0"/>
              <w:snapToGrid w:val="0"/>
              <w:spacing w:line="271" w:lineRule="auto"/>
              <w:jc w:val="center"/>
              <w:rPr>
                <w:szCs w:val="21"/>
              </w:rPr>
            </w:pPr>
            <w:r>
              <w:rPr>
                <w:b/>
                <w:szCs w:val="21"/>
              </w:rPr>
              <w:t>表3-</w:t>
            </w:r>
            <w:r>
              <w:rPr>
                <w:rFonts w:hint="eastAsia"/>
                <w:b/>
                <w:szCs w:val="21"/>
              </w:rPr>
              <w:t>13</w:t>
            </w:r>
            <w:r>
              <w:rPr>
                <w:b/>
                <w:szCs w:val="21"/>
              </w:rPr>
              <w:t xml:space="preserve">  水污染物排放标准表  单位：mg/L</w:t>
            </w:r>
          </w:p>
          <w:tbl>
            <w:tblPr>
              <w:tblStyle w:val="18"/>
              <w:tblW w:w="8024"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135"/>
              <w:gridCol w:w="2268"/>
              <w:gridCol w:w="2269"/>
              <w:gridCol w:w="1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b/>
                      <w:bCs/>
                      <w:snapToGrid w:val="0"/>
                      <w:kern w:val="0"/>
                      <w:szCs w:val="21"/>
                    </w:rPr>
                  </w:pPr>
                  <w:r>
                    <w:rPr>
                      <w:b/>
                      <w:bCs/>
                      <w:snapToGrid w:val="0"/>
                      <w:kern w:val="0"/>
                      <w:szCs w:val="21"/>
                    </w:rPr>
                    <w:t>序号</w:t>
                  </w:r>
                </w:p>
              </w:tc>
              <w:tc>
                <w:tcPr>
                  <w:tcW w:w="1135" w:type="dxa"/>
                  <w:vAlign w:val="center"/>
                </w:tcPr>
                <w:p>
                  <w:pPr>
                    <w:adjustRightInd w:val="0"/>
                    <w:snapToGrid w:val="0"/>
                    <w:jc w:val="center"/>
                    <w:rPr>
                      <w:b/>
                      <w:bCs/>
                      <w:snapToGrid w:val="0"/>
                      <w:kern w:val="0"/>
                      <w:szCs w:val="21"/>
                    </w:rPr>
                  </w:pPr>
                  <w:r>
                    <w:rPr>
                      <w:b/>
                      <w:bCs/>
                      <w:snapToGrid w:val="0"/>
                      <w:kern w:val="0"/>
                      <w:szCs w:val="21"/>
                    </w:rPr>
                    <w:t>项目</w:t>
                  </w:r>
                </w:p>
              </w:tc>
              <w:tc>
                <w:tcPr>
                  <w:tcW w:w="2268" w:type="dxa"/>
                  <w:vAlign w:val="center"/>
                </w:tcPr>
                <w:p>
                  <w:pPr>
                    <w:adjustRightInd w:val="0"/>
                    <w:snapToGrid w:val="0"/>
                    <w:jc w:val="center"/>
                    <w:rPr>
                      <w:b/>
                      <w:bCs/>
                      <w:snapToGrid w:val="0"/>
                      <w:kern w:val="0"/>
                      <w:szCs w:val="21"/>
                    </w:rPr>
                  </w:pPr>
                  <w:r>
                    <w:rPr>
                      <w:b/>
                      <w:bCs/>
                      <w:snapToGrid w:val="0"/>
                      <w:kern w:val="0"/>
                      <w:szCs w:val="21"/>
                    </w:rPr>
                    <w:t>《污水综合排放标准》（GB8978-1996）表4三级标准</w:t>
                  </w:r>
                </w:p>
              </w:tc>
              <w:tc>
                <w:tcPr>
                  <w:tcW w:w="2269" w:type="dxa"/>
                  <w:vAlign w:val="center"/>
                </w:tcPr>
                <w:p>
                  <w:pPr>
                    <w:adjustRightInd w:val="0"/>
                    <w:snapToGrid w:val="0"/>
                    <w:jc w:val="center"/>
                    <w:rPr>
                      <w:b/>
                      <w:bCs/>
                      <w:snapToGrid w:val="0"/>
                      <w:kern w:val="0"/>
                      <w:szCs w:val="21"/>
                    </w:rPr>
                  </w:pPr>
                  <w:r>
                    <w:rPr>
                      <w:rStyle w:val="29"/>
                      <w:rFonts w:hint="eastAsia"/>
                      <w:b/>
                      <w:bCs/>
                      <w:sz w:val="21"/>
                      <w:szCs w:val="21"/>
                    </w:rPr>
                    <w:t>岳阳市马壕污水处理厂</w:t>
                  </w:r>
                  <w:r>
                    <w:rPr>
                      <w:rFonts w:hint="eastAsia"/>
                      <w:b/>
                      <w:bCs/>
                      <w:szCs w:val="21"/>
                    </w:rPr>
                    <w:t>进水水质标准</w:t>
                  </w:r>
                </w:p>
              </w:tc>
              <w:tc>
                <w:tcPr>
                  <w:tcW w:w="1820" w:type="dxa"/>
                  <w:vAlign w:val="center"/>
                </w:tcPr>
                <w:p>
                  <w:pPr>
                    <w:adjustRightInd w:val="0"/>
                    <w:snapToGrid w:val="0"/>
                    <w:jc w:val="center"/>
                    <w:rPr>
                      <w:b/>
                      <w:bCs/>
                      <w:snapToGrid w:val="0"/>
                      <w:kern w:val="0"/>
                      <w:szCs w:val="21"/>
                    </w:rPr>
                  </w:pPr>
                  <w:r>
                    <w:rPr>
                      <w:rFonts w:hint="eastAsia"/>
                      <w:b/>
                      <w:bCs/>
                      <w:snapToGrid w:val="0"/>
                      <w:kern w:val="0"/>
                      <w:szCs w:val="21"/>
                    </w:rPr>
                    <w:t>本项目执行标准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1</w:t>
                  </w:r>
                </w:p>
              </w:tc>
              <w:tc>
                <w:tcPr>
                  <w:tcW w:w="1135" w:type="dxa"/>
                  <w:vAlign w:val="center"/>
                </w:tcPr>
                <w:p>
                  <w:pPr>
                    <w:adjustRightInd w:val="0"/>
                    <w:snapToGrid w:val="0"/>
                    <w:jc w:val="center"/>
                    <w:rPr>
                      <w:snapToGrid w:val="0"/>
                      <w:kern w:val="0"/>
                      <w:szCs w:val="21"/>
                    </w:rPr>
                  </w:pPr>
                  <w:r>
                    <w:rPr>
                      <w:snapToGrid w:val="0"/>
                      <w:kern w:val="0"/>
                      <w:szCs w:val="21"/>
                    </w:rPr>
                    <w:t>COD</w:t>
                  </w:r>
                </w:p>
              </w:tc>
              <w:tc>
                <w:tcPr>
                  <w:tcW w:w="2268" w:type="dxa"/>
                  <w:vAlign w:val="center"/>
                </w:tcPr>
                <w:p>
                  <w:pPr>
                    <w:adjustRightInd w:val="0"/>
                    <w:snapToGrid w:val="0"/>
                    <w:jc w:val="center"/>
                    <w:rPr>
                      <w:snapToGrid w:val="0"/>
                      <w:kern w:val="0"/>
                      <w:szCs w:val="21"/>
                    </w:rPr>
                  </w:pPr>
                  <w:r>
                    <w:rPr>
                      <w:snapToGrid w:val="0"/>
                      <w:kern w:val="0"/>
                      <w:szCs w:val="21"/>
                    </w:rPr>
                    <w:t>500</w:t>
                  </w:r>
                </w:p>
              </w:tc>
              <w:tc>
                <w:tcPr>
                  <w:tcW w:w="2269" w:type="dxa"/>
                  <w:vAlign w:val="center"/>
                </w:tcPr>
                <w:p>
                  <w:pPr>
                    <w:adjustRightInd w:val="0"/>
                    <w:snapToGrid w:val="0"/>
                    <w:jc w:val="center"/>
                    <w:rPr>
                      <w:snapToGrid w:val="0"/>
                      <w:kern w:val="0"/>
                      <w:szCs w:val="21"/>
                    </w:rPr>
                  </w:pPr>
                  <w:r>
                    <w:rPr>
                      <w:rFonts w:hint="eastAsia"/>
                      <w:snapToGrid w:val="0"/>
                      <w:kern w:val="0"/>
                      <w:szCs w:val="21"/>
                    </w:rPr>
                    <w:t>500</w:t>
                  </w:r>
                </w:p>
              </w:tc>
              <w:tc>
                <w:tcPr>
                  <w:tcW w:w="1820" w:type="dxa"/>
                  <w:vAlign w:val="center"/>
                </w:tcPr>
                <w:p>
                  <w:pPr>
                    <w:adjustRightInd w:val="0"/>
                    <w:snapToGrid w:val="0"/>
                    <w:jc w:val="center"/>
                    <w:rPr>
                      <w:snapToGrid w:val="0"/>
                      <w:kern w:val="0"/>
                      <w:szCs w:val="21"/>
                    </w:rPr>
                  </w:pPr>
                  <w:r>
                    <w:rPr>
                      <w:rFonts w:hint="eastAsia"/>
                      <w:snapToGrid w:val="0"/>
                      <w:kern w:val="0"/>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2</w:t>
                  </w:r>
                </w:p>
              </w:tc>
              <w:tc>
                <w:tcPr>
                  <w:tcW w:w="1135" w:type="dxa"/>
                  <w:vAlign w:val="center"/>
                </w:tcPr>
                <w:p>
                  <w:pPr>
                    <w:adjustRightInd w:val="0"/>
                    <w:snapToGrid w:val="0"/>
                    <w:jc w:val="center"/>
                    <w:rPr>
                      <w:snapToGrid w:val="0"/>
                      <w:kern w:val="0"/>
                      <w:szCs w:val="21"/>
                    </w:rPr>
                  </w:pPr>
                  <w:r>
                    <w:rPr>
                      <w:snapToGrid w:val="0"/>
                      <w:kern w:val="0"/>
                      <w:szCs w:val="21"/>
                    </w:rPr>
                    <w:t>BOD</w:t>
                  </w:r>
                  <w:r>
                    <w:rPr>
                      <w:snapToGrid w:val="0"/>
                      <w:kern w:val="0"/>
                      <w:szCs w:val="21"/>
                      <w:vertAlign w:val="subscript"/>
                    </w:rPr>
                    <w:t>5</w:t>
                  </w:r>
                </w:p>
              </w:tc>
              <w:tc>
                <w:tcPr>
                  <w:tcW w:w="2268" w:type="dxa"/>
                  <w:vAlign w:val="center"/>
                </w:tcPr>
                <w:p>
                  <w:pPr>
                    <w:adjustRightInd w:val="0"/>
                    <w:snapToGrid w:val="0"/>
                    <w:jc w:val="center"/>
                    <w:rPr>
                      <w:snapToGrid w:val="0"/>
                      <w:kern w:val="0"/>
                      <w:szCs w:val="21"/>
                    </w:rPr>
                  </w:pPr>
                  <w:r>
                    <w:rPr>
                      <w:snapToGrid w:val="0"/>
                      <w:kern w:val="0"/>
                      <w:szCs w:val="21"/>
                    </w:rPr>
                    <w:t>300</w:t>
                  </w:r>
                </w:p>
              </w:tc>
              <w:tc>
                <w:tcPr>
                  <w:tcW w:w="2269" w:type="dxa"/>
                  <w:vAlign w:val="center"/>
                </w:tcPr>
                <w:p>
                  <w:pPr>
                    <w:adjustRightInd w:val="0"/>
                    <w:snapToGrid w:val="0"/>
                    <w:jc w:val="center"/>
                    <w:rPr>
                      <w:snapToGrid w:val="0"/>
                      <w:kern w:val="0"/>
                      <w:szCs w:val="21"/>
                    </w:rPr>
                  </w:pPr>
                  <w:r>
                    <w:rPr>
                      <w:rFonts w:hint="eastAsia"/>
                      <w:snapToGrid w:val="0"/>
                      <w:kern w:val="0"/>
                      <w:szCs w:val="21"/>
                    </w:rPr>
                    <w:t>130</w:t>
                  </w:r>
                </w:p>
              </w:tc>
              <w:tc>
                <w:tcPr>
                  <w:tcW w:w="1820" w:type="dxa"/>
                  <w:vAlign w:val="center"/>
                </w:tcPr>
                <w:p>
                  <w:pPr>
                    <w:adjustRightInd w:val="0"/>
                    <w:snapToGrid w:val="0"/>
                    <w:jc w:val="center"/>
                    <w:rPr>
                      <w:snapToGrid w:val="0"/>
                      <w:kern w:val="0"/>
                      <w:szCs w:val="21"/>
                    </w:rPr>
                  </w:pPr>
                  <w:r>
                    <w:rPr>
                      <w:rFonts w:hint="eastAsia"/>
                      <w:snapToGrid w:val="0"/>
                      <w:kern w:val="0"/>
                      <w:szCs w:val="21"/>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3</w:t>
                  </w:r>
                </w:p>
              </w:tc>
              <w:tc>
                <w:tcPr>
                  <w:tcW w:w="1135" w:type="dxa"/>
                  <w:vAlign w:val="center"/>
                </w:tcPr>
                <w:p>
                  <w:pPr>
                    <w:adjustRightInd w:val="0"/>
                    <w:snapToGrid w:val="0"/>
                    <w:jc w:val="center"/>
                    <w:rPr>
                      <w:snapToGrid w:val="0"/>
                      <w:kern w:val="0"/>
                      <w:szCs w:val="21"/>
                    </w:rPr>
                  </w:pPr>
                  <w:r>
                    <w:rPr>
                      <w:snapToGrid w:val="0"/>
                      <w:kern w:val="0"/>
                      <w:szCs w:val="21"/>
                    </w:rPr>
                    <w:t>SS</w:t>
                  </w:r>
                </w:p>
              </w:tc>
              <w:tc>
                <w:tcPr>
                  <w:tcW w:w="2268" w:type="dxa"/>
                  <w:vAlign w:val="center"/>
                </w:tcPr>
                <w:p>
                  <w:pPr>
                    <w:adjustRightInd w:val="0"/>
                    <w:snapToGrid w:val="0"/>
                    <w:jc w:val="center"/>
                    <w:rPr>
                      <w:snapToGrid w:val="0"/>
                      <w:kern w:val="0"/>
                      <w:szCs w:val="21"/>
                    </w:rPr>
                  </w:pPr>
                  <w:r>
                    <w:rPr>
                      <w:snapToGrid w:val="0"/>
                      <w:kern w:val="0"/>
                      <w:szCs w:val="21"/>
                    </w:rPr>
                    <w:t>400</w:t>
                  </w:r>
                </w:p>
              </w:tc>
              <w:tc>
                <w:tcPr>
                  <w:tcW w:w="2269" w:type="dxa"/>
                  <w:vAlign w:val="center"/>
                </w:tcPr>
                <w:p>
                  <w:pPr>
                    <w:adjustRightInd w:val="0"/>
                    <w:snapToGrid w:val="0"/>
                    <w:jc w:val="center"/>
                    <w:rPr>
                      <w:snapToGrid w:val="0"/>
                      <w:kern w:val="0"/>
                      <w:szCs w:val="21"/>
                    </w:rPr>
                  </w:pPr>
                  <w:r>
                    <w:rPr>
                      <w:rFonts w:hint="eastAsia"/>
                      <w:snapToGrid w:val="0"/>
                      <w:kern w:val="0"/>
                      <w:szCs w:val="21"/>
                    </w:rPr>
                    <w:t>200</w:t>
                  </w:r>
                </w:p>
              </w:tc>
              <w:tc>
                <w:tcPr>
                  <w:tcW w:w="1820" w:type="dxa"/>
                  <w:vAlign w:val="center"/>
                </w:tcPr>
                <w:p>
                  <w:pPr>
                    <w:adjustRightInd w:val="0"/>
                    <w:snapToGrid w:val="0"/>
                    <w:jc w:val="center"/>
                    <w:rPr>
                      <w:snapToGrid w:val="0"/>
                      <w:kern w:val="0"/>
                      <w:szCs w:val="21"/>
                    </w:rPr>
                  </w:pPr>
                  <w:r>
                    <w:rPr>
                      <w:rFonts w:hint="eastAsia"/>
                      <w:snapToGrid w:val="0"/>
                      <w:kern w:val="0"/>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4</w:t>
                  </w:r>
                </w:p>
              </w:tc>
              <w:tc>
                <w:tcPr>
                  <w:tcW w:w="1135" w:type="dxa"/>
                  <w:vAlign w:val="center"/>
                </w:tcPr>
                <w:p>
                  <w:pPr>
                    <w:adjustRightInd w:val="0"/>
                    <w:snapToGrid w:val="0"/>
                    <w:jc w:val="center"/>
                    <w:rPr>
                      <w:snapToGrid w:val="0"/>
                      <w:kern w:val="0"/>
                      <w:szCs w:val="21"/>
                    </w:rPr>
                  </w:pPr>
                  <w:r>
                    <w:rPr>
                      <w:rFonts w:hint="eastAsia"/>
                      <w:snapToGrid w:val="0"/>
                      <w:kern w:val="0"/>
                      <w:szCs w:val="21"/>
                    </w:rPr>
                    <w:t>氨氮</w:t>
                  </w:r>
                </w:p>
              </w:tc>
              <w:tc>
                <w:tcPr>
                  <w:tcW w:w="2268" w:type="dxa"/>
                  <w:vAlign w:val="center"/>
                </w:tcPr>
                <w:p>
                  <w:pPr>
                    <w:adjustRightInd w:val="0"/>
                    <w:snapToGrid w:val="0"/>
                    <w:jc w:val="center"/>
                    <w:rPr>
                      <w:snapToGrid w:val="0"/>
                      <w:kern w:val="0"/>
                      <w:szCs w:val="21"/>
                    </w:rPr>
                  </w:pPr>
                  <w:r>
                    <w:rPr>
                      <w:snapToGrid w:val="0"/>
                      <w:kern w:val="0"/>
                      <w:szCs w:val="21"/>
                    </w:rPr>
                    <w:t>/</w:t>
                  </w:r>
                </w:p>
              </w:tc>
              <w:tc>
                <w:tcPr>
                  <w:tcW w:w="2269" w:type="dxa"/>
                  <w:vAlign w:val="center"/>
                </w:tcPr>
                <w:p>
                  <w:pPr>
                    <w:adjustRightInd w:val="0"/>
                    <w:snapToGrid w:val="0"/>
                    <w:jc w:val="center"/>
                    <w:rPr>
                      <w:snapToGrid w:val="0"/>
                      <w:kern w:val="0"/>
                      <w:szCs w:val="21"/>
                    </w:rPr>
                  </w:pPr>
                  <w:r>
                    <w:rPr>
                      <w:rFonts w:hint="eastAsia"/>
                      <w:snapToGrid w:val="0"/>
                      <w:kern w:val="0"/>
                      <w:szCs w:val="21"/>
                    </w:rPr>
                    <w:t>25</w:t>
                  </w:r>
                </w:p>
              </w:tc>
              <w:tc>
                <w:tcPr>
                  <w:tcW w:w="1820" w:type="dxa"/>
                  <w:vAlign w:val="center"/>
                </w:tcPr>
                <w:p>
                  <w:pPr>
                    <w:adjustRightInd w:val="0"/>
                    <w:snapToGrid w:val="0"/>
                    <w:jc w:val="center"/>
                    <w:rPr>
                      <w:snapToGrid w:val="0"/>
                      <w:kern w:val="0"/>
                      <w:szCs w:val="21"/>
                    </w:rPr>
                  </w:pPr>
                  <w:r>
                    <w:rPr>
                      <w:rFonts w:hint="eastAsia"/>
                      <w:snapToGrid w:val="0"/>
                      <w:kern w:val="0"/>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5</w:t>
                  </w:r>
                </w:p>
              </w:tc>
              <w:tc>
                <w:tcPr>
                  <w:tcW w:w="1135" w:type="dxa"/>
                  <w:vAlign w:val="center"/>
                </w:tcPr>
                <w:p>
                  <w:pPr>
                    <w:adjustRightInd w:val="0"/>
                    <w:snapToGrid w:val="0"/>
                    <w:jc w:val="center"/>
                    <w:rPr>
                      <w:snapToGrid w:val="0"/>
                      <w:kern w:val="0"/>
                      <w:szCs w:val="21"/>
                    </w:rPr>
                  </w:pPr>
                  <w:r>
                    <w:rPr>
                      <w:rFonts w:hint="eastAsia"/>
                      <w:snapToGrid w:val="0"/>
                      <w:kern w:val="0"/>
                      <w:szCs w:val="21"/>
                    </w:rPr>
                    <w:t>动植物油</w:t>
                  </w:r>
                </w:p>
              </w:tc>
              <w:tc>
                <w:tcPr>
                  <w:tcW w:w="2268" w:type="dxa"/>
                  <w:vAlign w:val="center"/>
                </w:tcPr>
                <w:p>
                  <w:pPr>
                    <w:adjustRightInd w:val="0"/>
                    <w:snapToGrid w:val="0"/>
                    <w:jc w:val="center"/>
                    <w:rPr>
                      <w:snapToGrid w:val="0"/>
                      <w:kern w:val="0"/>
                      <w:szCs w:val="21"/>
                    </w:rPr>
                  </w:pPr>
                  <w:r>
                    <w:rPr>
                      <w:snapToGrid w:val="0"/>
                      <w:kern w:val="0"/>
                      <w:szCs w:val="21"/>
                    </w:rPr>
                    <w:t>100</w:t>
                  </w:r>
                </w:p>
              </w:tc>
              <w:tc>
                <w:tcPr>
                  <w:tcW w:w="2269" w:type="dxa"/>
                  <w:vAlign w:val="center"/>
                </w:tcPr>
                <w:p>
                  <w:pPr>
                    <w:adjustRightInd w:val="0"/>
                    <w:snapToGrid w:val="0"/>
                    <w:jc w:val="center"/>
                    <w:rPr>
                      <w:snapToGrid w:val="0"/>
                      <w:kern w:val="0"/>
                      <w:szCs w:val="21"/>
                    </w:rPr>
                  </w:pPr>
                  <w:r>
                    <w:rPr>
                      <w:rFonts w:hint="eastAsia"/>
                      <w:snapToGrid w:val="0"/>
                      <w:kern w:val="0"/>
                      <w:szCs w:val="21"/>
                    </w:rPr>
                    <w:t>/</w:t>
                  </w:r>
                </w:p>
              </w:tc>
              <w:tc>
                <w:tcPr>
                  <w:tcW w:w="1820" w:type="dxa"/>
                  <w:vAlign w:val="center"/>
                </w:tcPr>
                <w:p>
                  <w:pPr>
                    <w:adjustRightInd w:val="0"/>
                    <w:snapToGrid w:val="0"/>
                    <w:jc w:val="center"/>
                    <w:rPr>
                      <w:snapToGrid w:val="0"/>
                      <w:kern w:val="0"/>
                      <w:szCs w:val="21"/>
                    </w:rPr>
                  </w:pPr>
                  <w:r>
                    <w:rPr>
                      <w:rFonts w:hint="eastAsia"/>
                      <w:snapToGrid w:val="0"/>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2" w:type="dxa"/>
                  <w:vAlign w:val="center"/>
                </w:tcPr>
                <w:p>
                  <w:pPr>
                    <w:adjustRightInd w:val="0"/>
                    <w:snapToGrid w:val="0"/>
                    <w:jc w:val="center"/>
                    <w:rPr>
                      <w:snapToGrid w:val="0"/>
                      <w:kern w:val="0"/>
                      <w:szCs w:val="21"/>
                    </w:rPr>
                  </w:pPr>
                  <w:r>
                    <w:rPr>
                      <w:snapToGrid w:val="0"/>
                      <w:kern w:val="0"/>
                      <w:szCs w:val="21"/>
                    </w:rPr>
                    <w:t>6</w:t>
                  </w:r>
                </w:p>
              </w:tc>
              <w:tc>
                <w:tcPr>
                  <w:tcW w:w="1135" w:type="dxa"/>
                  <w:vAlign w:val="center"/>
                </w:tcPr>
                <w:p>
                  <w:pPr>
                    <w:adjustRightInd w:val="0"/>
                    <w:snapToGrid w:val="0"/>
                    <w:jc w:val="center"/>
                    <w:rPr>
                      <w:snapToGrid w:val="0"/>
                      <w:kern w:val="0"/>
                      <w:szCs w:val="21"/>
                    </w:rPr>
                  </w:pPr>
                  <w:r>
                    <w:rPr>
                      <w:rFonts w:hint="eastAsia"/>
                      <w:snapToGrid w:val="0"/>
                      <w:kern w:val="0"/>
                      <w:szCs w:val="21"/>
                    </w:rPr>
                    <w:t>石油类</w:t>
                  </w:r>
                </w:p>
              </w:tc>
              <w:tc>
                <w:tcPr>
                  <w:tcW w:w="2268" w:type="dxa"/>
                  <w:vAlign w:val="center"/>
                </w:tcPr>
                <w:p>
                  <w:pPr>
                    <w:adjustRightInd w:val="0"/>
                    <w:snapToGrid w:val="0"/>
                    <w:jc w:val="center"/>
                    <w:rPr>
                      <w:snapToGrid w:val="0"/>
                      <w:kern w:val="0"/>
                      <w:szCs w:val="21"/>
                    </w:rPr>
                  </w:pPr>
                  <w:r>
                    <w:rPr>
                      <w:snapToGrid w:val="0"/>
                      <w:kern w:val="0"/>
                      <w:szCs w:val="21"/>
                    </w:rPr>
                    <w:t>30</w:t>
                  </w:r>
                </w:p>
              </w:tc>
              <w:tc>
                <w:tcPr>
                  <w:tcW w:w="2269" w:type="dxa"/>
                  <w:vAlign w:val="center"/>
                </w:tcPr>
                <w:p>
                  <w:pPr>
                    <w:adjustRightInd w:val="0"/>
                    <w:snapToGrid w:val="0"/>
                    <w:jc w:val="center"/>
                    <w:rPr>
                      <w:snapToGrid w:val="0"/>
                      <w:kern w:val="0"/>
                      <w:szCs w:val="21"/>
                    </w:rPr>
                  </w:pPr>
                  <w:r>
                    <w:rPr>
                      <w:rFonts w:hint="eastAsia"/>
                      <w:snapToGrid w:val="0"/>
                      <w:kern w:val="0"/>
                      <w:szCs w:val="21"/>
                    </w:rPr>
                    <w:t>/</w:t>
                  </w:r>
                </w:p>
              </w:tc>
              <w:tc>
                <w:tcPr>
                  <w:tcW w:w="1820" w:type="dxa"/>
                  <w:vAlign w:val="center"/>
                </w:tcPr>
                <w:p>
                  <w:pPr>
                    <w:adjustRightInd w:val="0"/>
                    <w:snapToGrid w:val="0"/>
                    <w:jc w:val="center"/>
                    <w:rPr>
                      <w:snapToGrid w:val="0"/>
                      <w:kern w:val="0"/>
                      <w:szCs w:val="21"/>
                    </w:rPr>
                  </w:pPr>
                  <w:r>
                    <w:rPr>
                      <w:rFonts w:hint="eastAsia"/>
                      <w:snapToGrid w:val="0"/>
                      <w:kern w:val="0"/>
                      <w:szCs w:val="21"/>
                    </w:rPr>
                    <w:t>30</w:t>
                  </w:r>
                </w:p>
              </w:tc>
            </w:tr>
          </w:tbl>
          <w:p>
            <w:pPr>
              <w:spacing w:beforeLines="50" w:line="360" w:lineRule="auto"/>
              <w:ind w:firstLine="422" w:firstLineChars="200"/>
              <w:rPr>
                <w:b/>
                <w:bCs/>
                <w:kern w:val="0"/>
                <w:sz w:val="24"/>
              </w:rPr>
            </w:pPr>
            <w:r>
              <w:rPr>
                <w:rFonts w:hint="eastAsia"/>
                <w:b/>
                <w:bCs/>
              </w:rPr>
              <w:t>3、</w:t>
            </w:r>
            <w:r>
              <w:rPr>
                <w:b/>
                <w:bCs/>
                <w:kern w:val="0"/>
                <w:sz w:val="24"/>
              </w:rPr>
              <w:t>噪声</w:t>
            </w:r>
          </w:p>
          <w:p>
            <w:pPr>
              <w:spacing w:line="360" w:lineRule="auto"/>
              <w:ind w:firstLine="480" w:firstLineChars="200"/>
              <w:rPr>
                <w:sz w:val="24"/>
              </w:rPr>
            </w:pPr>
            <w:r>
              <w:rPr>
                <w:sz w:val="24"/>
              </w:rPr>
              <w:t>施工期</w:t>
            </w:r>
            <w:r>
              <w:rPr>
                <w:rFonts w:hint="eastAsia"/>
                <w:sz w:val="24"/>
              </w:rPr>
              <w:t>噪声：</w:t>
            </w:r>
            <w:r>
              <w:rPr>
                <w:sz w:val="24"/>
              </w:rPr>
              <w:t>执行《建筑施工场界环境噪声排放标准》（GB12523-2011）</w:t>
            </w:r>
            <w:r>
              <w:rPr>
                <w:rFonts w:hint="eastAsia"/>
                <w:sz w:val="24"/>
              </w:rPr>
              <w:t>。</w:t>
            </w:r>
          </w:p>
          <w:p>
            <w:pPr>
              <w:spacing w:line="360" w:lineRule="auto"/>
              <w:ind w:firstLine="480" w:firstLineChars="200"/>
              <w:rPr>
                <w:kern w:val="0"/>
                <w:sz w:val="24"/>
              </w:rPr>
            </w:pPr>
            <w:r>
              <w:rPr>
                <w:kern w:val="0"/>
                <w:sz w:val="24"/>
              </w:rPr>
              <w:t>运营期噪声</w:t>
            </w:r>
            <w:r>
              <w:rPr>
                <w:rFonts w:hint="eastAsia"/>
                <w:kern w:val="0"/>
                <w:sz w:val="24"/>
              </w:rPr>
              <w:t>：项目东侧为城市次干道得胜北路，执行《</w:t>
            </w:r>
            <w:r>
              <w:rPr>
                <w:rFonts w:hint="eastAsia"/>
                <w:bCs/>
                <w:kern w:val="0"/>
                <w:sz w:val="24"/>
              </w:rPr>
              <w:t>工业企业厂界环境噪声</w:t>
            </w:r>
            <w:r>
              <w:rPr>
                <w:bCs/>
                <w:kern w:val="0"/>
                <w:sz w:val="24"/>
              </w:rPr>
              <w:t>排放标准》（GB</w:t>
            </w:r>
            <w:r>
              <w:rPr>
                <w:rFonts w:hint="eastAsia"/>
                <w:bCs/>
                <w:kern w:val="0"/>
                <w:sz w:val="24"/>
              </w:rPr>
              <w:t>12348</w:t>
            </w:r>
            <w:r>
              <w:rPr>
                <w:bCs/>
                <w:kern w:val="0"/>
                <w:sz w:val="24"/>
              </w:rPr>
              <w:t>-2008）</w:t>
            </w:r>
            <w:r>
              <w:rPr>
                <w:rFonts w:hint="eastAsia"/>
                <w:kern w:val="0"/>
                <w:sz w:val="24"/>
              </w:rPr>
              <w:t>4类</w:t>
            </w:r>
            <w:r>
              <w:rPr>
                <w:kern w:val="0"/>
                <w:sz w:val="24"/>
              </w:rPr>
              <w:t>标准</w:t>
            </w:r>
            <w:r>
              <w:rPr>
                <w:rFonts w:hint="eastAsia"/>
                <w:kern w:val="0"/>
                <w:sz w:val="24"/>
              </w:rPr>
              <w:t>；其他</w:t>
            </w:r>
            <w:r>
              <w:rPr>
                <w:rFonts w:hint="eastAsia"/>
                <w:sz w:val="24"/>
              </w:rPr>
              <w:t>区域</w:t>
            </w:r>
            <w:r>
              <w:rPr>
                <w:rFonts w:hint="eastAsia"/>
                <w:kern w:val="0"/>
                <w:sz w:val="24"/>
              </w:rPr>
              <w:t>执行《</w:t>
            </w:r>
            <w:r>
              <w:rPr>
                <w:rFonts w:hint="eastAsia"/>
                <w:bCs/>
                <w:kern w:val="0"/>
                <w:sz w:val="24"/>
              </w:rPr>
              <w:t>工业企业厂界环境噪声</w:t>
            </w:r>
            <w:r>
              <w:rPr>
                <w:bCs/>
                <w:kern w:val="0"/>
                <w:sz w:val="24"/>
              </w:rPr>
              <w:t>排放标准》（GB</w:t>
            </w:r>
            <w:r>
              <w:rPr>
                <w:rFonts w:hint="eastAsia"/>
                <w:bCs/>
                <w:kern w:val="0"/>
                <w:sz w:val="24"/>
              </w:rPr>
              <w:t>12348</w:t>
            </w:r>
            <w:r>
              <w:rPr>
                <w:bCs/>
                <w:kern w:val="0"/>
                <w:sz w:val="24"/>
              </w:rPr>
              <w:t>-2008）</w:t>
            </w:r>
            <w:r>
              <w:rPr>
                <w:rFonts w:hint="eastAsia"/>
                <w:kern w:val="0"/>
                <w:sz w:val="24"/>
              </w:rPr>
              <w:t>2类</w:t>
            </w:r>
            <w:r>
              <w:rPr>
                <w:kern w:val="0"/>
                <w:sz w:val="24"/>
              </w:rPr>
              <w:t>标准</w:t>
            </w:r>
            <w:r>
              <w:rPr>
                <w:rFonts w:hint="eastAsia"/>
                <w:kern w:val="0"/>
                <w:sz w:val="24"/>
              </w:rPr>
              <w:t>。</w:t>
            </w:r>
          </w:p>
          <w:p>
            <w:pPr>
              <w:jc w:val="center"/>
              <w:rPr>
                <w:b/>
                <w:bCs/>
                <w:szCs w:val="21"/>
              </w:rPr>
            </w:pPr>
            <w:r>
              <w:rPr>
                <w:b/>
                <w:bCs/>
                <w:szCs w:val="21"/>
              </w:rPr>
              <w:t>表3-</w:t>
            </w:r>
            <w:r>
              <w:rPr>
                <w:rFonts w:hint="eastAsia"/>
                <w:b/>
                <w:bCs/>
                <w:szCs w:val="21"/>
              </w:rPr>
              <w:t>14</w:t>
            </w:r>
            <w:r>
              <w:rPr>
                <w:b/>
                <w:bCs/>
                <w:szCs w:val="21"/>
              </w:rPr>
              <w:t xml:space="preserve">   噪声排放标准</w:t>
            </w:r>
          </w:p>
          <w:tbl>
            <w:tblPr>
              <w:tblStyle w:val="18"/>
              <w:tblW w:w="80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2826"/>
              <w:gridCol w:w="3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b/>
                      <w:bCs/>
                      <w:kern w:val="2"/>
                      <w:sz w:val="21"/>
                      <w:szCs w:val="21"/>
                    </w:rPr>
                  </w:pPr>
                  <w:r>
                    <w:rPr>
                      <w:b/>
                      <w:bCs/>
                      <w:kern w:val="2"/>
                      <w:sz w:val="21"/>
                      <w:szCs w:val="21"/>
                    </w:rPr>
                    <w:t>时间</w:t>
                  </w:r>
                </w:p>
              </w:tc>
              <w:tc>
                <w:tcPr>
                  <w:tcW w:w="2826" w:type="dxa"/>
                </w:tcPr>
                <w:p>
                  <w:pPr>
                    <w:pStyle w:val="33"/>
                    <w:snapToGrid w:val="0"/>
                    <w:spacing w:line="240" w:lineRule="auto"/>
                    <w:rPr>
                      <w:b/>
                      <w:bCs/>
                      <w:kern w:val="2"/>
                      <w:sz w:val="21"/>
                      <w:szCs w:val="21"/>
                    </w:rPr>
                  </w:pPr>
                  <w:r>
                    <w:rPr>
                      <w:b/>
                      <w:bCs/>
                      <w:kern w:val="2"/>
                      <w:sz w:val="21"/>
                      <w:szCs w:val="21"/>
                    </w:rPr>
                    <w:t>等级声效Leq [dB(A)]</w:t>
                  </w:r>
                </w:p>
              </w:tc>
              <w:tc>
                <w:tcPr>
                  <w:tcW w:w="3635" w:type="dxa"/>
                </w:tcPr>
                <w:p>
                  <w:pPr>
                    <w:pStyle w:val="33"/>
                    <w:snapToGrid w:val="0"/>
                    <w:spacing w:line="240" w:lineRule="auto"/>
                    <w:rPr>
                      <w:b/>
                      <w:bCs/>
                      <w:kern w:val="2"/>
                      <w:sz w:val="21"/>
                      <w:szCs w:val="21"/>
                    </w:rPr>
                  </w:pPr>
                  <w:r>
                    <w:rPr>
                      <w:b/>
                      <w:bCs/>
                      <w:kern w:val="2"/>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昼间</w:t>
                  </w:r>
                </w:p>
              </w:tc>
              <w:tc>
                <w:tcPr>
                  <w:tcW w:w="2826" w:type="dxa"/>
                </w:tcPr>
                <w:p>
                  <w:pPr>
                    <w:pStyle w:val="33"/>
                    <w:snapToGrid w:val="0"/>
                    <w:spacing w:line="240" w:lineRule="auto"/>
                    <w:rPr>
                      <w:kern w:val="2"/>
                      <w:sz w:val="21"/>
                      <w:szCs w:val="21"/>
                    </w:rPr>
                  </w:pPr>
                  <w:r>
                    <w:rPr>
                      <w:kern w:val="2"/>
                      <w:sz w:val="21"/>
                      <w:szCs w:val="21"/>
                    </w:rPr>
                    <w:t>70</w:t>
                  </w:r>
                </w:p>
              </w:tc>
              <w:tc>
                <w:tcPr>
                  <w:tcW w:w="3635" w:type="dxa"/>
                  <w:vMerge w:val="restart"/>
                  <w:vAlign w:val="center"/>
                </w:tcPr>
                <w:p>
                  <w:pPr>
                    <w:pStyle w:val="33"/>
                    <w:snapToGrid w:val="0"/>
                    <w:spacing w:line="240" w:lineRule="auto"/>
                    <w:rPr>
                      <w:kern w:val="2"/>
                      <w:sz w:val="21"/>
                      <w:szCs w:val="21"/>
                    </w:rPr>
                  </w:pPr>
                  <w:r>
                    <w:rPr>
                      <w:sz w:val="21"/>
                      <w:szCs w:val="21"/>
                    </w:rPr>
                    <w:t>《建筑施工场界环境噪声排放标准》(GB12523-2011)表1标准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夜间</w:t>
                  </w:r>
                </w:p>
              </w:tc>
              <w:tc>
                <w:tcPr>
                  <w:tcW w:w="2826" w:type="dxa"/>
                </w:tcPr>
                <w:p>
                  <w:pPr>
                    <w:pStyle w:val="33"/>
                    <w:snapToGrid w:val="0"/>
                    <w:spacing w:line="240" w:lineRule="auto"/>
                    <w:rPr>
                      <w:kern w:val="2"/>
                      <w:sz w:val="21"/>
                      <w:szCs w:val="21"/>
                    </w:rPr>
                  </w:pPr>
                  <w:r>
                    <w:rPr>
                      <w:kern w:val="2"/>
                      <w:sz w:val="21"/>
                      <w:szCs w:val="21"/>
                    </w:rPr>
                    <w:t>55</w:t>
                  </w:r>
                </w:p>
              </w:tc>
              <w:tc>
                <w:tcPr>
                  <w:tcW w:w="3635" w:type="dxa"/>
                  <w:vMerge w:val="continue"/>
                </w:tcPr>
                <w:p>
                  <w:pPr>
                    <w:pStyle w:val="33"/>
                    <w:snapToGrid w:val="0"/>
                    <w:spacing w:line="240" w:lineRule="auto"/>
                    <w:rPr>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昼间</w:t>
                  </w:r>
                </w:p>
              </w:tc>
              <w:tc>
                <w:tcPr>
                  <w:tcW w:w="2826" w:type="dxa"/>
                </w:tcPr>
                <w:p>
                  <w:pPr>
                    <w:pStyle w:val="33"/>
                    <w:snapToGrid w:val="0"/>
                    <w:spacing w:line="240" w:lineRule="auto"/>
                    <w:rPr>
                      <w:kern w:val="2"/>
                      <w:sz w:val="21"/>
                      <w:szCs w:val="21"/>
                    </w:rPr>
                  </w:pPr>
                  <w:r>
                    <w:rPr>
                      <w:rFonts w:hint="eastAsia"/>
                      <w:kern w:val="2"/>
                      <w:sz w:val="21"/>
                      <w:szCs w:val="21"/>
                    </w:rPr>
                    <w:t>60</w:t>
                  </w:r>
                </w:p>
              </w:tc>
              <w:tc>
                <w:tcPr>
                  <w:tcW w:w="3635" w:type="dxa"/>
                  <w:vMerge w:val="restart"/>
                </w:tcPr>
                <w:p>
                  <w:pPr>
                    <w:pStyle w:val="33"/>
                    <w:snapToGrid w:val="0"/>
                    <w:spacing w:line="240" w:lineRule="auto"/>
                    <w:rPr>
                      <w:kern w:val="2"/>
                      <w:sz w:val="21"/>
                      <w:szCs w:val="21"/>
                    </w:rPr>
                  </w:pPr>
                  <w:r>
                    <w:rPr>
                      <w:rFonts w:hint="eastAsia"/>
                      <w:kern w:val="2"/>
                      <w:sz w:val="21"/>
                      <w:szCs w:val="21"/>
                    </w:rPr>
                    <w:t>《工业企业厂界环境噪声排放标准》（GB12348-2008）</w:t>
                  </w:r>
                  <w:r>
                    <w:rPr>
                      <w:sz w:val="21"/>
                      <w:szCs w:val="21"/>
                    </w:rPr>
                    <w:t>中的</w:t>
                  </w:r>
                  <w:r>
                    <w:rPr>
                      <w:rFonts w:hint="eastAsia"/>
                      <w:sz w:val="21"/>
                      <w:szCs w:val="21"/>
                    </w:rPr>
                    <w:t>2</w:t>
                  </w:r>
                  <w:r>
                    <w:rPr>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夜间</w:t>
                  </w:r>
                </w:p>
              </w:tc>
              <w:tc>
                <w:tcPr>
                  <w:tcW w:w="2826" w:type="dxa"/>
                </w:tcPr>
                <w:p>
                  <w:pPr>
                    <w:pStyle w:val="33"/>
                    <w:snapToGrid w:val="0"/>
                    <w:spacing w:line="240" w:lineRule="auto"/>
                    <w:rPr>
                      <w:kern w:val="2"/>
                      <w:sz w:val="21"/>
                      <w:szCs w:val="21"/>
                    </w:rPr>
                  </w:pPr>
                  <w:r>
                    <w:rPr>
                      <w:rFonts w:hint="eastAsia"/>
                      <w:kern w:val="2"/>
                      <w:sz w:val="21"/>
                      <w:szCs w:val="21"/>
                    </w:rPr>
                    <w:t>50</w:t>
                  </w:r>
                </w:p>
              </w:tc>
              <w:tc>
                <w:tcPr>
                  <w:tcW w:w="3635" w:type="dxa"/>
                  <w:vMerge w:val="continue"/>
                </w:tcPr>
                <w:p>
                  <w:pPr>
                    <w:pStyle w:val="33"/>
                    <w:snapToGrid w:val="0"/>
                    <w:spacing w:line="240" w:lineRule="auto"/>
                    <w:rPr>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昼间</w:t>
                  </w:r>
                </w:p>
              </w:tc>
              <w:tc>
                <w:tcPr>
                  <w:tcW w:w="2826" w:type="dxa"/>
                </w:tcPr>
                <w:p>
                  <w:pPr>
                    <w:pStyle w:val="33"/>
                    <w:snapToGrid w:val="0"/>
                    <w:spacing w:line="240" w:lineRule="auto"/>
                    <w:rPr>
                      <w:kern w:val="2"/>
                      <w:sz w:val="21"/>
                      <w:szCs w:val="21"/>
                    </w:rPr>
                  </w:pPr>
                  <w:r>
                    <w:rPr>
                      <w:rFonts w:hint="eastAsia"/>
                      <w:kern w:val="2"/>
                      <w:sz w:val="21"/>
                      <w:szCs w:val="21"/>
                    </w:rPr>
                    <w:t>70</w:t>
                  </w:r>
                </w:p>
              </w:tc>
              <w:tc>
                <w:tcPr>
                  <w:tcW w:w="3635" w:type="dxa"/>
                  <w:vMerge w:val="restart"/>
                </w:tcPr>
                <w:p>
                  <w:pPr>
                    <w:pStyle w:val="33"/>
                    <w:snapToGrid w:val="0"/>
                    <w:spacing w:line="240" w:lineRule="auto"/>
                    <w:rPr>
                      <w:kern w:val="2"/>
                      <w:sz w:val="21"/>
                      <w:szCs w:val="21"/>
                    </w:rPr>
                  </w:pPr>
                  <w:r>
                    <w:rPr>
                      <w:rFonts w:hint="eastAsia"/>
                      <w:kern w:val="2"/>
                      <w:sz w:val="21"/>
                      <w:szCs w:val="21"/>
                    </w:rPr>
                    <w:t>《工业企业厂界环境噪声排放标准》（GB12348-2008）</w:t>
                  </w:r>
                  <w:r>
                    <w:rPr>
                      <w:sz w:val="21"/>
                      <w:szCs w:val="21"/>
                    </w:rPr>
                    <w:t>中的</w:t>
                  </w:r>
                  <w:r>
                    <w:rPr>
                      <w:rFonts w:hint="eastAsia"/>
                      <w:sz w:val="21"/>
                      <w:szCs w:val="21"/>
                    </w:rPr>
                    <w:t>4</w:t>
                  </w:r>
                  <w:r>
                    <w:rPr>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3" w:type="dxa"/>
                </w:tcPr>
                <w:p>
                  <w:pPr>
                    <w:pStyle w:val="33"/>
                    <w:snapToGrid w:val="0"/>
                    <w:spacing w:line="240" w:lineRule="auto"/>
                    <w:rPr>
                      <w:kern w:val="2"/>
                      <w:sz w:val="21"/>
                      <w:szCs w:val="21"/>
                    </w:rPr>
                  </w:pPr>
                  <w:r>
                    <w:rPr>
                      <w:kern w:val="2"/>
                      <w:sz w:val="21"/>
                      <w:szCs w:val="21"/>
                    </w:rPr>
                    <w:t>夜间</w:t>
                  </w:r>
                </w:p>
              </w:tc>
              <w:tc>
                <w:tcPr>
                  <w:tcW w:w="2826" w:type="dxa"/>
                </w:tcPr>
                <w:p>
                  <w:pPr>
                    <w:pStyle w:val="33"/>
                    <w:snapToGrid w:val="0"/>
                    <w:spacing w:line="240" w:lineRule="auto"/>
                    <w:rPr>
                      <w:kern w:val="2"/>
                      <w:sz w:val="21"/>
                      <w:szCs w:val="21"/>
                    </w:rPr>
                  </w:pPr>
                  <w:r>
                    <w:rPr>
                      <w:rFonts w:hint="eastAsia"/>
                      <w:kern w:val="2"/>
                      <w:sz w:val="21"/>
                      <w:szCs w:val="21"/>
                    </w:rPr>
                    <w:t>55</w:t>
                  </w:r>
                </w:p>
              </w:tc>
              <w:tc>
                <w:tcPr>
                  <w:tcW w:w="3635" w:type="dxa"/>
                  <w:vMerge w:val="continue"/>
                </w:tcPr>
                <w:p>
                  <w:pPr>
                    <w:pStyle w:val="33"/>
                    <w:snapToGrid w:val="0"/>
                    <w:spacing w:line="240" w:lineRule="auto"/>
                    <w:rPr>
                      <w:kern w:val="2"/>
                      <w:sz w:val="21"/>
                      <w:szCs w:val="21"/>
                    </w:rPr>
                  </w:pPr>
                </w:p>
              </w:tc>
            </w:tr>
          </w:tbl>
          <w:p>
            <w:pPr>
              <w:pStyle w:val="2"/>
              <w:spacing w:beforeLines="50"/>
              <w:ind w:firstLine="482"/>
              <w:rPr>
                <w:b/>
                <w:bCs/>
              </w:rPr>
            </w:pPr>
            <w:r>
              <w:rPr>
                <w:rFonts w:hint="eastAsia"/>
                <w:b/>
                <w:bCs/>
              </w:rPr>
              <w:t>4、固体废物</w:t>
            </w:r>
          </w:p>
          <w:p>
            <w:pPr>
              <w:pStyle w:val="2"/>
              <w:ind w:firstLine="480"/>
            </w:pPr>
            <w:r>
              <w:t>一般固体废物执行《一般工业固体废物贮存、处置场污染物控制标准》（GB 18599-2001）及2013年6月修改单中相关要求；</w:t>
            </w:r>
            <w:r>
              <w:rPr>
                <w:rFonts w:hint="eastAsia"/>
              </w:rPr>
              <w:t>建筑垃圾，严格按照《湖南省城市建筑垃圾管理实施细则（暂行）》要求进行规范化处理，以不引起二次污染为控制要求；废包装材料、生活垃圾要严格进行分类，做好暂存工作，并按要求做好清运工作，以不引起二次污染为控制要求</w:t>
            </w: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904" w:type="dxa"/>
            <w:vAlign w:val="center"/>
          </w:tcPr>
          <w:p>
            <w:pPr>
              <w:adjustRightInd w:val="0"/>
              <w:snapToGrid w:val="0"/>
              <w:jc w:val="center"/>
              <w:rPr>
                <w:rFonts w:ascii="宋体" w:hAnsi="宋体" w:cs="宋体"/>
                <w:kern w:val="0"/>
                <w:sz w:val="24"/>
              </w:rPr>
            </w:pPr>
            <w:r>
              <w:rPr>
                <w:rFonts w:hint="eastAsia" w:ascii="宋体" w:hAnsi="宋体" w:cs="宋体"/>
                <w:kern w:val="0"/>
                <w:sz w:val="24"/>
              </w:rPr>
              <w:t>其他</w:t>
            </w:r>
          </w:p>
        </w:tc>
        <w:tc>
          <w:tcPr>
            <w:tcW w:w="8253" w:type="dxa"/>
            <w:vAlign w:val="center"/>
          </w:tcPr>
          <w:p>
            <w:pPr>
              <w:autoSpaceDE w:val="0"/>
              <w:autoSpaceDN w:val="0"/>
              <w:spacing w:line="360" w:lineRule="auto"/>
              <w:ind w:firstLine="480" w:firstLineChars="200"/>
              <w:rPr>
                <w:rFonts w:hint="eastAsia" w:hAnsi="宋体" w:eastAsia="宋体"/>
                <w:sz w:val="24"/>
                <w:szCs w:val="21"/>
                <w:lang w:val="en-US" w:eastAsia="zh-CN"/>
              </w:rPr>
            </w:pPr>
            <w:r>
              <w:rPr>
                <w:rFonts w:hint="eastAsia"/>
                <w:sz w:val="24"/>
              </w:rPr>
              <w:t>项目运营期产生的污（废）水经预处理后</w:t>
            </w:r>
            <w:r>
              <w:rPr>
                <w:rFonts w:hint="eastAsia" w:hAnsi="宋体"/>
                <w:sz w:val="24"/>
              </w:rPr>
              <w:t>满足《污水综合排放标准》（GB8978-1996）中三级标准后</w:t>
            </w:r>
            <w:r>
              <w:rPr>
                <w:rFonts w:hint="eastAsia"/>
                <w:bCs/>
                <w:kern w:val="24"/>
                <w:sz w:val="24"/>
              </w:rPr>
              <w:t>同时</w:t>
            </w:r>
            <w:r>
              <w:rPr>
                <w:bCs/>
                <w:kern w:val="24"/>
                <w:sz w:val="24"/>
              </w:rPr>
              <w:t>满足</w:t>
            </w:r>
            <w:r>
              <w:rPr>
                <w:rFonts w:hint="eastAsia"/>
                <w:bCs/>
                <w:kern w:val="24"/>
                <w:sz w:val="24"/>
              </w:rPr>
              <w:t>岳阳市马壕污水处理厂</w:t>
            </w:r>
            <w:r>
              <w:rPr>
                <w:bCs/>
                <w:kern w:val="24"/>
                <w:sz w:val="24"/>
              </w:rPr>
              <w:t>进水水质要求</w:t>
            </w:r>
            <w:r>
              <w:rPr>
                <w:rFonts w:hint="eastAsia"/>
                <w:bCs/>
                <w:kern w:val="24"/>
                <w:sz w:val="24"/>
              </w:rPr>
              <w:t>后经</w:t>
            </w:r>
            <w:r>
              <w:rPr>
                <w:rFonts w:hAnsi="宋体"/>
                <w:sz w:val="24"/>
              </w:rPr>
              <w:t>市政污水管网输送至</w:t>
            </w:r>
            <w:r>
              <w:rPr>
                <w:rFonts w:hint="eastAsia"/>
                <w:bCs/>
                <w:kern w:val="24"/>
                <w:sz w:val="24"/>
              </w:rPr>
              <w:t>岳阳市马壕污水处理厂</w:t>
            </w:r>
            <w:r>
              <w:rPr>
                <w:rFonts w:hAnsi="宋体"/>
                <w:sz w:val="24"/>
              </w:rPr>
              <w:t>集中处理</w:t>
            </w:r>
            <w:r>
              <w:rPr>
                <w:rFonts w:hint="eastAsia"/>
                <w:sz w:val="24"/>
              </w:rPr>
              <w:t>达到</w:t>
            </w:r>
            <w:r>
              <w:rPr>
                <w:rFonts w:hAnsi="宋体"/>
                <w:sz w:val="24"/>
              </w:rPr>
              <w:t>《城镇污水处理厂污染物排放标准》（</w:t>
            </w:r>
            <w:r>
              <w:rPr>
                <w:sz w:val="24"/>
              </w:rPr>
              <w:t>GB18918-2002</w:t>
            </w:r>
            <w:r>
              <w:rPr>
                <w:rFonts w:hAnsi="宋体"/>
                <w:sz w:val="24"/>
              </w:rPr>
              <w:t>）一级</w:t>
            </w:r>
            <w:r>
              <w:rPr>
                <w:sz w:val="24"/>
              </w:rPr>
              <w:t>A</w:t>
            </w:r>
            <w:r>
              <w:rPr>
                <w:rFonts w:hAnsi="宋体"/>
                <w:sz w:val="24"/>
              </w:rPr>
              <w:t>标准要求后</w:t>
            </w:r>
            <w:r>
              <w:rPr>
                <w:rFonts w:hint="eastAsia" w:hAnsi="宋体"/>
                <w:sz w:val="24"/>
              </w:rPr>
              <w:t>排放，</w:t>
            </w:r>
            <w:r>
              <w:rPr>
                <w:rFonts w:hAnsi="宋体"/>
                <w:sz w:val="24"/>
                <w:szCs w:val="21"/>
              </w:rPr>
              <w:t>本项目</w:t>
            </w:r>
            <w:r>
              <w:rPr>
                <w:rFonts w:hint="eastAsia" w:hAnsi="宋体"/>
                <w:sz w:val="24"/>
                <w:szCs w:val="21"/>
                <w:lang w:val="en-US" w:eastAsia="zh-CN"/>
              </w:rPr>
              <w:t>02#地块</w:t>
            </w:r>
            <w:r>
              <w:rPr>
                <w:sz w:val="24"/>
                <w:szCs w:val="21"/>
              </w:rPr>
              <w:t>COD</w:t>
            </w:r>
            <w:r>
              <w:rPr>
                <w:rFonts w:hAnsi="宋体"/>
                <w:sz w:val="24"/>
                <w:szCs w:val="21"/>
              </w:rPr>
              <w:t>达标排放量为</w:t>
            </w:r>
            <w:r>
              <w:rPr>
                <w:rFonts w:hint="eastAsia" w:hAnsi="宋体"/>
                <w:sz w:val="24"/>
                <w:szCs w:val="21"/>
                <w:lang w:val="en-US" w:eastAsia="zh-CN"/>
              </w:rPr>
              <w:t>69.54</w:t>
            </w:r>
            <w:r>
              <w:rPr>
                <w:sz w:val="24"/>
                <w:szCs w:val="21"/>
              </w:rPr>
              <w:t>t/a</w:t>
            </w:r>
            <w:r>
              <w:rPr>
                <w:rFonts w:hint="eastAsia"/>
                <w:sz w:val="24"/>
                <w:szCs w:val="21"/>
                <w:lang w:eastAsia="zh-CN"/>
              </w:rPr>
              <w:t>，</w:t>
            </w:r>
            <w:r>
              <w:rPr>
                <w:sz w:val="24"/>
                <w:szCs w:val="21"/>
              </w:rPr>
              <w:t>NH</w:t>
            </w:r>
            <w:r>
              <w:rPr>
                <w:sz w:val="24"/>
                <w:szCs w:val="21"/>
                <w:vertAlign w:val="subscript"/>
              </w:rPr>
              <w:t>3</w:t>
            </w:r>
            <w:r>
              <w:rPr>
                <w:sz w:val="24"/>
                <w:szCs w:val="21"/>
              </w:rPr>
              <w:t>-N</w:t>
            </w:r>
            <w:r>
              <w:rPr>
                <w:rFonts w:hAnsi="宋体"/>
                <w:sz w:val="24"/>
                <w:szCs w:val="21"/>
              </w:rPr>
              <w:t>达标排放量</w:t>
            </w:r>
            <w:r>
              <w:rPr>
                <w:rFonts w:hint="eastAsia" w:hAnsi="宋体"/>
                <w:sz w:val="24"/>
                <w:szCs w:val="21"/>
                <w:lang w:val="en-US" w:eastAsia="zh-CN"/>
              </w:rPr>
              <w:t>5.2</w:t>
            </w:r>
            <w:r>
              <w:rPr>
                <w:sz w:val="24"/>
                <w:szCs w:val="21"/>
              </w:rPr>
              <w:t>t/a</w:t>
            </w:r>
            <w:r>
              <w:rPr>
                <w:rFonts w:hint="eastAsia"/>
                <w:sz w:val="24"/>
                <w:szCs w:val="21"/>
                <w:lang w:eastAsia="zh-CN"/>
              </w:rPr>
              <w:t>；</w:t>
            </w:r>
            <w:r>
              <w:rPr>
                <w:rFonts w:hint="eastAsia" w:hAnsi="宋体"/>
                <w:sz w:val="24"/>
                <w:szCs w:val="21"/>
                <w:lang w:val="en-US" w:eastAsia="zh-CN"/>
              </w:rPr>
              <w:t>03#地块</w:t>
            </w:r>
            <w:r>
              <w:rPr>
                <w:sz w:val="24"/>
                <w:szCs w:val="21"/>
              </w:rPr>
              <w:t>COD</w:t>
            </w:r>
            <w:r>
              <w:rPr>
                <w:rFonts w:hAnsi="宋体"/>
                <w:sz w:val="24"/>
                <w:szCs w:val="21"/>
              </w:rPr>
              <w:t>达标排放量为</w:t>
            </w:r>
            <w:r>
              <w:rPr>
                <w:rFonts w:hint="eastAsia" w:hAnsi="宋体"/>
                <w:sz w:val="24"/>
                <w:szCs w:val="21"/>
                <w:lang w:val="en-US" w:eastAsia="zh-CN"/>
              </w:rPr>
              <w:t>52.67</w:t>
            </w:r>
            <w:r>
              <w:rPr>
                <w:sz w:val="24"/>
                <w:szCs w:val="21"/>
              </w:rPr>
              <w:t>t/a</w:t>
            </w:r>
            <w:r>
              <w:rPr>
                <w:rFonts w:hint="eastAsia"/>
                <w:sz w:val="24"/>
                <w:szCs w:val="21"/>
                <w:lang w:eastAsia="zh-CN"/>
              </w:rPr>
              <w:t>，</w:t>
            </w:r>
            <w:r>
              <w:rPr>
                <w:sz w:val="24"/>
                <w:szCs w:val="21"/>
              </w:rPr>
              <w:t>NH</w:t>
            </w:r>
            <w:r>
              <w:rPr>
                <w:sz w:val="24"/>
                <w:szCs w:val="21"/>
                <w:vertAlign w:val="subscript"/>
              </w:rPr>
              <w:t>3</w:t>
            </w:r>
            <w:r>
              <w:rPr>
                <w:sz w:val="24"/>
                <w:szCs w:val="21"/>
              </w:rPr>
              <w:t>-N</w:t>
            </w:r>
            <w:r>
              <w:rPr>
                <w:rFonts w:hAnsi="宋体"/>
                <w:sz w:val="24"/>
                <w:szCs w:val="21"/>
              </w:rPr>
              <w:t>达标排放量</w:t>
            </w:r>
            <w:r>
              <w:rPr>
                <w:rFonts w:hint="eastAsia" w:hAnsi="宋体"/>
                <w:sz w:val="24"/>
                <w:szCs w:val="21"/>
                <w:lang w:val="en-US" w:eastAsia="zh-CN"/>
              </w:rPr>
              <w:t>3.94</w:t>
            </w:r>
            <w:r>
              <w:rPr>
                <w:sz w:val="24"/>
                <w:szCs w:val="21"/>
              </w:rPr>
              <w:t>t/a</w:t>
            </w:r>
            <w:r>
              <w:rPr>
                <w:rFonts w:hint="eastAsia"/>
                <w:sz w:val="24"/>
                <w:szCs w:val="21"/>
                <w:lang w:eastAsia="zh-CN"/>
              </w:rPr>
              <w:t>；</w:t>
            </w:r>
            <w:r>
              <w:rPr>
                <w:rFonts w:hint="eastAsia" w:hAnsi="宋体"/>
                <w:sz w:val="24"/>
                <w:szCs w:val="21"/>
                <w:lang w:val="en-US" w:eastAsia="zh-CN"/>
              </w:rPr>
              <w:t>04#地块</w:t>
            </w:r>
            <w:r>
              <w:rPr>
                <w:sz w:val="24"/>
                <w:szCs w:val="21"/>
              </w:rPr>
              <w:t>COD</w:t>
            </w:r>
            <w:r>
              <w:rPr>
                <w:rFonts w:hAnsi="宋体"/>
                <w:sz w:val="24"/>
                <w:szCs w:val="21"/>
              </w:rPr>
              <w:t>达标排放量为</w:t>
            </w:r>
            <w:r>
              <w:rPr>
                <w:rFonts w:hint="eastAsia" w:hAnsi="宋体"/>
                <w:sz w:val="24"/>
                <w:szCs w:val="21"/>
                <w:lang w:val="en-US" w:eastAsia="zh-CN"/>
              </w:rPr>
              <w:t>41.87</w:t>
            </w:r>
            <w:r>
              <w:rPr>
                <w:sz w:val="24"/>
                <w:szCs w:val="21"/>
              </w:rPr>
              <w:t>t/a</w:t>
            </w:r>
            <w:r>
              <w:rPr>
                <w:rFonts w:hint="eastAsia"/>
                <w:sz w:val="24"/>
                <w:szCs w:val="21"/>
                <w:lang w:eastAsia="zh-CN"/>
              </w:rPr>
              <w:t>，</w:t>
            </w:r>
            <w:r>
              <w:rPr>
                <w:sz w:val="24"/>
                <w:szCs w:val="21"/>
              </w:rPr>
              <w:t>NH</w:t>
            </w:r>
            <w:r>
              <w:rPr>
                <w:sz w:val="24"/>
                <w:szCs w:val="21"/>
                <w:vertAlign w:val="subscript"/>
              </w:rPr>
              <w:t>3</w:t>
            </w:r>
            <w:r>
              <w:rPr>
                <w:sz w:val="24"/>
                <w:szCs w:val="21"/>
              </w:rPr>
              <w:t>-N</w:t>
            </w:r>
            <w:r>
              <w:rPr>
                <w:rFonts w:hAnsi="宋体"/>
                <w:sz w:val="24"/>
                <w:szCs w:val="21"/>
              </w:rPr>
              <w:t>达标排放量</w:t>
            </w:r>
            <w:r>
              <w:rPr>
                <w:rFonts w:hint="eastAsia" w:hAnsi="宋体"/>
                <w:sz w:val="24"/>
                <w:szCs w:val="21"/>
                <w:lang w:val="en-US" w:eastAsia="zh-CN"/>
              </w:rPr>
              <w:t>3.15</w:t>
            </w:r>
            <w:r>
              <w:rPr>
                <w:sz w:val="24"/>
                <w:szCs w:val="21"/>
              </w:rPr>
              <w:t>t/a</w:t>
            </w:r>
            <w:r>
              <w:rPr>
                <w:rFonts w:hint="eastAsia"/>
                <w:sz w:val="24"/>
                <w:szCs w:val="21"/>
                <w:lang w:eastAsia="zh-CN"/>
              </w:rPr>
              <w:t>。</w:t>
            </w:r>
          </w:p>
          <w:p>
            <w:pPr>
              <w:pStyle w:val="2"/>
              <w:ind w:firstLine="480"/>
            </w:pPr>
            <w:r>
              <w:t>COD</w:t>
            </w:r>
            <w:r>
              <w:rPr>
                <w:rFonts w:hAnsi="宋体"/>
              </w:rPr>
              <w:t>、氨氮总量指标计入岳阳</w:t>
            </w:r>
            <w:r>
              <w:rPr>
                <w:rFonts w:hint="eastAsia" w:hAnsi="宋体"/>
              </w:rPr>
              <w:t>市</w:t>
            </w:r>
            <w:r>
              <w:rPr>
                <w:rFonts w:hint="eastAsia"/>
                <w:bCs/>
                <w:kern w:val="24"/>
              </w:rPr>
              <w:t>马壕污水处理厂</w:t>
            </w:r>
            <w:r>
              <w:rPr>
                <w:rFonts w:hAnsi="宋体"/>
              </w:rPr>
              <w:t>，由岳阳</w:t>
            </w:r>
            <w:r>
              <w:rPr>
                <w:rFonts w:hint="eastAsia" w:hAnsi="宋体"/>
              </w:rPr>
              <w:t>市</w:t>
            </w:r>
            <w:r>
              <w:rPr>
                <w:rFonts w:hint="eastAsia"/>
                <w:bCs/>
                <w:kern w:val="24"/>
              </w:rPr>
              <w:t>马壕污水处理厂</w:t>
            </w:r>
            <w:r>
              <w:rPr>
                <w:rFonts w:hAnsi="宋体"/>
              </w:rPr>
              <w:t>调配废水污染物</w:t>
            </w:r>
            <w:r>
              <w:t>COD</w:t>
            </w:r>
            <w:r>
              <w:rPr>
                <w:rFonts w:hAnsi="宋体"/>
              </w:rPr>
              <w:t>及</w:t>
            </w:r>
            <w:r>
              <w:t>NH</w:t>
            </w:r>
            <w:r>
              <w:rPr>
                <w:vertAlign w:val="subscript"/>
              </w:rPr>
              <w:t>3</w:t>
            </w:r>
            <w:r>
              <w:t>-N</w:t>
            </w:r>
            <w:r>
              <w:rPr>
                <w:rFonts w:hAnsi="宋体"/>
              </w:rPr>
              <w:t>的排放总量，无需交易购买</w:t>
            </w:r>
            <w:r>
              <w:rPr>
                <w:rFonts w:hint="eastAsia"/>
              </w:rPr>
              <w:t>。</w:t>
            </w:r>
          </w:p>
        </w:tc>
      </w:tr>
    </w:tbl>
    <w:p>
      <w:pPr>
        <w:pStyle w:val="15"/>
        <w:adjustRightInd w:val="0"/>
        <w:snapToGrid w:val="0"/>
        <w:spacing w:before="0" w:beforeAutospacing="0" w:after="0" w:afterAutospacing="0" w:line="14" w:lineRule="auto"/>
        <w:jc w:val="center"/>
        <w:outlineLvl w:val="0"/>
        <w:rPr>
          <w:rFonts w:ascii="黑体" w:hAnsi="黑体" w:eastAsia="黑体"/>
          <w:snapToGrid w:val="0"/>
          <w:kern w:val="2"/>
          <w:sz w:val="36"/>
          <w:szCs w:val="36"/>
        </w:rPr>
      </w:pPr>
    </w:p>
    <w:p>
      <w:pPr>
        <w:pStyle w:val="15"/>
        <w:jc w:val="center"/>
        <w:outlineLvl w:val="0"/>
        <w:rPr>
          <w:rFonts w:ascii="黑体" w:hAnsi="黑体" w:eastAsia="黑体"/>
          <w:snapToGrid w:val="0"/>
          <w:sz w:val="30"/>
          <w:szCs w:val="30"/>
        </w:rPr>
      </w:pPr>
      <w:r>
        <w:rPr>
          <w:rFonts w:ascii="黑体" w:hAnsi="黑体" w:eastAsia="黑体"/>
          <w:snapToGrid w:val="0"/>
          <w:kern w:val="2"/>
          <w:sz w:val="36"/>
          <w:szCs w:val="36"/>
        </w:rPr>
        <w:br w:type="page"/>
      </w:r>
      <w:r>
        <w:rPr>
          <w:rFonts w:hint="eastAsia" w:ascii="黑体" w:hAnsi="黑体" w:eastAsia="黑体"/>
          <w:snapToGrid w:val="0"/>
          <w:sz w:val="30"/>
          <w:szCs w:val="30"/>
        </w:rPr>
        <w:t>四、生态环境影响分析</w:t>
      </w:r>
    </w:p>
    <w:tbl>
      <w:tblPr>
        <w:tblStyle w:val="18"/>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6" w:hRule="atLeast"/>
          <w:jc w:val="center"/>
        </w:trPr>
        <w:tc>
          <w:tcPr>
            <w:tcW w:w="879" w:type="dxa"/>
            <w:tcMar>
              <w:left w:w="28" w:type="dxa"/>
              <w:right w:w="28" w:type="dxa"/>
            </w:tcMar>
            <w:vAlign w:val="center"/>
          </w:tcPr>
          <w:p>
            <w:pPr>
              <w:pStyle w:val="15"/>
              <w:adjustRightInd w:val="0"/>
              <w:snapToGrid w:val="0"/>
              <w:spacing w:before="0" w:beforeAutospacing="0" w:after="0" w:afterAutospacing="0"/>
              <w:jc w:val="center"/>
              <w:rPr>
                <w:rFonts w:cs="宋体"/>
                <w:bCs/>
                <w:kern w:val="2"/>
              </w:rPr>
            </w:pPr>
            <w:bookmarkStart w:id="4" w:name="_Hlk49796138"/>
            <w:r>
              <w:rPr>
                <w:rFonts w:hint="eastAsia" w:cs="宋体"/>
                <w:bCs/>
                <w:spacing w:val="10"/>
                <w:kern w:val="2"/>
              </w:rPr>
              <w:t>施工期生态环境影响分析</w:t>
            </w:r>
            <w:bookmarkEnd w:id="4"/>
          </w:p>
        </w:tc>
        <w:tc>
          <w:tcPr>
            <w:tcW w:w="8363" w:type="dxa"/>
          </w:tcPr>
          <w:p>
            <w:pPr>
              <w:pStyle w:val="2"/>
              <w:ind w:firstLine="0" w:firstLineChars="0"/>
              <w:rPr>
                <w:b/>
                <w:bCs/>
              </w:rPr>
            </w:pPr>
            <w:r>
              <w:rPr>
                <w:rFonts w:hint="eastAsia"/>
                <w:b/>
                <w:bCs/>
              </w:rPr>
              <w:t>施工期生态环境影响分析主要结论（具体详见专项评价）：</w:t>
            </w:r>
          </w:p>
          <w:p>
            <w:pPr>
              <w:pStyle w:val="2"/>
              <w:ind w:firstLine="480"/>
            </w:pPr>
            <w:r>
              <w:rPr>
                <w:rFonts w:hint="eastAsia"/>
              </w:rPr>
              <w:t>一、生态系统及影响分析</w:t>
            </w:r>
          </w:p>
          <w:p>
            <w:pPr>
              <w:pStyle w:val="2"/>
              <w:ind w:firstLine="480"/>
            </w:pPr>
            <w:r>
              <w:rPr>
                <w:rFonts w:hint="eastAsia"/>
                <w:lang w:eastAsia="zh-CN"/>
              </w:rPr>
              <w:t>本项目评价范围内</w:t>
            </w:r>
            <w:r>
              <w:rPr>
                <w:rFonts w:hint="eastAsia"/>
              </w:rPr>
              <w:t>主要为城市生态系统，</w:t>
            </w:r>
            <w:r>
              <w:t>区域主要为草地群落</w:t>
            </w:r>
            <w:r>
              <w:rPr>
                <w:rFonts w:hint="eastAsia"/>
              </w:rPr>
              <w:t>、城市人工植被系统群落</w:t>
            </w:r>
            <w:r>
              <w:t>，植被覆盖度</w:t>
            </w:r>
            <w:r>
              <w:rPr>
                <w:rFonts w:hint="eastAsia"/>
              </w:rPr>
              <w:t>较低</w:t>
            </w:r>
            <w:r>
              <w:t>，地表扰动少，水土流失轻微。项目施工期间，由于土地平整、地基开挖、管网、道路、绿化等建设造成项目区域原有</w:t>
            </w:r>
            <w:r>
              <w:rPr>
                <w:rFonts w:hint="eastAsia"/>
              </w:rPr>
              <w:t>地表被破坏</w:t>
            </w:r>
            <w:r>
              <w:t>，地形地貌发生一定程度的变化，并造成水土流失。项目施工后，及时对项目区域进行绿化，可使地表植被在一定程度上恢复，但主要是以绿化树种为主，在一定程度上降低了水土保持和水源涵养的效果。</w:t>
            </w:r>
          </w:p>
          <w:p>
            <w:pPr>
              <w:pStyle w:val="2"/>
              <w:ind w:firstLine="480"/>
            </w:pPr>
            <w:r>
              <w:rPr>
                <w:rFonts w:hint="eastAsia"/>
              </w:rPr>
              <w:t>（1）植被及植物多样性影响分析</w:t>
            </w:r>
          </w:p>
          <w:p>
            <w:pPr>
              <w:pStyle w:val="2"/>
              <w:ind w:firstLine="480"/>
            </w:pPr>
            <w:r>
              <w:rPr>
                <w:rFonts w:hint="eastAsia"/>
              </w:rPr>
              <w:t>项目占用面积涉及岳阳楼景区外围保护地带，不在岳阳楼—洞庭湖风景名胜区岳阳楼景区范围内（特级、一级、二级、三级保护区），说明工程实施对岳阳楼—洞庭湖风景名胜区岳阳楼景区的总体植被及植物多样性影响较小，且在项目施工完成后将对扰动区域进行一定程度的植被恢复，可以恢复施工期造成的影响，可降低对区域植被多样性影响，其对生态环境的影响很小。</w:t>
            </w:r>
          </w:p>
          <w:p>
            <w:pPr>
              <w:pStyle w:val="2"/>
              <w:ind w:firstLine="480"/>
            </w:pPr>
            <w:r>
              <w:rPr>
                <w:rFonts w:hint="eastAsia"/>
              </w:rPr>
              <w:t>（2）</w:t>
            </w:r>
            <w:r>
              <w:t>动物多样性影响分析</w:t>
            </w:r>
          </w:p>
          <w:p>
            <w:pPr>
              <w:pStyle w:val="2"/>
              <w:ind w:firstLine="480"/>
            </w:pPr>
            <w:r>
              <w:rPr>
                <w:rFonts w:hint="eastAsia"/>
              </w:rPr>
              <w:t>由于项目重点评价区域内有城市</w:t>
            </w:r>
            <w:r>
              <w:rPr>
                <w:rFonts w:hint="eastAsia"/>
                <w:lang w:eastAsia="zh-CN"/>
              </w:rPr>
              <w:t>道路</w:t>
            </w:r>
            <w:r>
              <w:rPr>
                <w:rFonts w:hint="eastAsia"/>
              </w:rPr>
              <w:t>得胜北路、</w:t>
            </w:r>
            <w:r>
              <w:rPr>
                <w:rFonts w:hint="eastAsia"/>
                <w:lang w:eastAsia="zh-CN"/>
              </w:rPr>
              <w:t>开发中路</w:t>
            </w:r>
            <w:r>
              <w:rPr>
                <w:rFonts w:hint="eastAsia"/>
              </w:rPr>
              <w:t>等道路，区域内人类活动较频繁，有一定噪声本底值，动物栖息环境一般，项目占地区不是陆生脊椎动物的重要栖息、觅食、停歇场所，区内动物数量少、种类单一，项目施工期对生态环境重点影响区域范围内动物生长、繁殖及栖息影响小。</w:t>
            </w:r>
          </w:p>
          <w:p>
            <w:pPr>
              <w:pStyle w:val="2"/>
              <w:ind w:firstLine="480"/>
            </w:pPr>
            <w:r>
              <w:rPr>
                <w:rFonts w:hint="eastAsia"/>
              </w:rPr>
              <w:t>项目占地区域范围内的原有绿地被清除，在短期内会对工程区内的少量两栖爬行动物造成伤害，但由于这些动物在此区域内数量相对稀少，少量的个体损失不会影响周边大区域内的种群数量的显著波动。</w:t>
            </w:r>
          </w:p>
          <w:p>
            <w:pPr>
              <w:pStyle w:val="2"/>
              <w:ind w:firstLine="0"/>
            </w:pPr>
            <w:r>
              <w:t>项目施工期间</w:t>
            </w:r>
            <w:r>
              <w:rPr>
                <w:rFonts w:hint="eastAsia"/>
              </w:rPr>
              <w:t>在</w:t>
            </w:r>
            <w:r>
              <w:t>短期内对周边少量野生动物的影响仅限于减少了一小块觅食地。因项目区周边可替代生境较多，这种影响微乎其微。</w:t>
            </w:r>
          </w:p>
          <w:p>
            <w:pPr>
              <w:pStyle w:val="2"/>
            </w:pPr>
            <w:r>
              <w:rPr>
                <w:rFonts w:hint="eastAsia"/>
              </w:rPr>
              <w:t>此外，由于施工期间产生的噪声和夜间施工的灯光对</w:t>
            </w:r>
            <w:r>
              <w:t>鸟类睡眠有一定影响，尤其对夜间觅食的鸟类影响较大，强光的刺激将影响鸟类的视觉，从而影响它们的夜间捕食</w:t>
            </w:r>
            <w:r>
              <w:rPr>
                <w:rFonts w:hint="eastAsia"/>
              </w:rPr>
              <w:t>。</w:t>
            </w:r>
          </w:p>
          <w:p>
            <w:pPr>
              <w:pStyle w:val="2"/>
              <w:ind w:firstLine="480"/>
            </w:pPr>
            <w:r>
              <w:rPr>
                <w:rFonts w:hint="eastAsia"/>
              </w:rPr>
              <w:t>（3）对水土流失的影响</w:t>
            </w:r>
          </w:p>
          <w:p>
            <w:pPr>
              <w:pStyle w:val="2"/>
              <w:ind w:firstLine="480"/>
            </w:pPr>
            <w:r>
              <w:rPr>
                <w:rFonts w:hint="eastAsia"/>
              </w:rPr>
              <w:t>水土</w:t>
            </w:r>
            <w:r>
              <w:t>流失过程是地表在水</w:t>
            </w:r>
            <w:r>
              <w:rPr>
                <w:rFonts w:hint="eastAsia"/>
              </w:rPr>
              <w:t>力</w:t>
            </w:r>
            <w:r>
              <w:t>或风力等外应力的作用下，土壤发生冲刷并随</w:t>
            </w:r>
            <w:r>
              <w:rPr>
                <w:rFonts w:hint="eastAsia"/>
              </w:rPr>
              <w:t>水分</w:t>
            </w:r>
            <w:r>
              <w:t>一同流失的过程。它是自然因素和人为因素综合作用下的产物，其影响因素包括气候、水文、地质、地貌、植被、工程建设等。项目所在地暴雨较多，在项目建设过程中，由于修路、建房、填挖等活动，地表植被</w:t>
            </w:r>
            <w:r>
              <w:rPr>
                <w:rFonts w:hint="eastAsia"/>
              </w:rPr>
              <w:t>遭到</w:t>
            </w:r>
            <w:r>
              <w:t>破坏并产生大量松散的泥土，使原地貌的水土保持功能完全改变和短期内水土保持功能丧失。因此，项目建设过程中应该切实做好水土保持主体工程所设计的水保措施。</w:t>
            </w:r>
            <w:r>
              <w:rPr>
                <w:rFonts w:hint="eastAsia"/>
              </w:rPr>
              <w:t>本项目水土保持详见第五章中“三、水保措施”。</w:t>
            </w:r>
          </w:p>
          <w:p>
            <w:pPr>
              <w:pStyle w:val="2"/>
              <w:ind w:firstLine="480"/>
            </w:pPr>
            <w:r>
              <w:rPr>
                <w:rFonts w:hint="eastAsia"/>
              </w:rPr>
              <w:t>（4）对土壤和景观的影响</w:t>
            </w:r>
          </w:p>
          <w:p>
            <w:pPr>
              <w:pStyle w:val="2"/>
              <w:adjustRightInd w:val="0"/>
              <w:snapToGrid w:val="0"/>
              <w:ind w:firstLine="480"/>
            </w:pPr>
            <w:r>
              <w:rPr>
                <w:rFonts w:hint="eastAsia"/>
              </w:rPr>
              <w:t>1）土壤</w:t>
            </w:r>
          </w:p>
          <w:p>
            <w:pPr>
              <w:pStyle w:val="2"/>
              <w:adjustRightInd w:val="0"/>
              <w:snapToGrid w:val="0"/>
              <w:ind w:firstLine="480"/>
            </w:pPr>
            <w:r>
              <w:rPr>
                <w:rFonts w:hint="eastAsia"/>
              </w:rPr>
              <w:t>施工期由于地基开挖、管网、道路、绿化等建设，产生大量的土石方，大部分不能利用而作为弃土，减少了项目区域的土壤容量，此外，建设过程中水土流失等因此也会使土壤减少，变薄和贫瘠。</w:t>
            </w:r>
          </w:p>
          <w:p>
            <w:pPr>
              <w:pStyle w:val="2"/>
              <w:ind w:firstLine="480"/>
            </w:pPr>
            <w:r>
              <w:rPr>
                <w:rFonts w:hint="eastAsia"/>
              </w:rPr>
              <w:t>施工期由于机械的碾压及施工人员的践踏，在施工作业区周围的土壤将被严重压实，部分施工区域的表土被铲去，另一些区域的表土将可能被填埋，从而使施工完成后的土壤表土层缺乏原有土壤的肥力，不利于植物的生长和植被恢复。</w:t>
            </w:r>
          </w:p>
          <w:p>
            <w:pPr>
              <w:pStyle w:val="2"/>
              <w:ind w:firstLine="480"/>
            </w:pPr>
            <w:r>
              <w:t>2）植物景观</w:t>
            </w:r>
          </w:p>
          <w:p>
            <w:pPr>
              <w:pStyle w:val="2"/>
              <w:ind w:firstLine="480"/>
            </w:pPr>
            <w:r>
              <w:rPr>
                <w:rFonts w:hint="eastAsia"/>
              </w:rPr>
              <w:t>景观是构成视觉图案的地貌和土地覆盖物，是人们对诸如自然景物和城市建筑物等环境因素审美的综合反映。在施工期间由于地表被破坏，大部分地将成为缺乏植被的裸地，破坏区域景观的连续性，会对景观造成不利影响，但随着施工期的结束，景观将会得到逐步的恢复和改善。</w:t>
            </w:r>
          </w:p>
          <w:p>
            <w:pPr>
              <w:pStyle w:val="2"/>
              <w:ind w:firstLine="480"/>
            </w:pPr>
            <w:r>
              <w:rPr>
                <w:rFonts w:hint="eastAsia"/>
              </w:rPr>
              <w:t>建设项目在总体布局方面，合理的利用了区域的地形、地貌，采取了分散布局的方式。本项目住宅楼、绿化带，每一个功能区建筑美观新颖，结合地形地势和自然植被，将人工建筑与自然风光巧妙的结合出来，使楼宇、园林、绿水交相辉映，形成一条亮丽的风光带。整个占地范围，一改过去灌草丛生，杂乱无章的无序景象，取而代之的是满目翠绿，鲜花怒放。</w:t>
            </w:r>
          </w:p>
          <w:p>
            <w:pPr>
              <w:pStyle w:val="2"/>
              <w:adjustRightInd w:val="0"/>
              <w:snapToGrid w:val="0"/>
              <w:ind w:firstLine="480"/>
            </w:pPr>
            <w:r>
              <w:rPr>
                <w:rFonts w:hint="eastAsia"/>
              </w:rPr>
              <w:t>二、施工期对环境质量影响分析</w:t>
            </w:r>
          </w:p>
          <w:p>
            <w:pPr>
              <w:pStyle w:val="2"/>
              <w:ind w:firstLine="480"/>
            </w:pPr>
            <w:r>
              <w:rPr>
                <w:rFonts w:hint="eastAsia"/>
              </w:rPr>
              <w:t>（1）施工期对声环境</w:t>
            </w:r>
            <w:r>
              <w:t>影响</w:t>
            </w:r>
          </w:p>
          <w:p>
            <w:pPr>
              <w:pStyle w:val="2"/>
              <w:adjustRightInd w:val="0"/>
              <w:snapToGrid w:val="0"/>
              <w:ind w:firstLine="480"/>
            </w:pPr>
            <w:r>
              <w:rPr>
                <w:rFonts w:hint="eastAsia"/>
              </w:rPr>
              <w:t>施工期噪声是建筑施工期间最为显著的污染因素，在选址区域内土地平整阶段土方开挖和回填、机械设备操作、车辆运输等过程中产生振动和噪声，所用机械可能有挖掘机、推土机、振捣机、空压机、电焊、电锯和切割机等，其噪声值在87~99dB(A)之间，在不考虑外界因素等吸收、围挡隔音的影响下，昼间受施工单台机械噪声影响集中在声源范围60m以内，夜间禁止施工（除抢险作业、特殊施工工艺要求外），避免高噪声设备同时施工，主要噪声源尽量安排在昼间非正常休息时间内进行。</w:t>
            </w:r>
          </w:p>
          <w:p>
            <w:pPr>
              <w:pStyle w:val="2"/>
              <w:adjustRightInd w:val="0"/>
              <w:snapToGrid w:val="0"/>
              <w:ind w:firstLine="480"/>
            </w:pPr>
            <w:r>
              <w:rPr>
                <w:rFonts w:hint="eastAsia"/>
              </w:rPr>
              <w:t>（2）施工期对空气环境影响</w:t>
            </w:r>
          </w:p>
          <w:p>
            <w:pPr>
              <w:pStyle w:val="2"/>
              <w:adjustRightInd w:val="0"/>
              <w:snapToGrid w:val="0"/>
              <w:ind w:firstLine="480"/>
            </w:pPr>
            <w:r>
              <w:rPr>
                <w:rFonts w:hint="eastAsia"/>
              </w:rPr>
              <w:t>施工过程中产生的主要大气污染物是扬尘，其次是施工机械排放的少量燃油废气，主要发生在以下施工环节：推土机、挖掘机、铲土机、装载车等机械作业处；砂石料堆场在空气动力作用下起尘；汽车在运送土石方和砂石料过程中，由于振动和自然风力等因素引起的物料洒落起尘及道路二次扬尘；卡车自动卸料时产生的粉尘污染以及水泥拆包粉尘；</w:t>
            </w:r>
            <w:r>
              <w:rPr>
                <w:rFonts w:hint="eastAsia"/>
                <w:bCs/>
              </w:rPr>
              <w:t>根据类比调查，一般情况下，施工场地、施工道路在自然风作用下产生的扬尘所影响的范围在100m以内。</w:t>
            </w:r>
          </w:p>
          <w:p>
            <w:pPr>
              <w:pStyle w:val="2"/>
              <w:adjustRightInd w:val="0"/>
              <w:snapToGrid w:val="0"/>
              <w:ind w:firstLine="480"/>
            </w:pPr>
            <w:r>
              <w:rPr>
                <w:rFonts w:hint="eastAsia"/>
              </w:rPr>
              <w:t>（</w:t>
            </w:r>
            <w:r>
              <w:t>3</w:t>
            </w:r>
            <w:r>
              <w:rPr>
                <w:rFonts w:hint="eastAsia"/>
              </w:rPr>
              <w:t>）施工期对水环境影响</w:t>
            </w:r>
          </w:p>
          <w:p>
            <w:pPr>
              <w:pStyle w:val="2"/>
              <w:ind w:firstLine="480"/>
              <w:rPr>
                <w:vertAlign w:val="superscript"/>
              </w:rPr>
            </w:pPr>
            <w:r>
              <w:rPr>
                <w:rFonts w:hint="eastAsia"/>
              </w:rPr>
              <w:t>施工期间在场地占地范围内进行土地平整会开挖土方，破坏地表植被，如果在雨季进行土石方、场地平整等施工作业可造成部分水土流失，对周围环境产生一些影响。项目施工期安排</w:t>
            </w:r>
            <w:r>
              <w:rPr>
                <w:rFonts w:hint="eastAsia"/>
                <w:lang w:val="en-US" w:eastAsia="zh-CN"/>
              </w:rPr>
              <w:t>100</w:t>
            </w:r>
            <w:r>
              <w:rPr>
                <w:rFonts w:hint="eastAsia"/>
              </w:rPr>
              <w:t>名施工人员，施工人员生活用水量按平均每天80L/人计，则生活用水量为</w:t>
            </w:r>
            <w:r>
              <w:rPr>
                <w:rFonts w:hint="eastAsia"/>
                <w:lang w:val="en-US" w:eastAsia="zh-CN"/>
              </w:rPr>
              <w:t>8</w:t>
            </w:r>
            <w:r>
              <w:rPr>
                <w:rFonts w:hint="eastAsia"/>
              </w:rPr>
              <w:t>m</w:t>
            </w:r>
            <w:r>
              <w:rPr>
                <w:rFonts w:hint="eastAsia"/>
                <w:vertAlign w:val="superscript"/>
              </w:rPr>
              <w:t>3</w:t>
            </w:r>
            <w:r>
              <w:rPr>
                <w:rFonts w:hint="eastAsia"/>
              </w:rPr>
              <w:t>/d。生活污水的排放量按用水量的80%计算，则生活污水的排放量为</w:t>
            </w:r>
            <w:r>
              <w:rPr>
                <w:rFonts w:hint="eastAsia"/>
                <w:lang w:val="en-US" w:eastAsia="zh-CN"/>
              </w:rPr>
              <w:t>6.4</w:t>
            </w:r>
            <w:r>
              <w:rPr>
                <w:rFonts w:hint="eastAsia"/>
              </w:rPr>
              <w:t>m</w:t>
            </w:r>
            <w:r>
              <w:rPr>
                <w:rFonts w:hint="eastAsia"/>
                <w:vertAlign w:val="superscript"/>
              </w:rPr>
              <w:t>3</w:t>
            </w:r>
            <w:r>
              <w:rPr>
                <w:rFonts w:hint="eastAsia"/>
              </w:rPr>
              <w:t>/d，主要污染因子为CODCr、BOD</w:t>
            </w:r>
            <w:r>
              <w:rPr>
                <w:rFonts w:hint="eastAsia"/>
                <w:vertAlign w:val="subscript"/>
              </w:rPr>
              <w:t>5</w:t>
            </w:r>
            <w:r>
              <w:rPr>
                <w:rFonts w:hint="eastAsia"/>
              </w:rPr>
              <w:t>和SS等。施工人员产生的施工废水经隔油、沉淀池处理后回用于施工场地洒水抑尘；生活废水经临时化粪池预处理之后排入区域市政污水管网</w:t>
            </w:r>
            <w:r>
              <w:rPr>
                <w:rFonts w:hint="eastAsia"/>
                <w:lang w:eastAsia="zh-CN"/>
              </w:rPr>
              <w:t>再进入岳阳市马壕污水处理厂</w:t>
            </w:r>
            <w:r>
              <w:rPr>
                <w:rFonts w:hint="eastAsia"/>
              </w:rPr>
              <w:t>。</w:t>
            </w:r>
          </w:p>
          <w:p>
            <w:pPr>
              <w:pStyle w:val="2"/>
              <w:ind w:firstLine="480"/>
            </w:pPr>
            <w:r>
              <w:rPr>
                <w:rFonts w:hint="eastAsia"/>
              </w:rPr>
              <w:t>（</w:t>
            </w:r>
            <w:r>
              <w:t>4</w:t>
            </w:r>
            <w:r>
              <w:rPr>
                <w:rFonts w:hint="eastAsia"/>
              </w:rPr>
              <w:t>）施工期固体废物对环境的影响</w:t>
            </w:r>
          </w:p>
          <w:p>
            <w:pPr>
              <w:pStyle w:val="2"/>
              <w:ind w:firstLine="480"/>
            </w:pPr>
            <w:r>
              <w:t>本项目</w:t>
            </w:r>
            <w:r>
              <w:rPr>
                <w:rFonts w:hint="eastAsia"/>
              </w:rPr>
              <w:t>产生的</w:t>
            </w:r>
            <w:r>
              <w:t>建筑垃圾其主要成份为：废弃的沙土石、水泥、木屑、碎木块、弃砖、水泥袋、纤维、塑料泡沫、碎玻璃、废金属、废瓷砖等</w:t>
            </w:r>
            <w:r>
              <w:rPr>
                <w:rFonts w:hint="eastAsia"/>
              </w:rPr>
              <w:t>以及</w:t>
            </w:r>
            <w:r>
              <w:rPr>
                <w:rFonts w:hint="eastAsia" w:hAnsi="宋体"/>
              </w:rPr>
              <w:t>工程弃土，本项目无拆迁建筑垃圾</w:t>
            </w:r>
            <w:r>
              <w:t>。</w:t>
            </w:r>
          </w:p>
          <w:p>
            <w:pPr>
              <w:pStyle w:val="2"/>
              <w:ind w:firstLine="480"/>
            </w:pPr>
            <w:r>
              <w:rPr>
                <w:rFonts w:hint="eastAsia"/>
              </w:rPr>
              <w:t>根据类比调查，一般建筑垃圾发生量约为20kg/m</w:t>
            </w:r>
            <w:r>
              <w:rPr>
                <w:rFonts w:hint="eastAsia"/>
                <w:vertAlign w:val="superscript"/>
              </w:rPr>
              <w:t>2</w:t>
            </w:r>
            <w:r>
              <w:rPr>
                <w:rFonts w:hint="eastAsia"/>
              </w:rPr>
              <w:t>，本项目</w:t>
            </w:r>
            <w:r>
              <w:rPr>
                <w:rFonts w:hint="eastAsia"/>
                <w:lang w:val="en-US" w:eastAsia="zh-CN"/>
              </w:rPr>
              <w:t>02#地块总建筑面积201964.116</w:t>
            </w:r>
            <w:r>
              <w:rPr>
                <w:rFonts w:hint="eastAsia"/>
              </w:rPr>
              <w:t>m</w:t>
            </w:r>
            <w:r>
              <w:rPr>
                <w:rFonts w:hint="eastAsia"/>
                <w:vertAlign w:val="superscript"/>
              </w:rPr>
              <w:t>2</w:t>
            </w:r>
            <w:r>
              <w:rPr>
                <w:rFonts w:hint="eastAsia"/>
                <w:lang w:val="en-US" w:eastAsia="zh-CN"/>
              </w:rPr>
              <w:t>，03#地块总建筑面积145713.126</w:t>
            </w:r>
            <w:r>
              <w:rPr>
                <w:rFonts w:hint="eastAsia"/>
              </w:rPr>
              <w:t>m</w:t>
            </w:r>
            <w:r>
              <w:rPr>
                <w:rFonts w:hint="eastAsia"/>
                <w:vertAlign w:val="superscript"/>
              </w:rPr>
              <w:t>2</w:t>
            </w:r>
            <w:r>
              <w:rPr>
                <w:rFonts w:hint="eastAsia"/>
                <w:lang w:val="en-US" w:eastAsia="zh-CN"/>
              </w:rPr>
              <w:t>，</w:t>
            </w:r>
            <w:r>
              <w:rPr>
                <w:rFonts w:hint="eastAsia"/>
              </w:rPr>
              <w:t>04#地块总建筑面积为67982.594m</w:t>
            </w:r>
            <w:r>
              <w:rPr>
                <w:rFonts w:hint="eastAsia"/>
                <w:vertAlign w:val="superscript"/>
              </w:rPr>
              <w:t>2</w:t>
            </w:r>
            <w:r>
              <w:rPr>
                <w:rFonts w:hint="eastAsia"/>
              </w:rPr>
              <w:t>，则本项目</w:t>
            </w:r>
            <w:r>
              <w:rPr>
                <w:rFonts w:hint="eastAsia"/>
                <w:lang w:val="en-US" w:eastAsia="zh-CN"/>
              </w:rPr>
              <w:t>02#地块</w:t>
            </w:r>
            <w:r>
              <w:rPr>
                <w:rFonts w:hint="eastAsia"/>
              </w:rPr>
              <w:t>建筑垃圾的产生量</w:t>
            </w:r>
            <w:r>
              <w:rPr>
                <w:rFonts w:hint="eastAsia"/>
                <w:lang w:eastAsia="zh-CN"/>
              </w:rPr>
              <w:t>为</w:t>
            </w:r>
            <w:r>
              <w:rPr>
                <w:rFonts w:hint="eastAsia"/>
                <w:lang w:val="en-US" w:eastAsia="zh-CN"/>
              </w:rPr>
              <w:t>4039.282t</w:t>
            </w:r>
            <w:r>
              <w:rPr>
                <w:rFonts w:hint="eastAsia"/>
                <w:lang w:eastAsia="zh-CN"/>
              </w:rPr>
              <w:t>，</w:t>
            </w:r>
            <w:r>
              <w:rPr>
                <w:rFonts w:hint="eastAsia"/>
                <w:lang w:val="en-US" w:eastAsia="zh-CN"/>
              </w:rPr>
              <w:t>03#地块</w:t>
            </w:r>
            <w:r>
              <w:rPr>
                <w:rFonts w:hint="eastAsia"/>
              </w:rPr>
              <w:t>建筑垃圾的产生量</w:t>
            </w:r>
            <w:r>
              <w:rPr>
                <w:rFonts w:hint="eastAsia"/>
                <w:lang w:eastAsia="zh-CN"/>
              </w:rPr>
              <w:t>为</w:t>
            </w:r>
            <w:r>
              <w:rPr>
                <w:rFonts w:hint="eastAsia"/>
                <w:lang w:val="en-US" w:eastAsia="zh-CN"/>
              </w:rPr>
              <w:t>2914.262t</w:t>
            </w:r>
            <w:r>
              <w:rPr>
                <w:rFonts w:hint="eastAsia"/>
                <w:lang w:eastAsia="zh-CN"/>
              </w:rPr>
              <w:t>，</w:t>
            </w:r>
            <w:r>
              <w:rPr>
                <w:rFonts w:hint="eastAsia"/>
                <w:lang w:val="en-US" w:eastAsia="zh-CN"/>
              </w:rPr>
              <w:t>04#地块</w:t>
            </w:r>
            <w:r>
              <w:rPr>
                <w:rFonts w:hint="eastAsia"/>
              </w:rPr>
              <w:t>建筑垃圾的产生量约1359.65t。建筑施工过程中废弃包装材料产生量约为每0.01kg/m</w:t>
            </w:r>
            <w:r>
              <w:rPr>
                <w:rFonts w:hint="eastAsia"/>
                <w:vertAlign w:val="superscript"/>
              </w:rPr>
              <w:t>2</w:t>
            </w:r>
            <w:r>
              <w:rPr>
                <w:rFonts w:hint="eastAsia"/>
              </w:rPr>
              <w:t>，按此估算，本建设项目施工期</w:t>
            </w:r>
            <w:r>
              <w:rPr>
                <w:rFonts w:hint="eastAsia"/>
                <w:lang w:val="en-US" w:eastAsia="zh-CN"/>
              </w:rPr>
              <w:t>02#地块</w:t>
            </w:r>
            <w:r>
              <w:rPr>
                <w:rFonts w:hint="eastAsia"/>
              </w:rPr>
              <w:t>产生的废弃包装材料约为</w:t>
            </w:r>
            <w:r>
              <w:rPr>
                <w:rFonts w:hint="eastAsia"/>
                <w:lang w:val="en-US" w:eastAsia="zh-CN"/>
              </w:rPr>
              <w:t>2.02t</w:t>
            </w:r>
            <w:r>
              <w:rPr>
                <w:rFonts w:hint="eastAsia"/>
                <w:lang w:eastAsia="zh-CN"/>
              </w:rPr>
              <w:t>，</w:t>
            </w:r>
            <w:r>
              <w:rPr>
                <w:rFonts w:hint="eastAsia"/>
                <w:lang w:val="en-US" w:eastAsia="zh-CN"/>
              </w:rPr>
              <w:t>03#地块</w:t>
            </w:r>
            <w:r>
              <w:rPr>
                <w:rFonts w:hint="eastAsia"/>
              </w:rPr>
              <w:t>产生的废弃包装材料约为</w:t>
            </w:r>
            <w:r>
              <w:rPr>
                <w:rFonts w:hint="eastAsia"/>
                <w:lang w:val="en-US" w:eastAsia="zh-CN"/>
              </w:rPr>
              <w:t>1.46t</w:t>
            </w:r>
            <w:r>
              <w:rPr>
                <w:rFonts w:hint="eastAsia"/>
                <w:lang w:eastAsia="zh-CN"/>
              </w:rPr>
              <w:t>，</w:t>
            </w:r>
            <w:r>
              <w:rPr>
                <w:rFonts w:hint="eastAsia"/>
                <w:lang w:val="en-US" w:eastAsia="zh-CN"/>
              </w:rPr>
              <w:t>04#地块</w:t>
            </w:r>
            <w:r>
              <w:rPr>
                <w:rFonts w:hint="eastAsia"/>
              </w:rPr>
              <w:t>产生的废弃包装材料约为0.68t。</w:t>
            </w:r>
            <w:r>
              <w:t>对于这部分建筑废物不妥善处置，或乱堆乱弃，将影响该区域景观、生态环境和造成水土流失，因此，必须按照《城市建筑垃圾管理规定》</w:t>
            </w:r>
            <w:r>
              <w:rPr>
                <w:rFonts w:hint="eastAsia"/>
              </w:rPr>
              <w:t>（</w:t>
            </w:r>
            <w:r>
              <w:t>建设部139号令</w:t>
            </w:r>
            <w:r>
              <w:rPr>
                <w:rFonts w:hint="eastAsia"/>
              </w:rPr>
              <w:t>）</w:t>
            </w:r>
            <w:r>
              <w:t>的要求妥善处理建筑垃圾，坚决制止乱倒行为，防止产生水土流失和扬尘，以免污染环境，</w:t>
            </w:r>
            <w:r>
              <w:rPr>
                <w:rFonts w:hint="eastAsia"/>
              </w:rPr>
              <w:t>本</w:t>
            </w:r>
            <w:r>
              <w:t>项目设置临时存渣场及建筑材料堆放场应设置围挡、采用篷布遮盖，周边设置排水沟，并对临时堆放点地面进行硬化进行防渗处理，防止旱季土料产生扬尘对空气环境质量造成影响，同时雨季冲刷物料进入水体，对</w:t>
            </w:r>
            <w:r>
              <w:rPr>
                <w:rFonts w:hint="eastAsia"/>
              </w:rPr>
              <w:t>周边</w:t>
            </w:r>
            <w:r>
              <w:t>河道水体产生不利影响。</w:t>
            </w:r>
          </w:p>
          <w:p>
            <w:pPr>
              <w:pStyle w:val="2"/>
              <w:ind w:firstLine="480"/>
            </w:pPr>
            <w:r>
              <w:rPr>
                <w:rFonts w:hint="eastAsia"/>
              </w:rPr>
              <w:t>根据工程施工方案，本项目</w:t>
            </w:r>
            <w:r>
              <w:rPr>
                <w:rFonts w:hint="eastAsia"/>
                <w:lang w:eastAsia="zh-CN"/>
              </w:rPr>
              <w:t>三个地块均</w:t>
            </w:r>
            <w:r>
              <w:rPr>
                <w:rFonts w:hint="eastAsia"/>
              </w:rPr>
              <w:t>需建地下停车场，</w:t>
            </w:r>
            <w:r>
              <w:rPr>
                <w:rFonts w:hint="eastAsia"/>
                <w:lang w:eastAsia="zh-CN"/>
              </w:rPr>
              <w:t>共需挖方564253.8</w:t>
            </w:r>
            <w:r>
              <w:rPr>
                <w:u w:val="single"/>
              </w:rPr>
              <w:t>m</w:t>
            </w:r>
            <w:r>
              <w:rPr>
                <w:u w:val="single"/>
                <w:vertAlign w:val="superscript"/>
              </w:rPr>
              <w:t>3</w:t>
            </w:r>
            <w:r>
              <w:rPr>
                <w:rFonts w:hint="eastAsia"/>
                <w:lang w:eastAsia="zh-CN"/>
              </w:rPr>
              <w:t>，</w:t>
            </w:r>
            <w:r>
              <w:rPr>
                <w:rFonts w:hint="eastAsia"/>
              </w:rPr>
              <w:t>其中一部分土方回填，一部分为弃土。土方回填主要是场地填方，场地填方来自于场内挖方，无外借方，建设过程中产生的废弃土方应运往指定受纳场所，尽可能避免对项目选址周边环境的影响。本项目不单独设置弃土场。</w:t>
            </w:r>
          </w:p>
          <w:p>
            <w:pPr>
              <w:pStyle w:val="2"/>
              <w:ind w:firstLine="480"/>
            </w:pPr>
          </w:p>
          <w:p>
            <w:pPr>
              <w:pStyle w:val="2"/>
              <w:ind w:firstLine="480"/>
            </w:pPr>
          </w:p>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tcMar>
              <w:left w:w="28" w:type="dxa"/>
              <w:right w:w="28" w:type="dxa"/>
            </w:tcMar>
            <w:vAlign w:val="center"/>
          </w:tcPr>
          <w:p>
            <w:pPr>
              <w:pStyle w:val="15"/>
              <w:adjustRightInd w:val="0"/>
              <w:snapToGrid w:val="0"/>
              <w:spacing w:before="0" w:beforeAutospacing="0" w:after="0" w:afterAutospacing="0"/>
              <w:jc w:val="center"/>
              <w:rPr>
                <w:rFonts w:cs="宋体"/>
                <w:bCs/>
                <w:kern w:val="2"/>
              </w:rPr>
            </w:pPr>
            <w:r>
              <w:rPr>
                <w:rFonts w:hint="eastAsia" w:cs="宋体"/>
                <w:bCs/>
                <w:spacing w:val="10"/>
                <w:kern w:val="2"/>
              </w:rPr>
              <w:t>运营期生态环境影响分析</w:t>
            </w:r>
          </w:p>
        </w:tc>
        <w:tc>
          <w:tcPr>
            <w:tcW w:w="8363" w:type="dxa"/>
          </w:tcPr>
          <w:p>
            <w:pPr>
              <w:pStyle w:val="5"/>
              <w:spacing w:before="0" w:after="0"/>
            </w:pPr>
            <w:r>
              <w:rPr>
                <w:rFonts w:hint="eastAsia"/>
              </w:rPr>
              <w:t>运营期生态环境影响分析主要结论（具体详见专项评价）：</w:t>
            </w:r>
          </w:p>
          <w:p>
            <w:pPr>
              <w:pStyle w:val="2"/>
              <w:ind w:firstLine="480"/>
              <w:rPr>
                <w:b/>
                <w:bCs/>
              </w:rPr>
            </w:pPr>
            <w:r>
              <w:rPr>
                <w:rFonts w:hint="eastAsia"/>
                <w:b/>
                <w:bCs/>
              </w:rPr>
              <w:t>一、生态系统及影响分析</w:t>
            </w:r>
          </w:p>
          <w:p>
            <w:pPr>
              <w:spacing w:line="360" w:lineRule="auto"/>
              <w:ind w:firstLine="480" w:firstLineChars="200"/>
              <w:rPr>
                <w:color w:val="FF0000"/>
              </w:rPr>
            </w:pPr>
            <w:r>
              <w:rPr>
                <w:rFonts w:hint="eastAsia"/>
                <w:sz w:val="24"/>
              </w:rPr>
              <w:t>项目建成后为人工城市生态系统，会进一步加大区域人类活动的影响。本项目为房地产，不属于工业型行业，不会产生工业污染源，对现有生态系统中次生林和人工林面积不会产生负面影响，本项目的建成，落实海绵城市型调蓄水源方式，可最大限度提高水源涵养和土壤保持功能，施工和运营期通过采取合理防护措施，不会对现有生态系统造成明显影响，因此本项目建设对项目区所属的水源涵养与生物多样性保护重要区现存的生态问题不会带来加重影响。</w:t>
            </w:r>
          </w:p>
          <w:p>
            <w:pPr>
              <w:pStyle w:val="5"/>
              <w:spacing w:before="0" w:after="0"/>
              <w:ind w:firstLine="480" w:firstLineChars="200"/>
              <w:rPr>
                <w:rFonts w:ascii="Times New Roman" w:hAnsi="Times New Roman"/>
                <w:b w:val="0"/>
                <w:bCs w:val="0"/>
                <w:sz w:val="24"/>
                <w:szCs w:val="24"/>
              </w:rPr>
            </w:pPr>
            <w:r>
              <w:rPr>
                <w:rFonts w:hint="eastAsia" w:ascii="Times New Roman" w:hAnsi="Times New Roman"/>
                <w:b w:val="0"/>
                <w:bCs w:val="0"/>
                <w:sz w:val="24"/>
                <w:szCs w:val="24"/>
              </w:rPr>
              <w:t>（1）植被及植物多样性影响分析</w:t>
            </w:r>
          </w:p>
          <w:p>
            <w:pPr>
              <w:spacing w:line="360" w:lineRule="auto"/>
              <w:ind w:firstLine="480" w:firstLineChars="200"/>
              <w:rPr>
                <w:sz w:val="24"/>
              </w:rPr>
            </w:pPr>
            <w:r>
              <w:rPr>
                <w:rFonts w:hint="eastAsia"/>
                <w:sz w:val="24"/>
              </w:rPr>
              <w:t>施工通过对占地区域进行绿化景观建设，形成人工城市生态系统，项目规划建设为生态型居民小区，项目良好的景观绿地系统对营运期植物具有正效应。营运期对植被及植物多样性无明显影响。</w:t>
            </w:r>
          </w:p>
          <w:p>
            <w:pPr>
              <w:pStyle w:val="5"/>
              <w:spacing w:before="0" w:after="0"/>
              <w:ind w:firstLine="480" w:firstLineChars="200"/>
              <w:rPr>
                <w:rFonts w:ascii="Times New Roman" w:hAnsi="Times New Roman"/>
                <w:b w:val="0"/>
                <w:bCs w:val="0"/>
                <w:sz w:val="24"/>
                <w:szCs w:val="24"/>
              </w:rPr>
            </w:pPr>
            <w:r>
              <w:rPr>
                <w:rFonts w:hint="eastAsia" w:ascii="Times New Roman" w:hAnsi="Times New Roman"/>
                <w:b w:val="0"/>
                <w:bCs w:val="0"/>
                <w:sz w:val="24"/>
                <w:szCs w:val="24"/>
              </w:rPr>
              <w:t>（2）</w:t>
            </w:r>
            <w:r>
              <w:rPr>
                <w:rFonts w:ascii="Times New Roman" w:hAnsi="Times New Roman"/>
                <w:b w:val="0"/>
                <w:bCs w:val="0"/>
                <w:sz w:val="24"/>
                <w:szCs w:val="24"/>
              </w:rPr>
              <w:t>动物多样性影响分析</w:t>
            </w:r>
          </w:p>
          <w:p>
            <w:pPr>
              <w:autoSpaceDE w:val="0"/>
              <w:autoSpaceDN w:val="0"/>
              <w:spacing w:line="360" w:lineRule="auto"/>
              <w:ind w:firstLine="480" w:firstLineChars="200"/>
              <w:rPr>
                <w:sz w:val="24"/>
              </w:rPr>
            </w:pPr>
            <w:r>
              <w:rPr>
                <w:rFonts w:hint="eastAsia"/>
                <w:sz w:val="24"/>
              </w:rPr>
              <w:t>项目建成后，随着项目绿化和景观工程的建成，部分野生动物，尤其是鸟类还会重新出现在该区域内，如岳阳楼风景区内常见的家燕、金腰燕等林鸟鸟类。</w:t>
            </w:r>
          </w:p>
          <w:p>
            <w:pPr>
              <w:autoSpaceDE w:val="0"/>
              <w:autoSpaceDN w:val="0"/>
              <w:spacing w:line="360" w:lineRule="auto"/>
              <w:ind w:firstLine="480" w:firstLineChars="200"/>
              <w:rPr>
                <w:iCs/>
                <w:sz w:val="24"/>
              </w:rPr>
            </w:pPr>
            <w:r>
              <w:rPr>
                <w:rFonts w:hint="eastAsia"/>
                <w:sz w:val="24"/>
              </w:rPr>
              <w:t>项目建成后，将一定程度上由于现状生态景观系统，内部建设丰富的绿化景观，在配置中充分考虑植物的层次感，种植适应岳阳市气候和土壤条件的植物，并采用乔木、灌木、草地等相结合的复层绿化。而这些绿化景观能吸引大部分城市型鸟类回归项目占地区域，丰富项目所在区域的动物资源。</w:t>
            </w:r>
          </w:p>
          <w:p>
            <w:pPr>
              <w:pStyle w:val="2"/>
              <w:ind w:firstLine="480"/>
            </w:pPr>
            <w:bookmarkStart w:id="5" w:name="_Toc4491202"/>
            <w:bookmarkStart w:id="6" w:name="_Toc5953858"/>
            <w:r>
              <w:rPr>
                <w:rFonts w:hint="eastAsia"/>
              </w:rPr>
              <w:t>（3）景观生态影响完整性分析</w:t>
            </w:r>
            <w:bookmarkEnd w:id="5"/>
            <w:bookmarkEnd w:id="6"/>
          </w:p>
          <w:p>
            <w:pPr>
              <w:spacing w:line="360" w:lineRule="auto"/>
              <w:ind w:firstLine="480" w:firstLineChars="200"/>
              <w:rPr>
                <w:sz w:val="24"/>
              </w:rPr>
            </w:pPr>
            <w:r>
              <w:rPr>
                <w:rFonts w:hint="eastAsia"/>
                <w:sz w:val="24"/>
              </w:rPr>
              <w:t>工程征地区域内现状占地类型为建设用地，占地区域不涉及生态防护用地和基本农田用地，对区域生态系统功能与完整性无明显影响。</w:t>
            </w:r>
          </w:p>
          <w:p>
            <w:pPr>
              <w:pStyle w:val="2"/>
              <w:ind w:firstLine="480"/>
            </w:pPr>
            <w:r>
              <w:rPr>
                <w:rFonts w:hint="eastAsia"/>
              </w:rPr>
              <w:t>（4）对生态系统稳定性的影响</w:t>
            </w:r>
          </w:p>
          <w:p>
            <w:pPr>
              <w:spacing w:line="360" w:lineRule="auto"/>
              <w:ind w:firstLine="480" w:firstLineChars="200"/>
              <w:rPr>
                <w:sz w:val="24"/>
              </w:rPr>
            </w:pPr>
            <w:r>
              <w:rPr>
                <w:rFonts w:hint="eastAsia"/>
                <w:sz w:val="24"/>
              </w:rPr>
              <w:t>自然生态系统的恢复稳定性，可根据植被净生产力的多少来度量。如果植被净生产力高，则其恢复稳定性越强，反之则越弱。工程建设过程中，占用了原有土地，对生态系统的恢复稳定性产生了一定的影响。但项目建成的人工生态系统对现有本身的城市生态系统稳定性基本无影响。工程建成和运行时，会对区域自然体系的景观异质性程度有一定影响，但工程完</w:t>
            </w:r>
            <w:r>
              <w:rPr>
                <w:rFonts w:hint="eastAsia"/>
                <w:sz w:val="24"/>
                <w:lang w:eastAsia="zh-CN"/>
              </w:rPr>
              <w:t>成</w:t>
            </w:r>
            <w:r>
              <w:rPr>
                <w:rFonts w:hint="eastAsia"/>
                <w:sz w:val="24"/>
              </w:rPr>
              <w:t>进行美观园林绿化其占地得以恢复后，其影响不大。</w:t>
            </w:r>
          </w:p>
          <w:p>
            <w:pPr>
              <w:pStyle w:val="2"/>
              <w:ind w:firstLine="480"/>
            </w:pPr>
            <w:r>
              <w:rPr>
                <w:rFonts w:hint="eastAsia"/>
              </w:rPr>
              <w:t>（5）对景观生态体系质量的影响</w:t>
            </w:r>
          </w:p>
          <w:p>
            <w:pPr>
              <w:spacing w:line="360" w:lineRule="auto"/>
              <w:ind w:firstLine="480" w:firstLineChars="200"/>
              <w:rPr>
                <w:sz w:val="24"/>
              </w:rPr>
            </w:pPr>
            <w:r>
              <w:rPr>
                <w:rFonts w:hint="eastAsia"/>
                <w:sz w:val="24"/>
              </w:rPr>
              <w:t>工程不涉及岳阳楼景区现有湿地生态系统，对整体保护区的景观体系基本无影响。</w:t>
            </w:r>
          </w:p>
          <w:p>
            <w:pPr>
              <w:pStyle w:val="2"/>
              <w:ind w:firstLine="480"/>
              <w:rPr>
                <w:b/>
                <w:bCs/>
              </w:rPr>
            </w:pPr>
            <w:r>
              <w:rPr>
                <w:rFonts w:hint="eastAsia"/>
                <w:b/>
                <w:bCs/>
              </w:rPr>
              <w:t>二、生态问题影响趋势分析</w:t>
            </w:r>
          </w:p>
          <w:p>
            <w:pPr>
              <w:spacing w:line="360" w:lineRule="auto"/>
              <w:ind w:firstLine="480" w:firstLineChars="200"/>
            </w:pPr>
            <w:r>
              <w:rPr>
                <w:rFonts w:hint="eastAsia"/>
                <w:sz w:val="24"/>
              </w:rPr>
              <w:t>项目建成后为人工城市生态系统，会进一步加大区域人类活动的影响，本项目的建成，落实海绵城市型调蓄水源方式，可最大限度提高水源涵养和土壤保持功能，施工和运营期通过采取合理防护措施，不会对现有生态系统造成明显影响，因此本项目建设对项目区所属的水源涵养与生物多样性保护重要区现存的生态问题不会带来加重影响。</w:t>
            </w:r>
          </w:p>
          <w:p>
            <w:pPr>
              <w:pStyle w:val="9"/>
              <w:tabs>
                <w:tab w:val="left" w:pos="780"/>
              </w:tabs>
              <w:spacing w:after="0" w:line="360" w:lineRule="auto"/>
              <w:ind w:left="0" w:leftChars="0"/>
              <w:outlineLvl w:val="2"/>
              <w:rPr>
                <w:b/>
                <w:bCs/>
                <w:sz w:val="28"/>
                <w:szCs w:val="21"/>
              </w:rPr>
            </w:pPr>
            <w:r>
              <w:rPr>
                <w:rFonts w:hint="eastAsia"/>
                <w:b/>
                <w:bCs/>
                <w:sz w:val="28"/>
                <w:szCs w:val="21"/>
              </w:rPr>
              <w:t>本项目涉及污染物的影响分析如下：</w:t>
            </w:r>
          </w:p>
          <w:p>
            <w:pPr>
              <w:pStyle w:val="2"/>
              <w:ind w:firstLine="482"/>
            </w:pPr>
            <w:r>
              <w:rPr>
                <w:rFonts w:hint="eastAsia"/>
                <w:b/>
                <w:bCs/>
              </w:rPr>
              <w:t>一、</w:t>
            </w:r>
            <w:r>
              <w:rPr>
                <w:b/>
                <w:bCs/>
                <w:kern w:val="24"/>
              </w:rPr>
              <w:t>运营期废</w:t>
            </w:r>
            <w:r>
              <w:rPr>
                <w:rFonts w:hint="eastAsia"/>
                <w:b/>
                <w:bCs/>
                <w:kern w:val="24"/>
              </w:rPr>
              <w:t>气</w:t>
            </w:r>
            <w:r>
              <w:rPr>
                <w:b/>
                <w:bCs/>
              </w:rPr>
              <w:t>环境影响</w:t>
            </w:r>
            <w:r>
              <w:rPr>
                <w:rFonts w:hint="eastAsia"/>
                <w:b/>
                <w:bCs/>
              </w:rPr>
              <w:t>分析</w:t>
            </w:r>
          </w:p>
          <w:p>
            <w:pPr>
              <w:pStyle w:val="9"/>
              <w:tabs>
                <w:tab w:val="left" w:pos="780"/>
              </w:tabs>
              <w:spacing w:after="0" w:line="360" w:lineRule="auto"/>
              <w:ind w:left="0" w:leftChars="0" w:firstLine="480" w:firstLineChars="200"/>
              <w:outlineLvl w:val="2"/>
              <w:rPr>
                <w:bCs/>
                <w:kern w:val="24"/>
              </w:rPr>
            </w:pPr>
            <w:r>
              <w:rPr>
                <w:bCs/>
                <w:kern w:val="24"/>
              </w:rPr>
              <w:t>项目废气主要来源于</w:t>
            </w:r>
            <w:r>
              <w:rPr>
                <w:rFonts w:hint="eastAsia"/>
                <w:bCs/>
                <w:kern w:val="24"/>
              </w:rPr>
              <w:t>幼儿园和</w:t>
            </w:r>
            <w:r>
              <w:rPr>
                <w:bCs/>
                <w:kern w:val="24"/>
              </w:rPr>
              <w:t>居住生活区的居民厨房</w:t>
            </w:r>
            <w:r>
              <w:rPr>
                <w:rFonts w:hint="eastAsia"/>
                <w:bCs/>
                <w:kern w:val="24"/>
              </w:rPr>
              <w:t>饮食</w:t>
            </w:r>
            <w:r>
              <w:rPr>
                <w:bCs/>
                <w:kern w:val="24"/>
              </w:rPr>
              <w:t>油烟废气、</w:t>
            </w:r>
            <w:r>
              <w:rPr>
                <w:rFonts w:hint="eastAsia"/>
                <w:bCs/>
                <w:kern w:val="24"/>
              </w:rPr>
              <w:t>燃料燃烧废气、机动车</w:t>
            </w:r>
            <w:r>
              <w:rPr>
                <w:bCs/>
                <w:kern w:val="24"/>
              </w:rPr>
              <w:t>尾气、垃圾</w:t>
            </w:r>
            <w:r>
              <w:rPr>
                <w:rFonts w:hint="eastAsia"/>
                <w:bCs/>
                <w:kern w:val="24"/>
              </w:rPr>
              <w:t>集中收集点、</w:t>
            </w:r>
            <w:r>
              <w:rPr>
                <w:bCs/>
                <w:kern w:val="24"/>
              </w:rPr>
              <w:t>公厕恶臭气体</w:t>
            </w:r>
            <w:r>
              <w:rPr>
                <w:rFonts w:hint="eastAsia"/>
                <w:bCs/>
                <w:kern w:val="24"/>
              </w:rPr>
              <w:t>。</w:t>
            </w:r>
          </w:p>
          <w:p>
            <w:pPr>
              <w:pStyle w:val="9"/>
              <w:tabs>
                <w:tab w:val="left" w:pos="780"/>
              </w:tabs>
              <w:spacing w:after="0" w:line="360" w:lineRule="auto"/>
              <w:ind w:left="0" w:leftChars="0" w:firstLine="482" w:firstLineChars="200"/>
              <w:outlineLvl w:val="2"/>
              <w:rPr>
                <w:b/>
                <w:kern w:val="24"/>
              </w:rPr>
            </w:pPr>
            <w:r>
              <w:rPr>
                <w:b/>
                <w:kern w:val="24"/>
              </w:rPr>
              <w:t>1、</w:t>
            </w:r>
            <w:r>
              <w:rPr>
                <w:rFonts w:hint="eastAsia"/>
                <w:b/>
                <w:kern w:val="24"/>
              </w:rPr>
              <w:t>幼儿园和居民厨房饮食</w:t>
            </w:r>
            <w:r>
              <w:rPr>
                <w:b/>
                <w:kern w:val="24"/>
              </w:rPr>
              <w:t>油烟废气</w:t>
            </w:r>
          </w:p>
          <w:p>
            <w:pPr>
              <w:pStyle w:val="2"/>
              <w:ind w:firstLine="480" w:firstLineChars="0"/>
              <w:rPr>
                <w:rFonts w:hAnsi="宋体"/>
              </w:rPr>
            </w:pPr>
            <w:r>
              <w:t>根据项目初步概念性设计，</w:t>
            </w:r>
            <w:r>
              <w:rPr>
                <w:rFonts w:hint="eastAsia"/>
                <w:lang w:val="en-US" w:eastAsia="zh-CN"/>
              </w:rPr>
              <w:t>02#地块</w:t>
            </w:r>
            <w:r>
              <w:t>工程配套建设</w:t>
            </w:r>
            <w:r>
              <w:rPr>
                <w:rFonts w:hint="eastAsia"/>
              </w:rPr>
              <w:t>一个九班制</w:t>
            </w:r>
            <w:r>
              <w:t>幼儿园</w:t>
            </w:r>
            <w:r>
              <w:rPr>
                <w:rFonts w:hint="eastAsia"/>
              </w:rPr>
              <w:t>，大约300人，上学时间为270天，</w:t>
            </w:r>
            <w:r>
              <w:rPr>
                <w:rFonts w:hint="eastAsia" w:hAnsi="宋体"/>
              </w:rPr>
              <w:t>根据类比调查，目前居民人均日食用油用量约</w:t>
            </w:r>
            <w:r>
              <w:t>30g/</w:t>
            </w:r>
            <w:r>
              <w:rPr>
                <w:rFonts w:hAnsi="宋体"/>
              </w:rPr>
              <w:t>人</w:t>
            </w:r>
            <w:r>
              <w:t>·d</w:t>
            </w:r>
            <w:r>
              <w:rPr>
                <w:rFonts w:hint="eastAsia"/>
              </w:rPr>
              <w:t>，因幼儿园学生食量较小，则本项目幼儿园中人员日均食用油用量按20</w:t>
            </w:r>
            <w:r>
              <w:t>g/</w:t>
            </w:r>
            <w:r>
              <w:rPr>
                <w:rFonts w:hAnsi="宋体"/>
              </w:rPr>
              <w:t>人</w:t>
            </w:r>
            <w:r>
              <w:t>·d</w:t>
            </w:r>
            <w:r>
              <w:rPr>
                <w:rFonts w:hint="eastAsia"/>
              </w:rPr>
              <w:t>计，本项目幼儿园人员耗油量为6kg/d（1.62t/a），</w:t>
            </w:r>
            <w:r>
              <w:rPr>
                <w:rFonts w:hAnsi="宋体"/>
              </w:rPr>
              <w:t>一般油烟挥发量占总耗油量的</w:t>
            </w:r>
            <w:r>
              <w:t>2</w:t>
            </w:r>
            <w:r>
              <w:rPr>
                <w:rFonts w:hAnsi="宋体"/>
              </w:rPr>
              <w:t>～</w:t>
            </w:r>
            <w:r>
              <w:t>4%</w:t>
            </w:r>
            <w:r>
              <w:rPr>
                <w:rFonts w:hAnsi="宋体"/>
              </w:rPr>
              <w:t>，挥发量以</w:t>
            </w:r>
            <w:r>
              <w:t>2.5</w:t>
            </w:r>
            <w:r>
              <w:rPr>
                <w:rFonts w:hAnsi="宋体"/>
              </w:rPr>
              <w:t>％计</w:t>
            </w:r>
            <w:r>
              <w:rPr>
                <w:rFonts w:hint="eastAsia" w:hAnsi="宋体"/>
              </w:rPr>
              <w:t>，则</w:t>
            </w:r>
            <w:r>
              <w:rPr>
                <w:rFonts w:hint="eastAsia"/>
              </w:rPr>
              <w:t>幼儿园</w:t>
            </w:r>
            <w:r>
              <w:t>厨房油烟产生量</w:t>
            </w:r>
            <w:r>
              <w:rPr>
                <w:rFonts w:hint="eastAsia"/>
              </w:rPr>
              <w:t>为0.15</w:t>
            </w:r>
            <w:r>
              <w:t>kg/d</w:t>
            </w:r>
            <w:r>
              <w:rPr>
                <w:rFonts w:hint="eastAsia"/>
              </w:rPr>
              <w:t>（0.04t/a）。</w:t>
            </w:r>
            <w:r>
              <w:t>食堂设置</w:t>
            </w:r>
            <w:r>
              <w:rPr>
                <w:rFonts w:hint="eastAsia"/>
              </w:rPr>
              <w:t>3</w:t>
            </w:r>
            <w:r>
              <w:t>个灶头，每天平均使用时间</w:t>
            </w:r>
            <w:r>
              <w:rPr>
                <w:rFonts w:hint="eastAsia"/>
              </w:rPr>
              <w:t>3</w:t>
            </w:r>
            <w:r>
              <w:t>h（早、中）。根据《饮食业油烟排放标准（试行）》（GB 18483-2001），单个灶头基准排风量为2000m</w:t>
            </w:r>
            <w:r>
              <w:rPr>
                <w:vertAlign w:val="superscript"/>
              </w:rPr>
              <w:t>3</w:t>
            </w:r>
            <w:r>
              <w:t>/h，则幼儿园</w:t>
            </w:r>
            <w:r>
              <w:rPr>
                <w:rFonts w:hint="eastAsia"/>
              </w:rPr>
              <w:t>油烟排气量共6000</w:t>
            </w:r>
            <w:r>
              <w:t>m</w:t>
            </w:r>
            <w:r>
              <w:rPr>
                <w:vertAlign w:val="superscript"/>
              </w:rPr>
              <w:t>3</w:t>
            </w:r>
            <w:r>
              <w:t>/h</w:t>
            </w:r>
            <w:r>
              <w:rPr>
                <w:rFonts w:hint="eastAsia"/>
              </w:rPr>
              <w:t>，</w:t>
            </w:r>
            <w:r>
              <w:t>油烟产生浓度为</w:t>
            </w:r>
            <w:r>
              <w:rPr>
                <w:rFonts w:hint="eastAsia"/>
              </w:rPr>
              <w:t>8.3</w:t>
            </w:r>
            <w:r>
              <w:t>mg/m</w:t>
            </w:r>
            <w:r>
              <w:rPr>
                <w:vertAlign w:val="superscript"/>
              </w:rPr>
              <w:t>3</w:t>
            </w:r>
            <w:r>
              <w:t>。拟采用静电式油烟净化器处理，净化率高达</w:t>
            </w:r>
            <w:r>
              <w:rPr>
                <w:rFonts w:hint="eastAsia"/>
              </w:rPr>
              <w:t>80</w:t>
            </w:r>
            <w:r>
              <w:t>%，则油烟排放量为</w:t>
            </w:r>
            <w:r>
              <w:rPr>
                <w:rFonts w:hint="eastAsia"/>
              </w:rPr>
              <w:t>0.03</w:t>
            </w:r>
            <w:r>
              <w:t>kg/d（</w:t>
            </w:r>
            <w:r>
              <w:rPr>
                <w:rFonts w:hint="eastAsia"/>
              </w:rPr>
              <w:t>0.0081</w:t>
            </w:r>
            <w:r>
              <w:t>t/a），油烟排放浓度为</w:t>
            </w:r>
            <w:r>
              <w:rPr>
                <w:rFonts w:hint="eastAsia"/>
              </w:rPr>
              <w:t>1.66</w:t>
            </w:r>
            <w:r>
              <w:t>mg/m</w:t>
            </w:r>
            <w:r>
              <w:rPr>
                <w:vertAlign w:val="superscript"/>
              </w:rPr>
              <w:t>3</w:t>
            </w:r>
            <w:r>
              <w:t>。</w:t>
            </w:r>
          </w:p>
          <w:p>
            <w:pPr>
              <w:spacing w:line="360" w:lineRule="auto"/>
              <w:ind w:firstLine="480" w:firstLineChars="200"/>
              <w:rPr>
                <w:rFonts w:hint="eastAsia"/>
                <w:sz w:val="24"/>
                <w:lang w:eastAsia="zh-CN"/>
              </w:rPr>
            </w:pPr>
            <w:r>
              <w:rPr>
                <w:rFonts w:hAnsi="宋体"/>
                <w:sz w:val="24"/>
              </w:rPr>
              <w:t>居民日常生活在食物烹饪、加工过程中挥发的油脂、有机质及热分解或裂解，从而产生油烟废气。本项目共有居民人数</w:t>
            </w:r>
            <w:r>
              <w:rPr>
                <w:rFonts w:hint="eastAsia" w:hAnsi="宋体"/>
                <w:sz w:val="24"/>
              </w:rPr>
              <w:t>2044户（</w:t>
            </w:r>
            <w:r>
              <w:rPr>
                <w:rFonts w:hint="eastAsia"/>
                <w:sz w:val="24"/>
              </w:rPr>
              <w:t>6541</w:t>
            </w:r>
            <w:r>
              <w:rPr>
                <w:rFonts w:hint="eastAsia" w:hAnsi="宋体"/>
                <w:sz w:val="24"/>
              </w:rPr>
              <w:t>人），</w:t>
            </w:r>
            <w:r>
              <w:rPr>
                <w:rFonts w:hint="eastAsia" w:hAnsi="宋体"/>
                <w:sz w:val="24"/>
                <w:lang w:eastAsia="zh-CN"/>
              </w:rPr>
              <w:t>其中，</w:t>
            </w:r>
            <w:r>
              <w:rPr>
                <w:rFonts w:hint="eastAsia" w:hAnsi="宋体"/>
                <w:sz w:val="24"/>
                <w:lang w:val="en-US" w:eastAsia="zh-CN"/>
              </w:rPr>
              <w:t>02</w:t>
            </w:r>
            <w:r>
              <w:rPr>
                <w:rFonts w:hint="eastAsia"/>
                <w:lang w:val="en-US" w:eastAsia="zh-CN"/>
              </w:rPr>
              <w:t>#</w:t>
            </w:r>
            <w:r>
              <w:rPr>
                <w:rFonts w:hint="eastAsia" w:hAnsi="宋体"/>
                <w:sz w:val="24"/>
                <w:lang w:val="en-US" w:eastAsia="zh-CN"/>
              </w:rPr>
              <w:t>地块居民人数1128户（3610人），03#地块居民人数916户（2931人），</w:t>
            </w:r>
            <w:r>
              <w:rPr>
                <w:rFonts w:hint="eastAsia" w:hAnsi="宋体"/>
                <w:sz w:val="24"/>
              </w:rPr>
              <w:t>根据类比调查，目前居民人均日食用油用量约</w:t>
            </w:r>
            <w:r>
              <w:rPr>
                <w:sz w:val="24"/>
              </w:rPr>
              <w:t>30g/</w:t>
            </w:r>
            <w:r>
              <w:rPr>
                <w:rFonts w:hAnsi="宋体"/>
                <w:sz w:val="24"/>
              </w:rPr>
              <w:t>人</w:t>
            </w:r>
            <w:r>
              <w:rPr>
                <w:sz w:val="24"/>
              </w:rPr>
              <w:t>·d</w:t>
            </w:r>
            <w:r>
              <w:rPr>
                <w:rFonts w:hint="eastAsia"/>
                <w:sz w:val="24"/>
              </w:rPr>
              <w:t>，</w:t>
            </w:r>
            <w:r>
              <w:rPr>
                <w:kern w:val="0"/>
                <w:sz w:val="24"/>
              </w:rPr>
              <w:t>则本项目</w:t>
            </w:r>
            <w:r>
              <w:rPr>
                <w:rFonts w:hint="eastAsia"/>
                <w:kern w:val="0"/>
                <w:sz w:val="24"/>
                <w:lang w:val="en-US" w:eastAsia="zh-CN"/>
              </w:rPr>
              <w:t>02#地块</w:t>
            </w:r>
            <w:r>
              <w:rPr>
                <w:kern w:val="0"/>
                <w:sz w:val="24"/>
              </w:rPr>
              <w:t>居民耗油量为</w:t>
            </w:r>
            <w:r>
              <w:rPr>
                <w:rFonts w:hint="eastAsia"/>
                <w:kern w:val="0"/>
                <w:sz w:val="24"/>
                <w:lang w:val="en-US" w:eastAsia="zh-CN"/>
              </w:rPr>
              <w:t>108.3</w:t>
            </w:r>
            <w:r>
              <w:rPr>
                <w:sz w:val="24"/>
              </w:rPr>
              <w:t>kg/d</w:t>
            </w:r>
            <w:r>
              <w:rPr>
                <w:rFonts w:hint="eastAsia"/>
                <w:kern w:val="0"/>
                <w:sz w:val="24"/>
              </w:rPr>
              <w:t>（</w:t>
            </w:r>
            <w:r>
              <w:rPr>
                <w:rFonts w:hint="eastAsia"/>
                <w:kern w:val="0"/>
                <w:sz w:val="24"/>
                <w:lang w:val="en-US" w:eastAsia="zh-CN"/>
              </w:rPr>
              <w:t>39.53</w:t>
            </w:r>
            <w:r>
              <w:rPr>
                <w:kern w:val="0"/>
                <w:sz w:val="24"/>
              </w:rPr>
              <w:t>t/a</w:t>
            </w:r>
            <w:r>
              <w:rPr>
                <w:rFonts w:hint="eastAsia"/>
                <w:kern w:val="0"/>
                <w:sz w:val="24"/>
              </w:rPr>
              <w:t>）</w:t>
            </w:r>
            <w:r>
              <w:rPr>
                <w:rFonts w:hint="eastAsia"/>
                <w:kern w:val="0"/>
                <w:sz w:val="24"/>
                <w:lang w:eastAsia="zh-CN"/>
              </w:rPr>
              <w:t>；</w:t>
            </w:r>
            <w:r>
              <w:rPr>
                <w:rFonts w:hint="eastAsia"/>
                <w:kern w:val="0"/>
                <w:sz w:val="24"/>
                <w:lang w:val="en-US" w:eastAsia="zh-CN"/>
              </w:rPr>
              <w:t>03#地块</w:t>
            </w:r>
            <w:r>
              <w:rPr>
                <w:kern w:val="0"/>
                <w:sz w:val="24"/>
              </w:rPr>
              <w:t>居民耗油量为</w:t>
            </w:r>
            <w:r>
              <w:rPr>
                <w:rFonts w:hint="eastAsia"/>
                <w:kern w:val="0"/>
                <w:sz w:val="24"/>
                <w:lang w:val="en-US" w:eastAsia="zh-CN"/>
              </w:rPr>
              <w:t xml:space="preserve">87.93 </w:t>
            </w:r>
            <w:r>
              <w:rPr>
                <w:sz w:val="24"/>
              </w:rPr>
              <w:t>kg/d</w:t>
            </w:r>
            <w:r>
              <w:rPr>
                <w:rFonts w:hint="eastAsia"/>
                <w:kern w:val="0"/>
                <w:sz w:val="24"/>
              </w:rPr>
              <w:t>（</w:t>
            </w:r>
            <w:r>
              <w:rPr>
                <w:rFonts w:hint="eastAsia"/>
                <w:kern w:val="0"/>
                <w:sz w:val="24"/>
                <w:lang w:val="en-US" w:eastAsia="zh-CN"/>
              </w:rPr>
              <w:t xml:space="preserve">32.09 </w:t>
            </w:r>
            <w:r>
              <w:rPr>
                <w:kern w:val="0"/>
                <w:sz w:val="24"/>
              </w:rPr>
              <w:t>t/a</w:t>
            </w:r>
            <w:r>
              <w:rPr>
                <w:rFonts w:hint="eastAsia"/>
                <w:kern w:val="0"/>
                <w:sz w:val="24"/>
              </w:rPr>
              <w:t>）</w:t>
            </w:r>
            <w:r>
              <w:rPr>
                <w:rFonts w:hint="eastAsia"/>
                <w:kern w:val="0"/>
                <w:sz w:val="24"/>
                <w:lang w:eastAsia="zh-CN"/>
              </w:rPr>
              <w:t>。</w:t>
            </w:r>
            <w:r>
              <w:rPr>
                <w:rFonts w:hAnsi="宋体"/>
                <w:sz w:val="24"/>
              </w:rPr>
              <w:t>一般油烟挥发量占总耗油量的</w:t>
            </w:r>
            <w:r>
              <w:rPr>
                <w:sz w:val="24"/>
              </w:rPr>
              <w:t>2</w:t>
            </w:r>
            <w:r>
              <w:rPr>
                <w:rFonts w:hAnsi="宋体"/>
                <w:sz w:val="24"/>
              </w:rPr>
              <w:t>～</w:t>
            </w:r>
            <w:r>
              <w:rPr>
                <w:sz w:val="24"/>
              </w:rPr>
              <w:t>4%</w:t>
            </w:r>
            <w:r>
              <w:rPr>
                <w:rFonts w:hAnsi="宋体"/>
                <w:sz w:val="24"/>
              </w:rPr>
              <w:t>，挥发量以</w:t>
            </w:r>
            <w:r>
              <w:rPr>
                <w:sz w:val="24"/>
              </w:rPr>
              <w:t>2.5</w:t>
            </w:r>
            <w:r>
              <w:rPr>
                <w:rFonts w:hAnsi="宋体"/>
                <w:sz w:val="24"/>
              </w:rPr>
              <w:t>％计。</w:t>
            </w:r>
            <w:r>
              <w:rPr>
                <w:rFonts w:hint="eastAsia" w:hAnsi="宋体"/>
                <w:sz w:val="24"/>
              </w:rPr>
              <w:t>则</w:t>
            </w:r>
            <w:r>
              <w:rPr>
                <w:rFonts w:hint="eastAsia" w:hAnsi="宋体"/>
                <w:sz w:val="24"/>
                <w:lang w:val="en-US" w:eastAsia="zh-CN"/>
              </w:rPr>
              <w:t>02#地块</w:t>
            </w:r>
            <w:r>
              <w:rPr>
                <w:sz w:val="24"/>
              </w:rPr>
              <w:t>住宅厨房油烟产生量</w:t>
            </w:r>
            <w:r>
              <w:rPr>
                <w:rFonts w:hint="eastAsia"/>
                <w:sz w:val="24"/>
              </w:rPr>
              <w:t>为</w:t>
            </w:r>
            <w:r>
              <w:rPr>
                <w:rFonts w:hint="eastAsia"/>
                <w:sz w:val="24"/>
                <w:lang w:val="en-US" w:eastAsia="zh-CN"/>
              </w:rPr>
              <w:t>2.71</w:t>
            </w:r>
            <w:r>
              <w:rPr>
                <w:sz w:val="24"/>
              </w:rPr>
              <w:t>kg/d（</w:t>
            </w:r>
            <w:r>
              <w:rPr>
                <w:rFonts w:hint="eastAsia"/>
                <w:sz w:val="24"/>
                <w:lang w:val="en-US" w:eastAsia="zh-CN"/>
              </w:rPr>
              <w:t>0.99</w:t>
            </w:r>
            <w:r>
              <w:rPr>
                <w:sz w:val="24"/>
              </w:rPr>
              <w:t>t/a）</w:t>
            </w:r>
            <w:r>
              <w:rPr>
                <w:rFonts w:hint="eastAsia"/>
                <w:sz w:val="24"/>
                <w:lang w:eastAsia="zh-CN"/>
              </w:rPr>
              <w:t>，</w:t>
            </w:r>
            <w:r>
              <w:rPr>
                <w:rFonts w:hint="eastAsia" w:hAnsi="宋体"/>
                <w:sz w:val="24"/>
                <w:lang w:val="en-US" w:eastAsia="zh-CN"/>
              </w:rPr>
              <w:t>03#地块</w:t>
            </w:r>
            <w:r>
              <w:rPr>
                <w:sz w:val="24"/>
              </w:rPr>
              <w:t>住宅厨房油烟产生量</w:t>
            </w:r>
            <w:r>
              <w:rPr>
                <w:rFonts w:hint="eastAsia"/>
                <w:sz w:val="24"/>
              </w:rPr>
              <w:t>为</w:t>
            </w:r>
            <w:r>
              <w:rPr>
                <w:rFonts w:hint="eastAsia"/>
                <w:sz w:val="24"/>
                <w:lang w:val="en-US" w:eastAsia="zh-CN"/>
              </w:rPr>
              <w:t xml:space="preserve">2.198 </w:t>
            </w:r>
            <w:r>
              <w:rPr>
                <w:sz w:val="24"/>
              </w:rPr>
              <w:t>kg/d（</w:t>
            </w:r>
            <w:r>
              <w:rPr>
                <w:rFonts w:hint="eastAsia"/>
                <w:sz w:val="24"/>
                <w:lang w:val="en-US" w:eastAsia="zh-CN"/>
              </w:rPr>
              <w:t>0.8</w:t>
            </w:r>
            <w:r>
              <w:rPr>
                <w:sz w:val="24"/>
              </w:rPr>
              <w:t>t/a）</w:t>
            </w:r>
            <w:r>
              <w:rPr>
                <w:rFonts w:hint="eastAsia"/>
                <w:sz w:val="24"/>
                <w:lang w:eastAsia="zh-CN"/>
              </w:rPr>
              <w:t>，</w:t>
            </w:r>
            <w:r>
              <w:rPr>
                <w:sz w:val="24"/>
              </w:rPr>
              <w:t>按照类比资料，</w:t>
            </w:r>
            <w:r>
              <w:rPr>
                <w:rFonts w:hint="eastAsia"/>
                <w:sz w:val="24"/>
              </w:rPr>
              <w:t>一般小区</w:t>
            </w:r>
            <w:r>
              <w:rPr>
                <w:sz w:val="24"/>
              </w:rPr>
              <w:t>家庭灶头排风量为500m</w:t>
            </w:r>
            <w:r>
              <w:rPr>
                <w:sz w:val="24"/>
                <w:vertAlign w:val="superscript"/>
              </w:rPr>
              <w:t>3</w:t>
            </w:r>
            <w:r>
              <w:rPr>
                <w:sz w:val="24"/>
              </w:rPr>
              <w:t>/h，</w:t>
            </w:r>
            <w:r>
              <w:rPr>
                <w:rFonts w:hint="eastAsia"/>
                <w:sz w:val="24"/>
                <w:lang w:val="en-US" w:eastAsia="zh-CN"/>
              </w:rPr>
              <w:t>02#地块住户油烟排气量为564000</w:t>
            </w:r>
            <w:r>
              <w:rPr>
                <w:sz w:val="24"/>
              </w:rPr>
              <w:t>m</w:t>
            </w:r>
            <w:r>
              <w:rPr>
                <w:sz w:val="24"/>
                <w:vertAlign w:val="superscript"/>
              </w:rPr>
              <w:t>3</w:t>
            </w:r>
            <w:r>
              <w:rPr>
                <w:sz w:val="24"/>
              </w:rPr>
              <w:t>/h，</w:t>
            </w:r>
            <w:r>
              <w:rPr>
                <w:rFonts w:hint="eastAsia"/>
                <w:sz w:val="24"/>
                <w:lang w:val="en-US" w:eastAsia="zh-CN"/>
              </w:rPr>
              <w:t>03#地块住户油烟排气量为458000</w:t>
            </w:r>
            <w:r>
              <w:rPr>
                <w:sz w:val="24"/>
              </w:rPr>
              <w:t>m</w:t>
            </w:r>
            <w:r>
              <w:rPr>
                <w:sz w:val="24"/>
                <w:vertAlign w:val="superscript"/>
              </w:rPr>
              <w:t>3</w:t>
            </w:r>
            <w:r>
              <w:rPr>
                <w:sz w:val="24"/>
              </w:rPr>
              <w:t>/h，工作时间每天按</w:t>
            </w:r>
            <w:r>
              <w:rPr>
                <w:rFonts w:hint="eastAsia"/>
                <w:sz w:val="24"/>
              </w:rPr>
              <w:t>2</w:t>
            </w:r>
            <w:r>
              <w:rPr>
                <w:sz w:val="24"/>
              </w:rPr>
              <w:t>h计，则</w:t>
            </w:r>
            <w:r>
              <w:rPr>
                <w:rFonts w:hint="eastAsia"/>
                <w:sz w:val="24"/>
                <w:lang w:val="en-US" w:eastAsia="zh-CN"/>
              </w:rPr>
              <w:t>02#地块</w:t>
            </w:r>
            <w:r>
              <w:rPr>
                <w:sz w:val="24"/>
              </w:rPr>
              <w:t>油烟产生浓度为</w:t>
            </w:r>
            <w:r>
              <w:rPr>
                <w:rFonts w:hint="eastAsia"/>
                <w:sz w:val="24"/>
              </w:rPr>
              <w:t>2.4</w:t>
            </w:r>
            <w:r>
              <w:rPr>
                <w:sz w:val="24"/>
              </w:rPr>
              <w:t>mg/m</w:t>
            </w:r>
            <w:r>
              <w:rPr>
                <w:sz w:val="24"/>
                <w:vertAlign w:val="superscript"/>
              </w:rPr>
              <w:t>3</w:t>
            </w:r>
            <w:r>
              <w:rPr>
                <w:rFonts w:hint="eastAsia"/>
                <w:sz w:val="24"/>
                <w:lang w:eastAsia="zh-CN"/>
              </w:rPr>
              <w:t>，</w:t>
            </w:r>
            <w:r>
              <w:rPr>
                <w:rFonts w:hint="eastAsia"/>
                <w:sz w:val="24"/>
                <w:lang w:val="en-US" w:eastAsia="zh-CN"/>
              </w:rPr>
              <w:t>03#地块</w:t>
            </w:r>
            <w:r>
              <w:rPr>
                <w:sz w:val="24"/>
              </w:rPr>
              <w:t>油烟产生浓度为</w:t>
            </w:r>
            <w:r>
              <w:rPr>
                <w:rFonts w:hint="eastAsia"/>
                <w:sz w:val="24"/>
                <w:lang w:val="en-US" w:eastAsia="zh-CN"/>
              </w:rPr>
              <w:t xml:space="preserve"> 2.4</w:t>
            </w:r>
            <w:r>
              <w:rPr>
                <w:sz w:val="24"/>
              </w:rPr>
              <w:t>mg/m</w:t>
            </w:r>
            <w:r>
              <w:rPr>
                <w:sz w:val="24"/>
                <w:vertAlign w:val="superscript"/>
              </w:rPr>
              <w:t>3</w:t>
            </w:r>
            <w:r>
              <w:rPr>
                <w:rFonts w:hint="eastAsia"/>
                <w:sz w:val="24"/>
                <w:lang w:eastAsia="zh-CN"/>
              </w:rPr>
              <w:t>。</w:t>
            </w:r>
            <w:r>
              <w:rPr>
                <w:sz w:val="24"/>
              </w:rPr>
              <w:t>住户厨房安装家用油烟净化机，油烟去除效率为60%，则</w:t>
            </w:r>
            <w:r>
              <w:rPr>
                <w:rFonts w:hint="eastAsia"/>
                <w:sz w:val="24"/>
                <w:lang w:val="en-US" w:eastAsia="zh-CN"/>
              </w:rPr>
              <w:t>02#地块</w:t>
            </w:r>
            <w:r>
              <w:rPr>
                <w:sz w:val="24"/>
              </w:rPr>
              <w:t>油烟排放量为</w:t>
            </w:r>
            <w:r>
              <w:rPr>
                <w:rFonts w:hint="eastAsia"/>
                <w:sz w:val="24"/>
                <w:lang w:val="en-US" w:eastAsia="zh-CN"/>
              </w:rPr>
              <w:t>1.084</w:t>
            </w:r>
            <w:r>
              <w:rPr>
                <w:sz w:val="24"/>
              </w:rPr>
              <w:t>kg/d（</w:t>
            </w:r>
            <w:r>
              <w:rPr>
                <w:rFonts w:hint="eastAsia"/>
                <w:sz w:val="24"/>
                <w:lang w:val="en-US" w:eastAsia="zh-CN"/>
              </w:rPr>
              <w:t>0.396</w:t>
            </w:r>
            <w:r>
              <w:rPr>
                <w:sz w:val="24"/>
              </w:rPr>
              <w:t>t/a），油烟排放浓度为</w:t>
            </w:r>
            <w:r>
              <w:rPr>
                <w:rFonts w:hint="eastAsia"/>
                <w:sz w:val="24"/>
                <w:lang w:val="en-US" w:eastAsia="zh-CN"/>
              </w:rPr>
              <w:t>0.96</w:t>
            </w:r>
            <w:r>
              <w:rPr>
                <w:sz w:val="24"/>
              </w:rPr>
              <w:t>mg/m</w:t>
            </w:r>
            <w:r>
              <w:rPr>
                <w:sz w:val="24"/>
                <w:vertAlign w:val="superscript"/>
              </w:rPr>
              <w:t>3</w:t>
            </w:r>
            <w:r>
              <w:rPr>
                <w:rFonts w:hint="eastAsia"/>
                <w:sz w:val="24"/>
                <w:lang w:eastAsia="zh-CN"/>
              </w:rPr>
              <w:t>；</w:t>
            </w:r>
            <w:r>
              <w:rPr>
                <w:rFonts w:hint="eastAsia"/>
                <w:sz w:val="24"/>
                <w:lang w:val="en-US" w:eastAsia="zh-CN"/>
              </w:rPr>
              <w:t>03#地块</w:t>
            </w:r>
            <w:r>
              <w:rPr>
                <w:sz w:val="24"/>
              </w:rPr>
              <w:t>油烟排放量为</w:t>
            </w:r>
            <w:r>
              <w:rPr>
                <w:rFonts w:hint="eastAsia"/>
                <w:sz w:val="24"/>
                <w:lang w:val="en-US" w:eastAsia="zh-CN"/>
              </w:rPr>
              <w:t>0.879</w:t>
            </w:r>
            <w:r>
              <w:rPr>
                <w:sz w:val="24"/>
              </w:rPr>
              <w:t>kg/d（</w:t>
            </w:r>
            <w:r>
              <w:rPr>
                <w:rFonts w:hint="eastAsia"/>
                <w:sz w:val="24"/>
                <w:lang w:val="en-US" w:eastAsia="zh-CN"/>
              </w:rPr>
              <w:t>0.32</w:t>
            </w:r>
            <w:r>
              <w:rPr>
                <w:sz w:val="24"/>
              </w:rPr>
              <w:t>t/a），油烟排放浓度为</w:t>
            </w:r>
            <w:r>
              <w:rPr>
                <w:rFonts w:hint="eastAsia"/>
                <w:sz w:val="24"/>
                <w:lang w:val="en-US" w:eastAsia="zh-CN"/>
              </w:rPr>
              <w:t>0.96</w:t>
            </w:r>
            <w:r>
              <w:rPr>
                <w:sz w:val="24"/>
              </w:rPr>
              <w:t>mg/m</w:t>
            </w:r>
            <w:r>
              <w:rPr>
                <w:sz w:val="24"/>
                <w:vertAlign w:val="superscript"/>
              </w:rPr>
              <w:t>3</w:t>
            </w:r>
            <w:r>
              <w:rPr>
                <w:rFonts w:hint="eastAsia"/>
                <w:sz w:val="24"/>
                <w:lang w:eastAsia="zh-CN"/>
              </w:rPr>
              <w:t>。</w:t>
            </w:r>
          </w:p>
          <w:p>
            <w:pPr>
              <w:pStyle w:val="2"/>
              <w:ind w:firstLine="480"/>
              <w:rPr>
                <w:bCs/>
              </w:rPr>
            </w:pPr>
            <w:r>
              <w:rPr>
                <w:rFonts w:hint="eastAsia"/>
              </w:rPr>
              <w:t>小区幼儿园及居民厨房饮食</w:t>
            </w:r>
            <w:r>
              <w:t>油烟产</w:t>
            </w:r>
            <w:r>
              <w:rPr>
                <w:rFonts w:hint="eastAsia"/>
              </w:rPr>
              <w:t>排</w:t>
            </w:r>
            <w:r>
              <w:t>情况见</w:t>
            </w:r>
            <w:r>
              <w:rPr>
                <w:rFonts w:hint="eastAsia"/>
              </w:rPr>
              <w:t>下</w:t>
            </w:r>
            <w:r>
              <w:t>表</w:t>
            </w:r>
            <w:r>
              <w:rPr>
                <w:rFonts w:hint="eastAsia"/>
              </w:rPr>
              <w:t>。</w:t>
            </w:r>
          </w:p>
          <w:p>
            <w:pPr>
              <w:adjustRightInd w:val="0"/>
              <w:snapToGrid w:val="0"/>
              <w:spacing w:line="271" w:lineRule="auto"/>
              <w:jc w:val="center"/>
              <w:rPr>
                <w:b/>
                <w:bCs/>
                <w:kern w:val="24"/>
              </w:rPr>
            </w:pPr>
            <w:r>
              <w:rPr>
                <w:rFonts w:hint="eastAsia"/>
                <w:b/>
                <w:bCs/>
                <w:kern w:val="24"/>
              </w:rPr>
              <w:t>表</w:t>
            </w:r>
            <w:r>
              <w:rPr>
                <w:b/>
                <w:bCs/>
                <w:kern w:val="24"/>
              </w:rPr>
              <w:t xml:space="preserve">4-1 </w:t>
            </w:r>
            <w:r>
              <w:rPr>
                <w:rFonts w:hint="eastAsia"/>
                <w:b/>
                <w:bCs/>
                <w:kern w:val="24"/>
              </w:rPr>
              <w:t>项目饮食油烟产生及排放情况一览表</w:t>
            </w:r>
          </w:p>
          <w:tbl>
            <w:tblPr>
              <w:tblStyle w:val="18"/>
              <w:tblW w:w="0" w:type="auto"/>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660"/>
              <w:gridCol w:w="784"/>
              <w:gridCol w:w="849"/>
              <w:gridCol w:w="1114"/>
              <w:gridCol w:w="753"/>
              <w:gridCol w:w="1073"/>
              <w:gridCol w:w="758"/>
              <w:gridCol w:w="900"/>
              <w:gridCol w:w="1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63" w:type="dxa"/>
                  <w:gridSpan w:val="2"/>
                  <w:vAlign w:val="center"/>
                </w:tcPr>
                <w:p>
                  <w:pPr>
                    <w:adjustRightInd w:val="0"/>
                    <w:snapToGrid w:val="0"/>
                    <w:jc w:val="center"/>
                    <w:rPr>
                      <w:b/>
                      <w:szCs w:val="21"/>
                    </w:rPr>
                  </w:pPr>
                  <w:r>
                    <w:rPr>
                      <w:rFonts w:hint="eastAsia"/>
                      <w:b/>
                      <w:kern w:val="24"/>
                      <w:szCs w:val="21"/>
                    </w:rPr>
                    <w:t>污染源</w:t>
                  </w:r>
                </w:p>
              </w:tc>
              <w:tc>
                <w:tcPr>
                  <w:tcW w:w="797" w:type="dxa"/>
                  <w:vAlign w:val="center"/>
                </w:tcPr>
                <w:p>
                  <w:pPr>
                    <w:adjustRightInd w:val="0"/>
                    <w:snapToGrid w:val="0"/>
                    <w:jc w:val="center"/>
                    <w:rPr>
                      <w:b/>
                      <w:kern w:val="24"/>
                      <w:szCs w:val="21"/>
                    </w:rPr>
                  </w:pPr>
                  <w:r>
                    <w:rPr>
                      <w:b/>
                      <w:szCs w:val="21"/>
                    </w:rPr>
                    <w:t>运行时间h/d</w:t>
                  </w:r>
                </w:p>
              </w:tc>
              <w:tc>
                <w:tcPr>
                  <w:tcW w:w="868" w:type="dxa"/>
                  <w:vAlign w:val="center"/>
                </w:tcPr>
                <w:p>
                  <w:pPr>
                    <w:adjustRightInd w:val="0"/>
                    <w:snapToGrid w:val="0"/>
                    <w:jc w:val="center"/>
                    <w:rPr>
                      <w:b/>
                      <w:kern w:val="24"/>
                      <w:szCs w:val="21"/>
                    </w:rPr>
                  </w:pPr>
                  <w:r>
                    <w:rPr>
                      <w:b/>
                      <w:szCs w:val="21"/>
                    </w:rPr>
                    <w:t>治理措施</w:t>
                  </w:r>
                </w:p>
              </w:tc>
              <w:tc>
                <w:tcPr>
                  <w:tcW w:w="1126" w:type="dxa"/>
                  <w:vAlign w:val="center"/>
                </w:tcPr>
                <w:p>
                  <w:pPr>
                    <w:adjustRightInd w:val="0"/>
                    <w:snapToGrid w:val="0"/>
                    <w:jc w:val="center"/>
                    <w:rPr>
                      <w:b/>
                      <w:kern w:val="24"/>
                      <w:szCs w:val="21"/>
                    </w:rPr>
                  </w:pPr>
                  <w:r>
                    <w:rPr>
                      <w:b/>
                      <w:szCs w:val="21"/>
                    </w:rPr>
                    <w:t>总排气量m</w:t>
                  </w:r>
                  <w:r>
                    <w:rPr>
                      <w:b/>
                      <w:szCs w:val="21"/>
                      <w:vertAlign w:val="superscript"/>
                    </w:rPr>
                    <w:t>3</w:t>
                  </w:r>
                  <w:r>
                    <w:rPr>
                      <w:b/>
                      <w:szCs w:val="21"/>
                    </w:rPr>
                    <w:t>/h</w:t>
                  </w:r>
                </w:p>
              </w:tc>
              <w:tc>
                <w:tcPr>
                  <w:tcW w:w="761" w:type="dxa"/>
                  <w:vAlign w:val="center"/>
                </w:tcPr>
                <w:p>
                  <w:pPr>
                    <w:adjustRightInd w:val="0"/>
                    <w:snapToGrid w:val="0"/>
                    <w:jc w:val="center"/>
                    <w:rPr>
                      <w:b/>
                      <w:kern w:val="24"/>
                      <w:szCs w:val="21"/>
                    </w:rPr>
                  </w:pPr>
                  <w:r>
                    <w:rPr>
                      <w:b/>
                      <w:szCs w:val="21"/>
                    </w:rPr>
                    <w:t>产生量t/a</w:t>
                  </w:r>
                </w:p>
              </w:tc>
              <w:tc>
                <w:tcPr>
                  <w:tcW w:w="1086" w:type="dxa"/>
                  <w:vAlign w:val="center"/>
                </w:tcPr>
                <w:p>
                  <w:pPr>
                    <w:adjustRightInd w:val="0"/>
                    <w:snapToGrid w:val="0"/>
                    <w:jc w:val="center"/>
                    <w:rPr>
                      <w:b/>
                      <w:kern w:val="24"/>
                      <w:szCs w:val="21"/>
                    </w:rPr>
                  </w:pPr>
                  <w:r>
                    <w:rPr>
                      <w:b/>
                      <w:szCs w:val="21"/>
                    </w:rPr>
                    <w:t>产生浓度mg/m</w:t>
                  </w:r>
                  <w:r>
                    <w:rPr>
                      <w:b/>
                      <w:szCs w:val="21"/>
                      <w:vertAlign w:val="superscript"/>
                    </w:rPr>
                    <w:t>3</w:t>
                  </w:r>
                </w:p>
              </w:tc>
              <w:tc>
                <w:tcPr>
                  <w:tcW w:w="764" w:type="dxa"/>
                  <w:vAlign w:val="center"/>
                </w:tcPr>
                <w:p>
                  <w:pPr>
                    <w:adjustRightInd w:val="0"/>
                    <w:snapToGrid w:val="0"/>
                    <w:jc w:val="center"/>
                    <w:rPr>
                      <w:b/>
                      <w:kern w:val="24"/>
                      <w:szCs w:val="21"/>
                    </w:rPr>
                  </w:pPr>
                  <w:r>
                    <w:rPr>
                      <w:b/>
                      <w:szCs w:val="21"/>
                    </w:rPr>
                    <w:t>净化率%</w:t>
                  </w:r>
                </w:p>
              </w:tc>
              <w:tc>
                <w:tcPr>
                  <w:tcW w:w="904" w:type="dxa"/>
                  <w:vAlign w:val="center"/>
                </w:tcPr>
                <w:p>
                  <w:pPr>
                    <w:adjustRightInd w:val="0"/>
                    <w:snapToGrid w:val="0"/>
                    <w:jc w:val="center"/>
                    <w:rPr>
                      <w:b/>
                      <w:kern w:val="24"/>
                      <w:szCs w:val="21"/>
                    </w:rPr>
                  </w:pPr>
                  <w:r>
                    <w:rPr>
                      <w:b/>
                      <w:szCs w:val="21"/>
                    </w:rPr>
                    <w:t>排放量t/a</w:t>
                  </w:r>
                </w:p>
              </w:tc>
              <w:tc>
                <w:tcPr>
                  <w:tcW w:w="1086" w:type="dxa"/>
                  <w:vAlign w:val="center"/>
                </w:tcPr>
                <w:p>
                  <w:pPr>
                    <w:adjustRightInd w:val="0"/>
                    <w:snapToGrid w:val="0"/>
                    <w:jc w:val="center"/>
                    <w:rPr>
                      <w:b/>
                      <w:kern w:val="24"/>
                      <w:szCs w:val="21"/>
                    </w:rPr>
                  </w:pPr>
                  <w:r>
                    <w:rPr>
                      <w:b/>
                      <w:szCs w:val="21"/>
                    </w:rPr>
                    <w:t>排放浓度mg/m</w:t>
                  </w:r>
                  <w:r>
                    <w:rPr>
                      <w:b/>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pPr>
                    <w:adjustRightInd w:val="0"/>
                    <w:snapToGrid w:val="0"/>
                    <w:jc w:val="center"/>
                    <w:rPr>
                      <w:bCs/>
                      <w:kern w:val="24"/>
                      <w:szCs w:val="21"/>
                    </w:rPr>
                  </w:pPr>
                  <w:r>
                    <w:rPr>
                      <w:rFonts w:hint="eastAsia"/>
                      <w:bCs/>
                      <w:kern w:val="24"/>
                      <w:szCs w:val="21"/>
                    </w:rPr>
                    <w:t>幼儿园厨房</w:t>
                  </w:r>
                </w:p>
              </w:tc>
              <w:tc>
                <w:tcPr>
                  <w:tcW w:w="666" w:type="dxa"/>
                  <w:vAlign w:val="center"/>
                </w:tcPr>
                <w:p>
                  <w:pPr>
                    <w:adjustRightInd w:val="0"/>
                    <w:snapToGrid w:val="0"/>
                    <w:jc w:val="center"/>
                    <w:rPr>
                      <w:rFonts w:hint="default" w:eastAsia="宋体"/>
                      <w:szCs w:val="21"/>
                      <w:lang w:val="en-US" w:eastAsia="zh-CN"/>
                    </w:rPr>
                  </w:pPr>
                  <w:r>
                    <w:rPr>
                      <w:rFonts w:hint="eastAsia"/>
                      <w:szCs w:val="21"/>
                      <w:lang w:val="en-US" w:eastAsia="zh-CN"/>
                    </w:rPr>
                    <w:t>02#地块</w:t>
                  </w:r>
                </w:p>
              </w:tc>
              <w:tc>
                <w:tcPr>
                  <w:tcW w:w="797" w:type="dxa"/>
                  <w:vAlign w:val="center"/>
                </w:tcPr>
                <w:p>
                  <w:pPr>
                    <w:adjustRightInd w:val="0"/>
                    <w:snapToGrid w:val="0"/>
                    <w:jc w:val="center"/>
                    <w:rPr>
                      <w:szCs w:val="21"/>
                    </w:rPr>
                  </w:pPr>
                  <w:r>
                    <w:rPr>
                      <w:rFonts w:hint="eastAsia"/>
                      <w:szCs w:val="21"/>
                    </w:rPr>
                    <w:t>3</w:t>
                  </w:r>
                </w:p>
              </w:tc>
              <w:tc>
                <w:tcPr>
                  <w:tcW w:w="868" w:type="dxa"/>
                  <w:vAlign w:val="center"/>
                </w:tcPr>
                <w:p>
                  <w:pPr>
                    <w:adjustRightInd w:val="0"/>
                    <w:snapToGrid w:val="0"/>
                    <w:jc w:val="center"/>
                    <w:rPr>
                      <w:szCs w:val="21"/>
                    </w:rPr>
                  </w:pPr>
                  <w:r>
                    <w:rPr>
                      <w:rFonts w:hint="eastAsia"/>
                      <w:szCs w:val="21"/>
                    </w:rPr>
                    <w:t>静电式油烟净化器</w:t>
                  </w:r>
                </w:p>
              </w:tc>
              <w:tc>
                <w:tcPr>
                  <w:tcW w:w="1126" w:type="dxa"/>
                  <w:vAlign w:val="center"/>
                </w:tcPr>
                <w:p>
                  <w:pPr>
                    <w:adjustRightInd w:val="0"/>
                    <w:snapToGrid w:val="0"/>
                    <w:jc w:val="center"/>
                    <w:rPr>
                      <w:szCs w:val="21"/>
                    </w:rPr>
                  </w:pPr>
                  <w:r>
                    <w:rPr>
                      <w:rFonts w:hint="eastAsia"/>
                      <w:szCs w:val="21"/>
                    </w:rPr>
                    <w:t>6000</w:t>
                  </w:r>
                </w:p>
              </w:tc>
              <w:tc>
                <w:tcPr>
                  <w:tcW w:w="761" w:type="dxa"/>
                  <w:vAlign w:val="center"/>
                </w:tcPr>
                <w:p>
                  <w:pPr>
                    <w:adjustRightInd w:val="0"/>
                    <w:snapToGrid w:val="0"/>
                    <w:jc w:val="center"/>
                    <w:rPr>
                      <w:szCs w:val="21"/>
                    </w:rPr>
                  </w:pPr>
                  <w:r>
                    <w:rPr>
                      <w:rFonts w:hint="eastAsia"/>
                      <w:szCs w:val="21"/>
                    </w:rPr>
                    <w:t>0.04</w:t>
                  </w:r>
                </w:p>
              </w:tc>
              <w:tc>
                <w:tcPr>
                  <w:tcW w:w="1086" w:type="dxa"/>
                  <w:vAlign w:val="center"/>
                </w:tcPr>
                <w:p>
                  <w:pPr>
                    <w:adjustRightInd w:val="0"/>
                    <w:snapToGrid w:val="0"/>
                    <w:jc w:val="center"/>
                    <w:rPr>
                      <w:szCs w:val="21"/>
                    </w:rPr>
                  </w:pPr>
                  <w:r>
                    <w:rPr>
                      <w:rFonts w:hint="eastAsia"/>
                      <w:szCs w:val="21"/>
                    </w:rPr>
                    <w:t>8.3</w:t>
                  </w:r>
                </w:p>
              </w:tc>
              <w:tc>
                <w:tcPr>
                  <w:tcW w:w="764" w:type="dxa"/>
                  <w:vAlign w:val="center"/>
                </w:tcPr>
                <w:p>
                  <w:pPr>
                    <w:adjustRightInd w:val="0"/>
                    <w:snapToGrid w:val="0"/>
                    <w:jc w:val="center"/>
                    <w:rPr>
                      <w:szCs w:val="21"/>
                    </w:rPr>
                  </w:pPr>
                  <w:r>
                    <w:rPr>
                      <w:rFonts w:hint="eastAsia"/>
                      <w:szCs w:val="21"/>
                    </w:rPr>
                    <w:t>80</w:t>
                  </w:r>
                </w:p>
              </w:tc>
              <w:tc>
                <w:tcPr>
                  <w:tcW w:w="904" w:type="dxa"/>
                  <w:vAlign w:val="center"/>
                </w:tcPr>
                <w:p>
                  <w:pPr>
                    <w:adjustRightInd w:val="0"/>
                    <w:snapToGrid w:val="0"/>
                    <w:jc w:val="center"/>
                    <w:rPr>
                      <w:bCs/>
                      <w:kern w:val="24"/>
                      <w:szCs w:val="21"/>
                    </w:rPr>
                  </w:pPr>
                  <w:r>
                    <w:rPr>
                      <w:rFonts w:hint="eastAsia"/>
                      <w:bCs/>
                      <w:kern w:val="24"/>
                      <w:szCs w:val="21"/>
                    </w:rPr>
                    <w:t>0.0081</w:t>
                  </w:r>
                </w:p>
              </w:tc>
              <w:tc>
                <w:tcPr>
                  <w:tcW w:w="1086" w:type="dxa"/>
                  <w:vAlign w:val="center"/>
                </w:tcPr>
                <w:p>
                  <w:pPr>
                    <w:adjustRightInd w:val="0"/>
                    <w:snapToGrid w:val="0"/>
                    <w:jc w:val="center"/>
                    <w:rPr>
                      <w:szCs w:val="21"/>
                    </w:rPr>
                  </w:pPr>
                  <w:r>
                    <w:rPr>
                      <w:rFonts w:hint="eastAsia"/>
                      <w:szCs w:val="21"/>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Merge w:val="restart"/>
                  <w:vAlign w:val="center"/>
                </w:tcPr>
                <w:p>
                  <w:pPr>
                    <w:adjustRightInd w:val="0"/>
                    <w:snapToGrid w:val="0"/>
                    <w:jc w:val="center"/>
                    <w:rPr>
                      <w:bCs/>
                      <w:kern w:val="24"/>
                      <w:szCs w:val="21"/>
                    </w:rPr>
                  </w:pPr>
                  <w:r>
                    <w:rPr>
                      <w:rFonts w:hint="eastAsia"/>
                      <w:bCs/>
                      <w:kern w:val="24"/>
                      <w:szCs w:val="21"/>
                    </w:rPr>
                    <w:t>居民厨房</w:t>
                  </w:r>
                </w:p>
              </w:tc>
              <w:tc>
                <w:tcPr>
                  <w:tcW w:w="666" w:type="dxa"/>
                  <w:vAlign w:val="center"/>
                </w:tcPr>
                <w:p>
                  <w:pPr>
                    <w:adjustRightInd w:val="0"/>
                    <w:snapToGrid w:val="0"/>
                    <w:jc w:val="center"/>
                    <w:rPr>
                      <w:rFonts w:hint="default" w:eastAsia="宋体"/>
                      <w:szCs w:val="21"/>
                      <w:lang w:val="en-US" w:eastAsia="zh-CN"/>
                    </w:rPr>
                  </w:pPr>
                  <w:r>
                    <w:rPr>
                      <w:rFonts w:hint="eastAsia"/>
                      <w:szCs w:val="21"/>
                      <w:lang w:val="en-US" w:eastAsia="zh-CN"/>
                    </w:rPr>
                    <w:t>02</w:t>
                  </w:r>
                  <w:r>
                    <w:rPr>
                      <w:rFonts w:hint="eastAsia"/>
                      <w:lang w:val="en-US" w:eastAsia="zh-CN"/>
                    </w:rPr>
                    <w:t>#</w:t>
                  </w:r>
                  <w:r>
                    <w:rPr>
                      <w:rFonts w:hint="eastAsia"/>
                      <w:szCs w:val="21"/>
                      <w:lang w:val="en-US" w:eastAsia="zh-CN"/>
                    </w:rPr>
                    <w:t>地块</w:t>
                  </w:r>
                </w:p>
              </w:tc>
              <w:tc>
                <w:tcPr>
                  <w:tcW w:w="797" w:type="dxa"/>
                  <w:vAlign w:val="center"/>
                </w:tcPr>
                <w:p>
                  <w:pPr>
                    <w:adjustRightInd w:val="0"/>
                    <w:snapToGrid w:val="0"/>
                    <w:jc w:val="center"/>
                    <w:rPr>
                      <w:bCs/>
                      <w:kern w:val="24"/>
                      <w:szCs w:val="21"/>
                    </w:rPr>
                  </w:pPr>
                  <w:r>
                    <w:rPr>
                      <w:rFonts w:hint="eastAsia"/>
                      <w:szCs w:val="21"/>
                    </w:rPr>
                    <w:t>2</w:t>
                  </w:r>
                </w:p>
              </w:tc>
              <w:tc>
                <w:tcPr>
                  <w:tcW w:w="868" w:type="dxa"/>
                  <w:vAlign w:val="center"/>
                </w:tcPr>
                <w:p>
                  <w:pPr>
                    <w:adjustRightInd w:val="0"/>
                    <w:snapToGrid w:val="0"/>
                    <w:jc w:val="center"/>
                    <w:rPr>
                      <w:bCs/>
                      <w:kern w:val="24"/>
                      <w:szCs w:val="21"/>
                    </w:rPr>
                  </w:pPr>
                  <w:r>
                    <w:rPr>
                      <w:szCs w:val="21"/>
                    </w:rPr>
                    <w:t>家用油烟净化机</w:t>
                  </w:r>
                </w:p>
              </w:tc>
              <w:tc>
                <w:tcPr>
                  <w:tcW w:w="1126" w:type="dxa"/>
                  <w:vAlign w:val="center"/>
                </w:tcPr>
                <w:p>
                  <w:pPr>
                    <w:adjustRightInd w:val="0"/>
                    <w:snapToGrid w:val="0"/>
                    <w:jc w:val="center"/>
                    <w:rPr>
                      <w:rFonts w:hint="default" w:eastAsia="宋体"/>
                      <w:bCs/>
                      <w:kern w:val="24"/>
                      <w:szCs w:val="21"/>
                      <w:lang w:val="en-US" w:eastAsia="zh-CN"/>
                    </w:rPr>
                  </w:pPr>
                  <w:r>
                    <w:rPr>
                      <w:rFonts w:hint="eastAsia"/>
                      <w:szCs w:val="21"/>
                      <w:lang w:val="en-US" w:eastAsia="zh-CN"/>
                    </w:rPr>
                    <w:t>564000</w:t>
                  </w:r>
                </w:p>
              </w:tc>
              <w:tc>
                <w:tcPr>
                  <w:tcW w:w="761" w:type="dxa"/>
                  <w:vAlign w:val="center"/>
                </w:tcPr>
                <w:p>
                  <w:pPr>
                    <w:adjustRightInd w:val="0"/>
                    <w:snapToGrid w:val="0"/>
                    <w:jc w:val="center"/>
                    <w:rPr>
                      <w:rFonts w:hint="default" w:eastAsia="宋体"/>
                      <w:bCs/>
                      <w:kern w:val="24"/>
                      <w:szCs w:val="21"/>
                      <w:lang w:val="en-US" w:eastAsia="zh-CN"/>
                    </w:rPr>
                  </w:pPr>
                  <w:r>
                    <w:rPr>
                      <w:rFonts w:hint="eastAsia"/>
                      <w:szCs w:val="21"/>
                      <w:lang w:val="en-US" w:eastAsia="zh-CN"/>
                    </w:rPr>
                    <w:t>0.99</w:t>
                  </w:r>
                </w:p>
              </w:tc>
              <w:tc>
                <w:tcPr>
                  <w:tcW w:w="1086" w:type="dxa"/>
                  <w:vAlign w:val="center"/>
                </w:tcPr>
                <w:p>
                  <w:pPr>
                    <w:adjustRightInd w:val="0"/>
                    <w:snapToGrid w:val="0"/>
                    <w:jc w:val="center"/>
                    <w:rPr>
                      <w:bCs/>
                      <w:kern w:val="24"/>
                      <w:szCs w:val="21"/>
                    </w:rPr>
                  </w:pPr>
                  <w:r>
                    <w:rPr>
                      <w:rFonts w:hint="eastAsia"/>
                      <w:szCs w:val="21"/>
                    </w:rPr>
                    <w:t>2.4</w:t>
                  </w:r>
                </w:p>
              </w:tc>
              <w:tc>
                <w:tcPr>
                  <w:tcW w:w="764" w:type="dxa"/>
                  <w:vMerge w:val="restart"/>
                  <w:vAlign w:val="center"/>
                </w:tcPr>
                <w:p>
                  <w:pPr>
                    <w:adjustRightInd w:val="0"/>
                    <w:snapToGrid w:val="0"/>
                    <w:jc w:val="center"/>
                    <w:rPr>
                      <w:bCs/>
                      <w:kern w:val="24"/>
                      <w:szCs w:val="21"/>
                    </w:rPr>
                  </w:pPr>
                  <w:r>
                    <w:rPr>
                      <w:szCs w:val="21"/>
                    </w:rPr>
                    <w:t>60</w:t>
                  </w:r>
                </w:p>
              </w:tc>
              <w:tc>
                <w:tcPr>
                  <w:tcW w:w="904" w:type="dxa"/>
                  <w:vAlign w:val="center"/>
                </w:tcPr>
                <w:p>
                  <w:pPr>
                    <w:adjustRightInd w:val="0"/>
                    <w:snapToGrid w:val="0"/>
                    <w:jc w:val="center"/>
                    <w:rPr>
                      <w:rFonts w:hint="default" w:eastAsia="宋体"/>
                      <w:bCs/>
                      <w:kern w:val="24"/>
                      <w:szCs w:val="21"/>
                      <w:lang w:val="en-US" w:eastAsia="zh-CN"/>
                    </w:rPr>
                  </w:pPr>
                  <w:r>
                    <w:rPr>
                      <w:rFonts w:hint="eastAsia"/>
                      <w:bCs/>
                      <w:kern w:val="24"/>
                      <w:szCs w:val="21"/>
                      <w:lang w:val="en-US" w:eastAsia="zh-CN"/>
                    </w:rPr>
                    <w:t>0.396</w:t>
                  </w:r>
                </w:p>
              </w:tc>
              <w:tc>
                <w:tcPr>
                  <w:tcW w:w="1086" w:type="dxa"/>
                  <w:vAlign w:val="center"/>
                </w:tcPr>
                <w:p>
                  <w:pPr>
                    <w:adjustRightInd w:val="0"/>
                    <w:snapToGrid w:val="0"/>
                    <w:jc w:val="center"/>
                    <w:rPr>
                      <w:bCs/>
                      <w:kern w:val="24"/>
                      <w:szCs w:val="21"/>
                    </w:rPr>
                  </w:pPr>
                  <w:r>
                    <w:rPr>
                      <w:rFonts w:hint="eastAsia"/>
                      <w:szCs w:val="21"/>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Merge w:val="continue"/>
                  <w:vAlign w:val="center"/>
                </w:tcPr>
                <w:p>
                  <w:pPr>
                    <w:adjustRightInd w:val="0"/>
                    <w:snapToGrid w:val="0"/>
                    <w:jc w:val="center"/>
                    <w:rPr>
                      <w:rFonts w:hint="eastAsia"/>
                      <w:bCs/>
                      <w:kern w:val="24"/>
                      <w:szCs w:val="21"/>
                    </w:rPr>
                  </w:pPr>
                </w:p>
              </w:tc>
              <w:tc>
                <w:tcPr>
                  <w:tcW w:w="666" w:type="dxa"/>
                  <w:vAlign w:val="center"/>
                </w:tcPr>
                <w:p>
                  <w:pPr>
                    <w:adjustRightInd w:val="0"/>
                    <w:snapToGrid w:val="0"/>
                    <w:jc w:val="center"/>
                    <w:rPr>
                      <w:rFonts w:hint="default" w:eastAsia="宋体"/>
                      <w:szCs w:val="21"/>
                      <w:lang w:val="en-US" w:eastAsia="zh-CN"/>
                    </w:rPr>
                  </w:pPr>
                  <w:r>
                    <w:rPr>
                      <w:rFonts w:hint="eastAsia"/>
                      <w:szCs w:val="21"/>
                      <w:lang w:val="en-US" w:eastAsia="zh-CN"/>
                    </w:rPr>
                    <w:t>03#地块</w:t>
                  </w:r>
                </w:p>
              </w:tc>
              <w:tc>
                <w:tcPr>
                  <w:tcW w:w="797" w:type="dxa"/>
                  <w:vAlign w:val="center"/>
                </w:tcPr>
                <w:p>
                  <w:pPr>
                    <w:adjustRightInd w:val="0"/>
                    <w:snapToGrid w:val="0"/>
                    <w:jc w:val="center"/>
                    <w:rPr>
                      <w:rFonts w:hint="eastAsia" w:ascii="Times New Roman" w:hAnsi="Times New Roman" w:eastAsia="宋体" w:cs="Times New Roman"/>
                      <w:bCs/>
                      <w:kern w:val="24"/>
                      <w:sz w:val="21"/>
                      <w:szCs w:val="21"/>
                      <w:lang w:val="en-US" w:eastAsia="zh-CN" w:bidi="ar-SA"/>
                    </w:rPr>
                  </w:pPr>
                  <w:r>
                    <w:rPr>
                      <w:rFonts w:hint="eastAsia"/>
                      <w:szCs w:val="21"/>
                    </w:rPr>
                    <w:t>2</w:t>
                  </w:r>
                </w:p>
              </w:tc>
              <w:tc>
                <w:tcPr>
                  <w:tcW w:w="868" w:type="dxa"/>
                  <w:vAlign w:val="center"/>
                </w:tcPr>
                <w:p>
                  <w:pPr>
                    <w:adjustRightInd w:val="0"/>
                    <w:snapToGrid w:val="0"/>
                    <w:jc w:val="center"/>
                    <w:rPr>
                      <w:rFonts w:ascii="Times New Roman" w:hAnsi="Times New Roman" w:eastAsia="宋体" w:cs="Times New Roman"/>
                      <w:bCs/>
                      <w:kern w:val="24"/>
                      <w:sz w:val="21"/>
                      <w:szCs w:val="21"/>
                      <w:lang w:val="en-US" w:eastAsia="zh-CN" w:bidi="ar-SA"/>
                    </w:rPr>
                  </w:pPr>
                  <w:r>
                    <w:rPr>
                      <w:szCs w:val="21"/>
                    </w:rPr>
                    <w:t>家用油烟净化机</w:t>
                  </w:r>
                </w:p>
              </w:tc>
              <w:tc>
                <w:tcPr>
                  <w:tcW w:w="1126" w:type="dxa"/>
                  <w:vAlign w:val="center"/>
                </w:tcPr>
                <w:p>
                  <w:pPr>
                    <w:adjustRightInd w:val="0"/>
                    <w:snapToGrid w:val="0"/>
                    <w:jc w:val="center"/>
                    <w:rPr>
                      <w:rFonts w:hint="default" w:eastAsia="宋体"/>
                      <w:szCs w:val="21"/>
                      <w:lang w:val="en-US" w:eastAsia="zh-CN"/>
                    </w:rPr>
                  </w:pPr>
                  <w:r>
                    <w:rPr>
                      <w:rFonts w:hint="eastAsia"/>
                      <w:szCs w:val="21"/>
                      <w:lang w:val="en-US" w:eastAsia="zh-CN"/>
                    </w:rPr>
                    <w:t>458000</w:t>
                  </w:r>
                </w:p>
              </w:tc>
              <w:tc>
                <w:tcPr>
                  <w:tcW w:w="761" w:type="dxa"/>
                  <w:vAlign w:val="center"/>
                </w:tcPr>
                <w:p>
                  <w:pPr>
                    <w:adjustRightInd w:val="0"/>
                    <w:snapToGrid w:val="0"/>
                    <w:jc w:val="center"/>
                    <w:rPr>
                      <w:rFonts w:hint="default" w:eastAsia="宋体"/>
                      <w:szCs w:val="21"/>
                      <w:lang w:val="en-US" w:eastAsia="zh-CN"/>
                    </w:rPr>
                  </w:pPr>
                  <w:r>
                    <w:rPr>
                      <w:rFonts w:hint="eastAsia"/>
                      <w:szCs w:val="21"/>
                      <w:lang w:val="en-US" w:eastAsia="zh-CN"/>
                    </w:rPr>
                    <w:t>0.8</w:t>
                  </w:r>
                </w:p>
              </w:tc>
              <w:tc>
                <w:tcPr>
                  <w:tcW w:w="1086" w:type="dxa"/>
                  <w:vAlign w:val="center"/>
                </w:tcPr>
                <w:p>
                  <w:pPr>
                    <w:adjustRightInd w:val="0"/>
                    <w:snapToGrid w:val="0"/>
                    <w:jc w:val="center"/>
                    <w:rPr>
                      <w:rFonts w:hint="default" w:eastAsia="宋体"/>
                      <w:szCs w:val="21"/>
                      <w:lang w:val="en-US" w:eastAsia="zh-CN"/>
                    </w:rPr>
                  </w:pPr>
                  <w:r>
                    <w:rPr>
                      <w:rFonts w:hint="eastAsia"/>
                      <w:szCs w:val="21"/>
                      <w:lang w:val="en-US" w:eastAsia="zh-CN"/>
                    </w:rPr>
                    <w:t>2.4</w:t>
                  </w:r>
                </w:p>
              </w:tc>
              <w:tc>
                <w:tcPr>
                  <w:tcW w:w="764" w:type="dxa"/>
                  <w:vMerge w:val="continue"/>
                  <w:vAlign w:val="center"/>
                </w:tcPr>
                <w:p>
                  <w:pPr>
                    <w:adjustRightInd w:val="0"/>
                    <w:snapToGrid w:val="0"/>
                    <w:jc w:val="center"/>
                    <w:rPr>
                      <w:szCs w:val="21"/>
                    </w:rPr>
                  </w:pPr>
                </w:p>
              </w:tc>
              <w:tc>
                <w:tcPr>
                  <w:tcW w:w="904" w:type="dxa"/>
                  <w:vAlign w:val="center"/>
                </w:tcPr>
                <w:p>
                  <w:pPr>
                    <w:adjustRightInd w:val="0"/>
                    <w:snapToGrid w:val="0"/>
                    <w:jc w:val="center"/>
                    <w:rPr>
                      <w:rFonts w:hint="default" w:eastAsia="宋体"/>
                      <w:bCs/>
                      <w:kern w:val="24"/>
                      <w:szCs w:val="21"/>
                      <w:lang w:val="en-US" w:eastAsia="zh-CN"/>
                    </w:rPr>
                  </w:pPr>
                  <w:r>
                    <w:rPr>
                      <w:rFonts w:hint="eastAsia"/>
                      <w:bCs/>
                      <w:kern w:val="24"/>
                      <w:szCs w:val="21"/>
                      <w:lang w:val="en-US" w:eastAsia="zh-CN"/>
                    </w:rPr>
                    <w:t>0.32</w:t>
                  </w:r>
                </w:p>
              </w:tc>
              <w:tc>
                <w:tcPr>
                  <w:tcW w:w="1086" w:type="dxa"/>
                  <w:vAlign w:val="center"/>
                </w:tcPr>
                <w:p>
                  <w:pPr>
                    <w:adjustRightInd w:val="0"/>
                    <w:snapToGrid w:val="0"/>
                    <w:jc w:val="center"/>
                    <w:rPr>
                      <w:rFonts w:hint="default" w:eastAsia="宋体"/>
                      <w:szCs w:val="21"/>
                      <w:lang w:val="en-US" w:eastAsia="zh-CN"/>
                    </w:rPr>
                  </w:pPr>
                  <w:r>
                    <w:rPr>
                      <w:rFonts w:hint="eastAsia"/>
                      <w:szCs w:val="21"/>
                      <w:lang w:val="en-US" w:eastAsia="zh-CN"/>
                    </w:rPr>
                    <w:t>0.96</w:t>
                  </w:r>
                </w:p>
              </w:tc>
            </w:tr>
          </w:tbl>
          <w:p>
            <w:pPr>
              <w:spacing w:line="360" w:lineRule="auto"/>
              <w:ind w:firstLine="482" w:firstLineChars="200"/>
              <w:rPr>
                <w:b/>
                <w:kern w:val="24"/>
                <w:sz w:val="24"/>
              </w:rPr>
            </w:pPr>
            <w:r>
              <w:rPr>
                <w:b/>
                <w:kern w:val="24"/>
                <w:sz w:val="24"/>
              </w:rPr>
              <w:t>2、居住区天然气燃烧废气</w:t>
            </w:r>
          </w:p>
          <w:p>
            <w:pPr>
              <w:spacing w:line="360" w:lineRule="auto"/>
              <w:ind w:firstLine="480" w:firstLineChars="200"/>
              <w:rPr>
                <w:sz w:val="24"/>
              </w:rPr>
            </w:pPr>
            <w:r>
              <w:rPr>
                <w:sz w:val="24"/>
              </w:rPr>
              <w:t>项目居住小区内营运期所用燃料主要为城市管网供应的市政天然气。根据经验资料，小区通过市政天然气管道供气并按照人均天然气用量74m</w:t>
            </w:r>
            <w:r>
              <w:rPr>
                <w:sz w:val="24"/>
                <w:vertAlign w:val="superscript"/>
              </w:rPr>
              <w:t>3</w:t>
            </w:r>
            <w:r>
              <w:rPr>
                <w:sz w:val="24"/>
              </w:rPr>
              <w:t>/人·年计，</w:t>
            </w:r>
            <w:r>
              <w:rPr>
                <w:rFonts w:hAnsi="宋体"/>
                <w:sz w:val="24"/>
              </w:rPr>
              <w:t>本项目共有居民人数</w:t>
            </w:r>
            <w:r>
              <w:rPr>
                <w:rFonts w:hint="eastAsia" w:hAnsi="宋体"/>
                <w:sz w:val="24"/>
              </w:rPr>
              <w:t>2044户（</w:t>
            </w:r>
            <w:r>
              <w:rPr>
                <w:rFonts w:hint="eastAsia"/>
                <w:sz w:val="24"/>
              </w:rPr>
              <w:t>6541</w:t>
            </w:r>
            <w:r>
              <w:rPr>
                <w:rFonts w:hAnsi="宋体"/>
                <w:sz w:val="24"/>
              </w:rPr>
              <w:t>人</w:t>
            </w:r>
            <w:r>
              <w:rPr>
                <w:rFonts w:hint="eastAsia" w:hAnsi="宋体"/>
                <w:sz w:val="24"/>
              </w:rPr>
              <w:t>），</w:t>
            </w:r>
            <w:r>
              <w:rPr>
                <w:rFonts w:hint="eastAsia" w:hAnsi="宋体"/>
                <w:sz w:val="24"/>
                <w:lang w:eastAsia="zh-CN"/>
              </w:rPr>
              <w:t>其中，</w:t>
            </w:r>
            <w:r>
              <w:rPr>
                <w:rFonts w:hint="eastAsia" w:hAnsi="宋体"/>
                <w:sz w:val="24"/>
                <w:lang w:val="en-US" w:eastAsia="zh-CN"/>
              </w:rPr>
              <w:t>02</w:t>
            </w:r>
            <w:r>
              <w:rPr>
                <w:rFonts w:hint="eastAsia"/>
                <w:lang w:val="en-US" w:eastAsia="zh-CN"/>
              </w:rPr>
              <w:t>#</w:t>
            </w:r>
            <w:r>
              <w:rPr>
                <w:rFonts w:hint="eastAsia" w:hAnsi="宋体"/>
                <w:sz w:val="24"/>
                <w:lang w:val="en-US" w:eastAsia="zh-CN"/>
              </w:rPr>
              <w:t>地块居民人数1128户（3610人），03#地块居民人数916户（2931人）。</w:t>
            </w:r>
            <w:r>
              <w:rPr>
                <w:sz w:val="24"/>
              </w:rPr>
              <w:t>项目建成运行后</w:t>
            </w:r>
            <w:r>
              <w:rPr>
                <w:rFonts w:hint="eastAsia"/>
                <w:sz w:val="24"/>
                <w:lang w:val="en-US" w:eastAsia="zh-CN"/>
              </w:rPr>
              <w:t>02#地块</w:t>
            </w:r>
            <w:r>
              <w:rPr>
                <w:sz w:val="24"/>
              </w:rPr>
              <w:t>年用天然气量约为</w:t>
            </w:r>
            <w:r>
              <w:rPr>
                <w:rFonts w:hint="eastAsia"/>
                <w:sz w:val="24"/>
              </w:rPr>
              <w:t>267140N</w:t>
            </w:r>
            <w:r>
              <w:rPr>
                <w:sz w:val="24"/>
              </w:rPr>
              <w:t>m</w:t>
            </w:r>
            <w:r>
              <w:rPr>
                <w:sz w:val="24"/>
                <w:vertAlign w:val="superscript"/>
              </w:rPr>
              <w:t>3</w:t>
            </w:r>
            <w:r>
              <w:rPr>
                <w:rFonts w:hint="eastAsia"/>
                <w:sz w:val="24"/>
              </w:rPr>
              <w:t>（</w:t>
            </w:r>
            <w:r>
              <w:rPr>
                <w:rFonts w:hint="eastAsia"/>
                <w:sz w:val="24"/>
                <w:lang w:val="en-US" w:eastAsia="zh-CN"/>
              </w:rPr>
              <w:t>26.71</w:t>
            </w:r>
            <w:r>
              <w:rPr>
                <w:rFonts w:hint="eastAsia"/>
                <w:sz w:val="24"/>
              </w:rPr>
              <w:t>万N</w:t>
            </w:r>
            <w:r>
              <w:rPr>
                <w:sz w:val="24"/>
              </w:rPr>
              <w:t>m</w:t>
            </w:r>
            <w:r>
              <w:rPr>
                <w:sz w:val="24"/>
                <w:vertAlign w:val="superscript"/>
              </w:rPr>
              <w:t>3</w:t>
            </w:r>
            <w:r>
              <w:rPr>
                <w:rFonts w:hint="eastAsia"/>
                <w:sz w:val="24"/>
              </w:rPr>
              <w:t>）</w:t>
            </w:r>
            <w:r>
              <w:rPr>
                <w:rFonts w:hint="eastAsia"/>
                <w:sz w:val="24"/>
                <w:lang w:eastAsia="zh-CN"/>
              </w:rPr>
              <w:t>，</w:t>
            </w:r>
            <w:r>
              <w:rPr>
                <w:rFonts w:hint="eastAsia"/>
                <w:sz w:val="24"/>
                <w:lang w:val="en-US" w:eastAsia="zh-CN"/>
              </w:rPr>
              <w:t>03#地块</w:t>
            </w:r>
            <w:r>
              <w:rPr>
                <w:sz w:val="24"/>
              </w:rPr>
              <w:t>年用天然气量约为</w:t>
            </w:r>
            <w:r>
              <w:rPr>
                <w:rFonts w:hint="eastAsia"/>
                <w:sz w:val="24"/>
              </w:rPr>
              <w:t>216894N</w:t>
            </w:r>
            <w:r>
              <w:rPr>
                <w:sz w:val="24"/>
              </w:rPr>
              <w:t>m</w:t>
            </w:r>
            <w:r>
              <w:rPr>
                <w:sz w:val="24"/>
                <w:vertAlign w:val="superscript"/>
              </w:rPr>
              <w:t>3</w:t>
            </w:r>
            <w:r>
              <w:rPr>
                <w:rFonts w:hint="eastAsia"/>
                <w:sz w:val="24"/>
              </w:rPr>
              <w:t>（</w:t>
            </w:r>
            <w:r>
              <w:rPr>
                <w:rFonts w:hint="eastAsia"/>
                <w:sz w:val="24"/>
                <w:lang w:val="en-US" w:eastAsia="zh-CN"/>
              </w:rPr>
              <w:t>21.69</w:t>
            </w:r>
            <w:r>
              <w:rPr>
                <w:rFonts w:hint="eastAsia"/>
                <w:sz w:val="24"/>
              </w:rPr>
              <w:t>万N</w:t>
            </w:r>
            <w:r>
              <w:rPr>
                <w:sz w:val="24"/>
              </w:rPr>
              <w:t>m</w:t>
            </w:r>
            <w:r>
              <w:rPr>
                <w:sz w:val="24"/>
                <w:vertAlign w:val="superscript"/>
              </w:rPr>
              <w:t>3</w:t>
            </w:r>
            <w:r>
              <w:rPr>
                <w:rFonts w:hint="eastAsia"/>
                <w:sz w:val="24"/>
              </w:rPr>
              <w:t>）</w:t>
            </w:r>
            <w:r>
              <w:rPr>
                <w:sz w:val="24"/>
              </w:rPr>
              <w:t>。天然气是一种污染少、热值高的清洁能源，其主要成分是甲烷，不含一氧化碳和其它有害物质，燃烧后产生的物质主要是二氧化碳和水，以及微量</w:t>
            </w:r>
            <w:r>
              <w:rPr>
                <w:rFonts w:hint="eastAsia"/>
                <w:sz w:val="24"/>
              </w:rPr>
              <w:t>烟尘、</w:t>
            </w:r>
            <w:r>
              <w:rPr>
                <w:sz w:val="24"/>
              </w:rPr>
              <w:t>SO</w:t>
            </w:r>
            <w:r>
              <w:rPr>
                <w:sz w:val="24"/>
                <w:vertAlign w:val="subscript"/>
              </w:rPr>
              <w:t>2</w:t>
            </w:r>
            <w:r>
              <w:rPr>
                <w:sz w:val="24"/>
              </w:rPr>
              <w:t>、NO</w:t>
            </w:r>
            <w:r>
              <w:rPr>
                <w:sz w:val="24"/>
                <w:vertAlign w:val="subscript"/>
              </w:rPr>
              <w:t>2</w:t>
            </w:r>
            <w:r>
              <w:rPr>
                <w:sz w:val="24"/>
              </w:rPr>
              <w:t>等。根据有关部门提供的每万标立方米天然气燃烧产生污染物量，计算本项目</w:t>
            </w:r>
            <w:r>
              <w:rPr>
                <w:rFonts w:hint="eastAsia"/>
                <w:sz w:val="24"/>
              </w:rPr>
              <w:t>居民厨房</w:t>
            </w:r>
            <w:r>
              <w:rPr>
                <w:sz w:val="24"/>
              </w:rPr>
              <w:t>燃烧天然气产</w:t>
            </w:r>
            <w:r>
              <w:rPr>
                <w:rFonts w:hint="eastAsia"/>
                <w:sz w:val="24"/>
              </w:rPr>
              <w:t>排</w:t>
            </w:r>
            <w:r>
              <w:rPr>
                <w:sz w:val="24"/>
              </w:rPr>
              <w:t>污染物</w:t>
            </w:r>
            <w:r>
              <w:rPr>
                <w:rFonts w:hint="eastAsia"/>
                <w:sz w:val="24"/>
              </w:rPr>
              <w:t>情况详见下表</w:t>
            </w:r>
            <w:r>
              <w:rPr>
                <w:sz w:val="24"/>
              </w:rPr>
              <w:t>。</w:t>
            </w:r>
          </w:p>
          <w:p>
            <w:pPr>
              <w:jc w:val="center"/>
              <w:rPr>
                <w:b/>
                <w:szCs w:val="21"/>
              </w:rPr>
            </w:pPr>
            <w:r>
              <w:rPr>
                <w:b/>
                <w:szCs w:val="21"/>
              </w:rPr>
              <w:t>表4-</w:t>
            </w:r>
            <w:r>
              <w:rPr>
                <w:rFonts w:hint="eastAsia"/>
                <w:b/>
                <w:szCs w:val="21"/>
              </w:rPr>
              <w:t>2居民厨房</w:t>
            </w:r>
            <w:r>
              <w:rPr>
                <w:b/>
                <w:szCs w:val="21"/>
              </w:rPr>
              <w:t>燃烧天然气污染物</w:t>
            </w:r>
            <w:r>
              <w:rPr>
                <w:rFonts w:hint="eastAsia"/>
                <w:b/>
                <w:szCs w:val="21"/>
              </w:rPr>
              <w:t>产排污一览表</w:t>
            </w:r>
          </w:p>
          <w:tbl>
            <w:tblPr>
              <w:tblStyle w:val="18"/>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817"/>
              <w:gridCol w:w="3615"/>
              <w:gridCol w:w="1635"/>
              <w:gridCol w:w="1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929" w:type="dxa"/>
                  <w:vAlign w:val="center"/>
                </w:tcPr>
                <w:p>
                  <w:pPr>
                    <w:jc w:val="center"/>
                    <w:rPr>
                      <w:b/>
                      <w:position w:val="-32"/>
                      <w:szCs w:val="21"/>
                    </w:rPr>
                  </w:pPr>
                  <w:r>
                    <w:rPr>
                      <w:b/>
                      <w:position w:val="-32"/>
                      <w:szCs w:val="21"/>
                    </w:rPr>
                    <w:t>序号</w:t>
                  </w:r>
                </w:p>
              </w:tc>
              <w:tc>
                <w:tcPr>
                  <w:tcW w:w="822" w:type="dxa"/>
                  <w:vAlign w:val="center"/>
                </w:tcPr>
                <w:p>
                  <w:pPr>
                    <w:jc w:val="center"/>
                    <w:rPr>
                      <w:b/>
                      <w:szCs w:val="21"/>
                    </w:rPr>
                  </w:pPr>
                  <w:r>
                    <w:rPr>
                      <w:b/>
                      <w:szCs w:val="21"/>
                    </w:rPr>
                    <w:t>污染物</w:t>
                  </w:r>
                </w:p>
                <w:p>
                  <w:pPr>
                    <w:jc w:val="center"/>
                    <w:rPr>
                      <w:b/>
                      <w:szCs w:val="21"/>
                    </w:rPr>
                  </w:pPr>
                  <w:r>
                    <w:rPr>
                      <w:b/>
                      <w:szCs w:val="21"/>
                    </w:rPr>
                    <w:t>名称</w:t>
                  </w:r>
                </w:p>
              </w:tc>
              <w:tc>
                <w:tcPr>
                  <w:tcW w:w="3672" w:type="dxa"/>
                  <w:vAlign w:val="center"/>
                </w:tcPr>
                <w:p>
                  <w:pPr>
                    <w:jc w:val="center"/>
                    <w:rPr>
                      <w:b/>
                      <w:szCs w:val="21"/>
                    </w:rPr>
                  </w:pPr>
                  <w:r>
                    <w:rPr>
                      <w:b/>
                      <w:szCs w:val="21"/>
                    </w:rPr>
                    <w:t>每万标立方米天然气燃烧污染物</w:t>
                  </w:r>
                  <w:r>
                    <w:rPr>
                      <w:rFonts w:hint="eastAsia"/>
                      <w:b/>
                      <w:szCs w:val="21"/>
                    </w:rPr>
                    <w:t>排放系数</w:t>
                  </w:r>
                </w:p>
              </w:tc>
              <w:tc>
                <w:tcPr>
                  <w:tcW w:w="1650" w:type="dxa"/>
                  <w:vAlign w:val="center"/>
                </w:tcPr>
                <w:p>
                  <w:pPr>
                    <w:jc w:val="center"/>
                    <w:rPr>
                      <w:b/>
                      <w:szCs w:val="21"/>
                    </w:rPr>
                  </w:pPr>
                  <w:r>
                    <w:rPr>
                      <w:b/>
                      <w:szCs w:val="21"/>
                    </w:rPr>
                    <w:t>燃烧天然气废气</w:t>
                  </w:r>
                </w:p>
                <w:p>
                  <w:pPr>
                    <w:jc w:val="center"/>
                    <w:rPr>
                      <w:b/>
                      <w:szCs w:val="21"/>
                    </w:rPr>
                  </w:pPr>
                  <w:r>
                    <w:rPr>
                      <w:b/>
                      <w:szCs w:val="21"/>
                    </w:rPr>
                    <w:t>产生量</w:t>
                  </w:r>
                  <w:r>
                    <w:rPr>
                      <w:rFonts w:hint="eastAsia"/>
                      <w:b/>
                      <w:szCs w:val="21"/>
                    </w:rPr>
                    <w:t>（t/a）</w:t>
                  </w:r>
                </w:p>
              </w:tc>
              <w:tc>
                <w:tcPr>
                  <w:tcW w:w="1672" w:type="dxa"/>
                  <w:vAlign w:val="center"/>
                </w:tcPr>
                <w:p>
                  <w:pPr>
                    <w:jc w:val="center"/>
                    <w:rPr>
                      <w:b/>
                      <w:szCs w:val="21"/>
                    </w:rPr>
                  </w:pPr>
                  <w:r>
                    <w:rPr>
                      <w:b/>
                      <w:szCs w:val="21"/>
                    </w:rPr>
                    <w:t>燃烧天然气废气</w:t>
                  </w:r>
                </w:p>
                <w:p>
                  <w:pPr>
                    <w:jc w:val="center"/>
                    <w:rPr>
                      <w:b/>
                      <w:szCs w:val="21"/>
                    </w:rPr>
                  </w:pPr>
                  <w:r>
                    <w:rPr>
                      <w:b/>
                      <w:szCs w:val="21"/>
                    </w:rPr>
                    <w:t>年</w:t>
                  </w:r>
                  <w:r>
                    <w:rPr>
                      <w:rFonts w:hint="eastAsia"/>
                      <w:b/>
                      <w:szCs w:val="21"/>
                    </w:rPr>
                    <w:t>排放</w:t>
                  </w:r>
                  <w:r>
                    <w:rPr>
                      <w:b/>
                      <w:szCs w:val="21"/>
                    </w:rPr>
                    <w:t>量</w:t>
                  </w:r>
                  <w:r>
                    <w:rPr>
                      <w:rFonts w:hint="eastAsia"/>
                      <w:b/>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restart"/>
                  <w:vAlign w:val="center"/>
                </w:tcPr>
                <w:p>
                  <w:pPr>
                    <w:jc w:val="center"/>
                    <w:rPr>
                      <w:rFonts w:hint="default" w:eastAsia="宋体"/>
                      <w:bCs/>
                      <w:szCs w:val="21"/>
                      <w:lang w:val="en-US" w:eastAsia="zh-CN"/>
                    </w:rPr>
                  </w:pPr>
                  <w:r>
                    <w:rPr>
                      <w:rFonts w:hint="eastAsia"/>
                      <w:bCs/>
                      <w:szCs w:val="21"/>
                      <w:lang w:val="en-US" w:eastAsia="zh-CN"/>
                    </w:rPr>
                    <w:t>02#地块</w:t>
                  </w:r>
                </w:p>
              </w:tc>
              <w:tc>
                <w:tcPr>
                  <w:tcW w:w="822" w:type="dxa"/>
                  <w:vAlign w:val="center"/>
                </w:tcPr>
                <w:p>
                  <w:pPr>
                    <w:jc w:val="center"/>
                    <w:rPr>
                      <w:bCs/>
                      <w:szCs w:val="21"/>
                    </w:rPr>
                  </w:pPr>
                  <w:r>
                    <w:rPr>
                      <w:bCs/>
                      <w:szCs w:val="21"/>
                    </w:rPr>
                    <w:t>NO</w:t>
                  </w:r>
                  <w:r>
                    <w:rPr>
                      <w:bCs/>
                      <w:szCs w:val="21"/>
                      <w:vertAlign w:val="subscript"/>
                    </w:rPr>
                    <w:t>x</w:t>
                  </w:r>
                </w:p>
              </w:tc>
              <w:tc>
                <w:tcPr>
                  <w:tcW w:w="3672" w:type="dxa"/>
                  <w:vAlign w:val="center"/>
                </w:tcPr>
                <w:p>
                  <w:pPr>
                    <w:jc w:val="center"/>
                    <w:rPr>
                      <w:bCs/>
                      <w:szCs w:val="21"/>
                    </w:rPr>
                  </w:pPr>
                  <w:r>
                    <w:rPr>
                      <w:bCs/>
                      <w:szCs w:val="21"/>
                    </w:rPr>
                    <w:t>18.43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bCs/>
                      <w:szCs w:val="21"/>
                    </w:rPr>
                  </w:pPr>
                  <w:r>
                    <w:rPr>
                      <w:rFonts w:hint="eastAsia"/>
                      <w:bCs/>
                      <w:szCs w:val="21"/>
                      <w:lang w:val="en-US" w:eastAsia="zh-CN"/>
                    </w:rPr>
                    <w:t>0.492</w:t>
                  </w:r>
                </w:p>
              </w:tc>
              <w:tc>
                <w:tcPr>
                  <w:tcW w:w="1672" w:type="dxa"/>
                  <w:vAlign w:val="center"/>
                </w:tcPr>
                <w:p>
                  <w:pPr>
                    <w:jc w:val="center"/>
                    <w:rPr>
                      <w:bCs/>
                      <w:szCs w:val="21"/>
                    </w:rPr>
                  </w:pPr>
                  <w:r>
                    <w:rPr>
                      <w:rFonts w:hint="eastAsia"/>
                      <w:bCs/>
                      <w:szCs w:val="21"/>
                      <w:lang w:val="en-US" w:eastAsia="zh-CN"/>
                    </w:rPr>
                    <w:t>0.492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continue"/>
                  <w:vAlign w:val="center"/>
                </w:tcPr>
                <w:p>
                  <w:pPr>
                    <w:jc w:val="center"/>
                    <w:rPr>
                      <w:bCs/>
                      <w:szCs w:val="21"/>
                    </w:rPr>
                  </w:pPr>
                </w:p>
              </w:tc>
              <w:tc>
                <w:tcPr>
                  <w:tcW w:w="822" w:type="dxa"/>
                  <w:vAlign w:val="center"/>
                </w:tcPr>
                <w:p>
                  <w:pPr>
                    <w:jc w:val="center"/>
                    <w:rPr>
                      <w:bCs/>
                      <w:szCs w:val="21"/>
                    </w:rPr>
                  </w:pPr>
                  <w:r>
                    <w:rPr>
                      <w:bCs/>
                      <w:szCs w:val="21"/>
                    </w:rPr>
                    <w:t>SO</w:t>
                  </w:r>
                  <w:r>
                    <w:rPr>
                      <w:bCs/>
                      <w:szCs w:val="21"/>
                      <w:vertAlign w:val="subscript"/>
                    </w:rPr>
                    <w:t>2</w:t>
                  </w:r>
                </w:p>
              </w:tc>
              <w:tc>
                <w:tcPr>
                  <w:tcW w:w="3672" w:type="dxa"/>
                  <w:vAlign w:val="center"/>
                </w:tcPr>
                <w:p>
                  <w:pPr>
                    <w:jc w:val="center"/>
                    <w:rPr>
                      <w:bCs/>
                      <w:szCs w:val="21"/>
                    </w:rPr>
                  </w:pPr>
                  <w:r>
                    <w:rPr>
                      <w:bCs/>
                      <w:szCs w:val="21"/>
                    </w:rPr>
                    <w:t>6.3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bCs/>
                      <w:szCs w:val="21"/>
                    </w:rPr>
                  </w:pPr>
                  <w:r>
                    <w:rPr>
                      <w:rFonts w:hint="eastAsia"/>
                      <w:bCs/>
                      <w:szCs w:val="21"/>
                      <w:lang w:val="en-US" w:eastAsia="zh-CN"/>
                    </w:rPr>
                    <w:t>0.168</w:t>
                  </w:r>
                </w:p>
              </w:tc>
              <w:tc>
                <w:tcPr>
                  <w:tcW w:w="1672" w:type="dxa"/>
                  <w:vAlign w:val="center"/>
                </w:tcPr>
                <w:p>
                  <w:pPr>
                    <w:jc w:val="center"/>
                    <w:rPr>
                      <w:bCs/>
                      <w:szCs w:val="21"/>
                    </w:rPr>
                  </w:pPr>
                  <w:r>
                    <w:rPr>
                      <w:rFonts w:hint="eastAsia"/>
                      <w:bCs/>
                      <w:szCs w:val="21"/>
                      <w:lang w:val="en-US" w:eastAsia="zh-CN"/>
                    </w:rPr>
                    <w:t>0.168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continue"/>
                  <w:vAlign w:val="center"/>
                </w:tcPr>
                <w:p>
                  <w:pPr>
                    <w:jc w:val="center"/>
                    <w:rPr>
                      <w:bCs/>
                      <w:szCs w:val="21"/>
                    </w:rPr>
                  </w:pPr>
                </w:p>
              </w:tc>
              <w:tc>
                <w:tcPr>
                  <w:tcW w:w="822" w:type="dxa"/>
                  <w:vAlign w:val="center"/>
                </w:tcPr>
                <w:p>
                  <w:pPr>
                    <w:jc w:val="center"/>
                    <w:rPr>
                      <w:bCs/>
                      <w:szCs w:val="21"/>
                    </w:rPr>
                  </w:pPr>
                  <w:r>
                    <w:rPr>
                      <w:bCs/>
                      <w:szCs w:val="21"/>
                    </w:rPr>
                    <w:t>烟尘</w:t>
                  </w:r>
                </w:p>
              </w:tc>
              <w:tc>
                <w:tcPr>
                  <w:tcW w:w="3672" w:type="dxa"/>
                  <w:vAlign w:val="center"/>
                </w:tcPr>
                <w:p>
                  <w:pPr>
                    <w:jc w:val="center"/>
                    <w:rPr>
                      <w:bCs/>
                      <w:szCs w:val="21"/>
                    </w:rPr>
                  </w:pPr>
                  <w:r>
                    <w:rPr>
                      <w:bCs/>
                      <w:szCs w:val="21"/>
                    </w:rPr>
                    <w:t>3.02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bCs/>
                      <w:szCs w:val="21"/>
                    </w:rPr>
                  </w:pPr>
                  <w:r>
                    <w:rPr>
                      <w:rFonts w:hint="eastAsia"/>
                      <w:bCs/>
                      <w:szCs w:val="21"/>
                      <w:lang w:val="en-US" w:eastAsia="zh-CN"/>
                    </w:rPr>
                    <w:t>0.08</w:t>
                  </w:r>
                </w:p>
              </w:tc>
              <w:tc>
                <w:tcPr>
                  <w:tcW w:w="1672" w:type="dxa"/>
                  <w:vAlign w:val="center"/>
                </w:tcPr>
                <w:p>
                  <w:pPr>
                    <w:jc w:val="center"/>
                    <w:rPr>
                      <w:bCs/>
                      <w:szCs w:val="21"/>
                    </w:rPr>
                  </w:pPr>
                  <w:r>
                    <w:rPr>
                      <w:rFonts w:hint="eastAsia"/>
                      <w:bCs/>
                      <w:szCs w:val="21"/>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restart"/>
                  <w:vAlign w:val="center"/>
                </w:tcPr>
                <w:p>
                  <w:pPr>
                    <w:jc w:val="center"/>
                    <w:rPr>
                      <w:rFonts w:hint="default" w:eastAsia="宋体"/>
                      <w:bCs/>
                      <w:szCs w:val="21"/>
                      <w:lang w:val="en-US" w:eastAsia="zh-CN"/>
                    </w:rPr>
                  </w:pPr>
                  <w:r>
                    <w:rPr>
                      <w:rFonts w:hint="eastAsia"/>
                      <w:bCs/>
                      <w:szCs w:val="21"/>
                      <w:lang w:val="en-US" w:eastAsia="zh-CN"/>
                    </w:rPr>
                    <w:t>03#地块</w:t>
                  </w:r>
                </w:p>
              </w:tc>
              <w:tc>
                <w:tcPr>
                  <w:tcW w:w="822" w:type="dxa"/>
                  <w:vAlign w:val="center"/>
                </w:tcPr>
                <w:p>
                  <w:pPr>
                    <w:jc w:val="center"/>
                    <w:rPr>
                      <w:bCs/>
                      <w:szCs w:val="21"/>
                    </w:rPr>
                  </w:pPr>
                  <w:r>
                    <w:rPr>
                      <w:bCs/>
                      <w:szCs w:val="21"/>
                    </w:rPr>
                    <w:t>NO</w:t>
                  </w:r>
                  <w:r>
                    <w:rPr>
                      <w:bCs/>
                      <w:szCs w:val="21"/>
                      <w:vertAlign w:val="subscript"/>
                    </w:rPr>
                    <w:t>x</w:t>
                  </w:r>
                </w:p>
              </w:tc>
              <w:tc>
                <w:tcPr>
                  <w:tcW w:w="3672" w:type="dxa"/>
                  <w:vAlign w:val="center"/>
                </w:tcPr>
                <w:p>
                  <w:pPr>
                    <w:jc w:val="center"/>
                    <w:rPr>
                      <w:bCs/>
                      <w:szCs w:val="21"/>
                    </w:rPr>
                  </w:pPr>
                  <w:r>
                    <w:rPr>
                      <w:bCs/>
                      <w:szCs w:val="21"/>
                    </w:rPr>
                    <w:t>18.43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rFonts w:hint="default" w:eastAsia="宋体"/>
                      <w:bCs/>
                      <w:szCs w:val="21"/>
                      <w:lang w:val="en-US" w:eastAsia="zh-CN"/>
                    </w:rPr>
                  </w:pPr>
                  <w:r>
                    <w:rPr>
                      <w:rFonts w:hint="eastAsia"/>
                      <w:bCs/>
                      <w:szCs w:val="21"/>
                      <w:lang w:val="en-US" w:eastAsia="zh-CN"/>
                    </w:rPr>
                    <w:t>0.4</w:t>
                  </w:r>
                </w:p>
              </w:tc>
              <w:tc>
                <w:tcPr>
                  <w:tcW w:w="1672" w:type="dxa"/>
                  <w:vAlign w:val="center"/>
                </w:tcPr>
                <w:p>
                  <w:pPr>
                    <w:jc w:val="center"/>
                    <w:rPr>
                      <w:rFonts w:hint="default" w:eastAsia="宋体"/>
                      <w:bCs/>
                      <w:szCs w:val="21"/>
                      <w:lang w:val="en-US" w:eastAsia="zh-CN"/>
                    </w:rPr>
                  </w:pPr>
                  <w:r>
                    <w:rPr>
                      <w:rFonts w:hint="eastAsia"/>
                      <w:bCs/>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continue"/>
                  <w:vAlign w:val="center"/>
                </w:tcPr>
                <w:p>
                  <w:pPr>
                    <w:jc w:val="center"/>
                    <w:rPr>
                      <w:bCs/>
                      <w:szCs w:val="21"/>
                    </w:rPr>
                  </w:pPr>
                </w:p>
              </w:tc>
              <w:tc>
                <w:tcPr>
                  <w:tcW w:w="822" w:type="dxa"/>
                  <w:vAlign w:val="center"/>
                </w:tcPr>
                <w:p>
                  <w:pPr>
                    <w:jc w:val="center"/>
                    <w:rPr>
                      <w:bCs/>
                      <w:szCs w:val="21"/>
                    </w:rPr>
                  </w:pPr>
                  <w:r>
                    <w:rPr>
                      <w:bCs/>
                      <w:szCs w:val="21"/>
                    </w:rPr>
                    <w:t>SO</w:t>
                  </w:r>
                  <w:r>
                    <w:rPr>
                      <w:bCs/>
                      <w:szCs w:val="21"/>
                      <w:vertAlign w:val="subscript"/>
                    </w:rPr>
                    <w:t>2</w:t>
                  </w:r>
                </w:p>
              </w:tc>
              <w:tc>
                <w:tcPr>
                  <w:tcW w:w="3672" w:type="dxa"/>
                  <w:vAlign w:val="center"/>
                </w:tcPr>
                <w:p>
                  <w:pPr>
                    <w:jc w:val="center"/>
                    <w:rPr>
                      <w:bCs/>
                      <w:szCs w:val="21"/>
                    </w:rPr>
                  </w:pPr>
                  <w:r>
                    <w:rPr>
                      <w:bCs/>
                      <w:szCs w:val="21"/>
                    </w:rPr>
                    <w:t>6.3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rFonts w:hint="default" w:eastAsia="宋体"/>
                      <w:bCs/>
                      <w:szCs w:val="21"/>
                      <w:lang w:val="en-US" w:eastAsia="zh-CN"/>
                    </w:rPr>
                  </w:pPr>
                  <w:r>
                    <w:rPr>
                      <w:rFonts w:hint="eastAsia"/>
                      <w:bCs/>
                      <w:szCs w:val="21"/>
                      <w:lang w:val="en-US" w:eastAsia="zh-CN"/>
                    </w:rPr>
                    <w:t>0.137</w:t>
                  </w:r>
                </w:p>
              </w:tc>
              <w:tc>
                <w:tcPr>
                  <w:tcW w:w="1672" w:type="dxa"/>
                  <w:vAlign w:val="center"/>
                </w:tcPr>
                <w:p>
                  <w:pPr>
                    <w:jc w:val="center"/>
                    <w:rPr>
                      <w:rFonts w:hint="default" w:eastAsia="宋体"/>
                      <w:bCs/>
                      <w:szCs w:val="21"/>
                      <w:lang w:val="en-US" w:eastAsia="zh-CN"/>
                    </w:rPr>
                  </w:pPr>
                  <w:r>
                    <w:rPr>
                      <w:rFonts w:hint="eastAsia"/>
                      <w:bCs/>
                      <w:szCs w:val="21"/>
                      <w:lang w:val="en-US" w:eastAsia="zh-CN"/>
                    </w:rPr>
                    <w:t>0.137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29" w:type="dxa"/>
                  <w:vMerge w:val="continue"/>
                  <w:vAlign w:val="center"/>
                </w:tcPr>
                <w:p>
                  <w:pPr>
                    <w:jc w:val="center"/>
                    <w:rPr>
                      <w:bCs/>
                      <w:szCs w:val="21"/>
                    </w:rPr>
                  </w:pPr>
                </w:p>
              </w:tc>
              <w:tc>
                <w:tcPr>
                  <w:tcW w:w="822" w:type="dxa"/>
                  <w:vAlign w:val="center"/>
                </w:tcPr>
                <w:p>
                  <w:pPr>
                    <w:jc w:val="center"/>
                    <w:rPr>
                      <w:bCs/>
                      <w:szCs w:val="21"/>
                    </w:rPr>
                  </w:pPr>
                  <w:r>
                    <w:rPr>
                      <w:bCs/>
                      <w:szCs w:val="21"/>
                    </w:rPr>
                    <w:t>烟尘</w:t>
                  </w:r>
                </w:p>
              </w:tc>
              <w:tc>
                <w:tcPr>
                  <w:tcW w:w="3672" w:type="dxa"/>
                  <w:vAlign w:val="center"/>
                </w:tcPr>
                <w:p>
                  <w:pPr>
                    <w:jc w:val="center"/>
                    <w:rPr>
                      <w:bCs/>
                      <w:szCs w:val="21"/>
                    </w:rPr>
                  </w:pPr>
                  <w:r>
                    <w:rPr>
                      <w:bCs/>
                      <w:szCs w:val="21"/>
                    </w:rPr>
                    <w:t>3.02 kg</w:t>
                  </w:r>
                  <w:r>
                    <w:rPr>
                      <w:rFonts w:hint="eastAsia"/>
                      <w:bCs/>
                      <w:szCs w:val="21"/>
                    </w:rPr>
                    <w:t>/万</w:t>
                  </w:r>
                  <w:r>
                    <w:rPr>
                      <w:bCs/>
                      <w:color w:val="000000"/>
                      <w:szCs w:val="21"/>
                    </w:rPr>
                    <w:t>Nm</w:t>
                  </w:r>
                  <w:r>
                    <w:rPr>
                      <w:bCs/>
                      <w:color w:val="000000"/>
                      <w:szCs w:val="21"/>
                      <w:vertAlign w:val="superscript"/>
                    </w:rPr>
                    <w:t>3</w:t>
                  </w:r>
                  <w:r>
                    <w:rPr>
                      <w:rFonts w:hAnsi="宋体"/>
                      <w:bCs/>
                      <w:color w:val="000000"/>
                      <w:sz w:val="18"/>
                      <w:szCs w:val="18"/>
                    </w:rPr>
                    <w:t>气</w:t>
                  </w:r>
                </w:p>
              </w:tc>
              <w:tc>
                <w:tcPr>
                  <w:tcW w:w="1650" w:type="dxa"/>
                  <w:vAlign w:val="center"/>
                </w:tcPr>
                <w:p>
                  <w:pPr>
                    <w:jc w:val="center"/>
                    <w:rPr>
                      <w:rFonts w:hint="default" w:eastAsia="宋体"/>
                      <w:bCs/>
                      <w:szCs w:val="21"/>
                      <w:lang w:val="en-US" w:eastAsia="zh-CN"/>
                    </w:rPr>
                  </w:pPr>
                  <w:r>
                    <w:rPr>
                      <w:rFonts w:hint="eastAsia"/>
                      <w:bCs/>
                      <w:szCs w:val="21"/>
                      <w:lang w:val="en-US" w:eastAsia="zh-CN"/>
                    </w:rPr>
                    <w:t>0.066</w:t>
                  </w:r>
                </w:p>
              </w:tc>
              <w:tc>
                <w:tcPr>
                  <w:tcW w:w="1672" w:type="dxa"/>
                  <w:vAlign w:val="center"/>
                </w:tcPr>
                <w:p>
                  <w:pPr>
                    <w:jc w:val="center"/>
                    <w:rPr>
                      <w:rFonts w:hint="default" w:eastAsia="宋体"/>
                      <w:bCs/>
                      <w:szCs w:val="21"/>
                      <w:lang w:val="en-US" w:eastAsia="zh-CN"/>
                    </w:rPr>
                  </w:pPr>
                  <w:r>
                    <w:rPr>
                      <w:rFonts w:hint="eastAsia"/>
                      <w:bCs/>
                      <w:szCs w:val="21"/>
                      <w:lang w:val="en-US" w:eastAsia="zh-CN"/>
                    </w:rPr>
                    <w:t>0.066</w:t>
                  </w:r>
                </w:p>
              </w:tc>
            </w:tr>
          </w:tbl>
          <w:p>
            <w:pPr>
              <w:spacing w:line="360" w:lineRule="auto"/>
              <w:ind w:firstLine="482" w:firstLineChars="200"/>
              <w:rPr>
                <w:b/>
                <w:kern w:val="24"/>
                <w:sz w:val="24"/>
              </w:rPr>
            </w:pPr>
            <w:r>
              <w:rPr>
                <w:b/>
                <w:kern w:val="24"/>
                <w:sz w:val="24"/>
              </w:rPr>
              <w:t>3、</w:t>
            </w:r>
            <w:r>
              <w:rPr>
                <w:rFonts w:hint="eastAsia"/>
                <w:b/>
                <w:kern w:val="24"/>
                <w:sz w:val="24"/>
              </w:rPr>
              <w:t>机动车</w:t>
            </w:r>
            <w:r>
              <w:rPr>
                <w:b/>
                <w:kern w:val="24"/>
                <w:sz w:val="24"/>
              </w:rPr>
              <w:t>尾气</w:t>
            </w:r>
          </w:p>
          <w:p>
            <w:pPr>
              <w:spacing w:line="360" w:lineRule="auto"/>
              <w:ind w:firstLine="480" w:firstLineChars="200"/>
              <w:rPr>
                <w:rFonts w:hint="eastAsia" w:eastAsia="宋体"/>
                <w:sz w:val="24"/>
                <w:lang w:val="en-US" w:eastAsia="zh-CN"/>
              </w:rPr>
            </w:pPr>
            <w:r>
              <w:rPr>
                <w:rFonts w:hint="eastAsia"/>
                <w:bCs/>
                <w:kern w:val="24"/>
                <w:sz w:val="24"/>
              </w:rPr>
              <w:t>机动车出入小区</w:t>
            </w:r>
            <w:r>
              <w:rPr>
                <w:bCs/>
                <w:kern w:val="24"/>
                <w:sz w:val="24"/>
              </w:rPr>
              <w:t>时将排放一定量的CO、THC、NOx等。</w:t>
            </w:r>
            <w:r>
              <w:rPr>
                <w:rFonts w:hint="eastAsia"/>
                <w:bCs/>
                <w:kern w:val="24"/>
                <w:sz w:val="24"/>
              </w:rPr>
              <w:t>根据</w:t>
            </w:r>
            <w:r>
              <w:rPr>
                <w:sz w:val="24"/>
              </w:rPr>
              <w:t>设计，本项目机动车停车位</w:t>
            </w:r>
            <w:r>
              <w:rPr>
                <w:rFonts w:hint="eastAsia"/>
                <w:sz w:val="24"/>
              </w:rPr>
              <w:t>3103</w:t>
            </w:r>
            <w:r>
              <w:rPr>
                <w:sz w:val="24"/>
              </w:rPr>
              <w:t>个，</w:t>
            </w:r>
            <w:r>
              <w:rPr>
                <w:rFonts w:hint="eastAsia"/>
                <w:sz w:val="24"/>
              </w:rPr>
              <w:t>其中，</w:t>
            </w:r>
            <w:r>
              <w:rPr>
                <w:rFonts w:hint="eastAsia"/>
                <w:sz w:val="24"/>
                <w:lang w:val="en-US" w:eastAsia="zh-CN"/>
              </w:rPr>
              <w:t>02#地块</w:t>
            </w:r>
            <w:r>
              <w:rPr>
                <w:rFonts w:hint="eastAsia"/>
                <w:sz w:val="24"/>
              </w:rPr>
              <w:t>地上停车位</w:t>
            </w:r>
            <w:r>
              <w:rPr>
                <w:rFonts w:hint="eastAsia"/>
                <w:sz w:val="24"/>
                <w:lang w:val="en-US" w:eastAsia="zh-CN"/>
              </w:rPr>
              <w:t>136个，地下停车位1365个；03#地块地上停车位95个，地下停车位1008个；04#地块地上停车位72个，地下停车位426个。</w:t>
            </w:r>
          </w:p>
          <w:p>
            <w:pPr>
              <w:spacing w:line="360" w:lineRule="auto"/>
              <w:ind w:firstLine="480" w:firstLineChars="200"/>
              <w:rPr>
                <w:rStyle w:val="29"/>
              </w:rPr>
            </w:pPr>
            <w:r>
              <w:rPr>
                <w:rFonts w:hint="eastAsia"/>
                <w:sz w:val="24"/>
              </w:rPr>
              <w:t>地面停车位分散于四周，排放出的尾气经周围绿化带吸附以及大气稀释后，对周围环境影响较小</w:t>
            </w:r>
            <w:r>
              <w:rPr>
                <w:rStyle w:val="29"/>
                <w:rFonts w:hint="eastAsia"/>
              </w:rPr>
              <w:t>，本次评价重点对地下停车场废气排放情况进行分析。</w:t>
            </w:r>
          </w:p>
          <w:p>
            <w:pPr>
              <w:pStyle w:val="2"/>
              <w:ind w:firstLine="480"/>
              <w:rPr>
                <w:rFonts w:hint="eastAsia"/>
              </w:rPr>
            </w:pPr>
            <w:r>
              <w:t>进入本项目</w:t>
            </w:r>
            <w:r>
              <w:rPr>
                <w:rFonts w:hint="eastAsia"/>
              </w:rPr>
              <w:t>地下</w:t>
            </w:r>
            <w:r>
              <w:t>停车场的机动车基本上为小型车（属于第一类车），根据</w:t>
            </w:r>
            <w:r>
              <w:rPr>
                <w:rFonts w:hint="eastAsia"/>
              </w:rPr>
              <w:t>《轻型汽车污染物排放限值及测量方法（中国第六阶段）》（GB18352.6-2016）中</w:t>
            </w:r>
            <w:r>
              <w:t>取值，分别取</w:t>
            </w:r>
            <w:r>
              <w:rPr>
                <w:rFonts w:hint="eastAsia"/>
              </w:rPr>
              <w:t>500m</w:t>
            </w:r>
            <w:r>
              <w:t>g/km、</w:t>
            </w:r>
            <w:r>
              <w:rPr>
                <w:rFonts w:hint="eastAsia"/>
              </w:rPr>
              <w:t>50m</w:t>
            </w:r>
            <w:r>
              <w:t>g/km和</w:t>
            </w:r>
            <w:r>
              <w:rPr>
                <w:rFonts w:hint="eastAsia"/>
              </w:rPr>
              <w:t>35m</w:t>
            </w:r>
            <w:r>
              <w:t>g/km。</w:t>
            </w:r>
            <w:r>
              <w:rPr>
                <w:rFonts w:hint="eastAsia"/>
              </w:rPr>
              <w:t>地下停车场车位中</w:t>
            </w:r>
            <w:r>
              <w:rPr>
                <w:rFonts w:hint="eastAsia"/>
                <w:lang w:val="en-US" w:eastAsia="zh-CN"/>
              </w:rPr>
              <w:t>02#地块</w:t>
            </w:r>
            <w:r>
              <w:t>充电桩车位</w:t>
            </w:r>
            <w:r>
              <w:rPr>
                <w:rFonts w:hint="eastAsia"/>
              </w:rPr>
              <w:t>有</w:t>
            </w:r>
          </w:p>
          <w:p>
            <w:pPr>
              <w:pStyle w:val="2"/>
              <w:ind w:firstLine="0" w:firstLineChars="0"/>
            </w:pPr>
            <w:r>
              <w:rPr>
                <w:rFonts w:hint="eastAsia"/>
                <w:lang w:val="en-US" w:eastAsia="zh-CN"/>
              </w:rPr>
              <w:t>169个，03#地块充电桩车位有96个，04#地块充电桩车位有102个，</w:t>
            </w:r>
            <w:r>
              <w:t>充电桩车位</w:t>
            </w:r>
            <w:r>
              <w:rPr>
                <w:rFonts w:hint="eastAsia"/>
              </w:rPr>
              <w:t>为电动汽车专属车位</w:t>
            </w:r>
            <w:r>
              <w:rPr>
                <w:rFonts w:hint="eastAsia"/>
                <w:lang w:eastAsia="zh-CN"/>
              </w:rPr>
              <w:t>。</w:t>
            </w:r>
            <w:r>
              <w:rPr>
                <w:rFonts w:hint="eastAsia"/>
              </w:rPr>
              <w:t>因此，本次评价</w:t>
            </w:r>
            <w:r>
              <w:rPr>
                <w:rFonts w:hint="eastAsia"/>
                <w:lang w:val="en-US" w:eastAsia="zh-CN"/>
              </w:rPr>
              <w:t>02#地块</w:t>
            </w:r>
            <w:r>
              <w:rPr>
                <w:rFonts w:hint="eastAsia"/>
              </w:rPr>
              <w:t>机动车车位按</w:t>
            </w:r>
            <w:r>
              <w:rPr>
                <w:rFonts w:hint="eastAsia"/>
                <w:lang w:val="en-US" w:eastAsia="zh-CN"/>
              </w:rPr>
              <w:t>1196计，03#地块机动车车位按912个计，04#地块机动车车位按324个计</w:t>
            </w:r>
            <w:r>
              <w:t>。</w:t>
            </w:r>
            <w:r>
              <w:rPr>
                <w:kern w:val="0"/>
              </w:rPr>
              <w:t>按满位计算</w:t>
            </w:r>
            <w:r>
              <w:t>，每个车位车辆日进出按1次计，则</w:t>
            </w:r>
            <w:r>
              <w:rPr>
                <w:rFonts w:hint="eastAsia"/>
                <w:lang w:val="en-US" w:eastAsia="zh-CN"/>
              </w:rPr>
              <w:t>02#地块</w:t>
            </w:r>
            <w:r>
              <w:t>平均日车流量为</w:t>
            </w:r>
            <w:r>
              <w:rPr>
                <w:rFonts w:hint="eastAsia"/>
              </w:rPr>
              <w:t>2392</w:t>
            </w:r>
            <w:r>
              <w:t>车次</w:t>
            </w:r>
            <w:r>
              <w:rPr>
                <w:rFonts w:hint="eastAsia"/>
                <w:lang w:eastAsia="zh-CN"/>
              </w:rPr>
              <w:t>，</w:t>
            </w:r>
            <w:r>
              <w:rPr>
                <w:rFonts w:hint="eastAsia"/>
                <w:lang w:val="en-US" w:eastAsia="zh-CN"/>
              </w:rPr>
              <w:t>03#地块</w:t>
            </w:r>
            <w:r>
              <w:t>平均日车流量为</w:t>
            </w:r>
            <w:r>
              <w:rPr>
                <w:rFonts w:hint="eastAsia"/>
                <w:lang w:val="en-US" w:eastAsia="zh-CN"/>
              </w:rPr>
              <w:t>1824</w:t>
            </w:r>
            <w:r>
              <w:t>车次</w:t>
            </w:r>
            <w:r>
              <w:rPr>
                <w:rFonts w:hint="eastAsia"/>
                <w:lang w:eastAsia="zh-CN"/>
              </w:rPr>
              <w:t>，</w:t>
            </w:r>
            <w:r>
              <w:rPr>
                <w:rFonts w:hint="eastAsia"/>
                <w:lang w:val="en-US" w:eastAsia="zh-CN"/>
              </w:rPr>
              <w:t>04#地块</w:t>
            </w:r>
            <w:r>
              <w:t>平均日车流量为</w:t>
            </w:r>
            <w:r>
              <w:rPr>
                <w:rFonts w:hint="eastAsia"/>
                <w:lang w:val="en-US" w:eastAsia="zh-CN"/>
              </w:rPr>
              <w:t>648</w:t>
            </w:r>
            <w:r>
              <w:t>车次</w:t>
            </w:r>
            <w:r>
              <w:rPr>
                <w:rFonts w:hint="eastAsia"/>
                <w:lang w:eastAsia="zh-CN"/>
              </w:rPr>
              <w:t>；</w:t>
            </w:r>
            <w:r>
              <w:t>机动车在小区范围内行驶平均距离按200m计</w:t>
            </w:r>
            <w:r>
              <w:rPr>
                <w:rFonts w:hint="eastAsia"/>
                <w:kern w:val="0"/>
              </w:rPr>
              <w:t>，本次按每天停车位均停满的情况下进行估算，</w:t>
            </w:r>
            <w:r>
              <w:rPr>
                <w:kern w:val="0"/>
              </w:rPr>
              <w:t>则</w:t>
            </w:r>
            <w:r>
              <w:rPr>
                <w:rFonts w:hint="eastAsia"/>
                <w:kern w:val="0"/>
              </w:rPr>
              <w:t>本项目地面停车位机动车</w:t>
            </w:r>
            <w:r>
              <w:rPr>
                <w:kern w:val="0"/>
              </w:rPr>
              <w:t>排放的污染物CO、THC和NO</w:t>
            </w:r>
            <w:r>
              <w:rPr>
                <w:kern w:val="0"/>
                <w:vertAlign w:val="subscript"/>
              </w:rPr>
              <w:t>x</w:t>
            </w:r>
            <w:r>
              <w:rPr>
                <w:kern w:val="0"/>
              </w:rPr>
              <w:t>计算结果见下表。</w:t>
            </w:r>
          </w:p>
          <w:p>
            <w:pPr>
              <w:autoSpaceDE w:val="0"/>
              <w:autoSpaceDN w:val="0"/>
              <w:adjustRightInd w:val="0"/>
              <w:snapToGrid w:val="0"/>
              <w:spacing w:line="269" w:lineRule="auto"/>
              <w:jc w:val="center"/>
              <w:rPr>
                <w:b/>
                <w:kern w:val="0"/>
                <w:szCs w:val="21"/>
              </w:rPr>
            </w:pPr>
            <w:r>
              <w:rPr>
                <w:b/>
                <w:kern w:val="0"/>
                <w:szCs w:val="21"/>
              </w:rPr>
              <w:t>表</w:t>
            </w:r>
            <w:r>
              <w:rPr>
                <w:rFonts w:hint="eastAsia"/>
                <w:b/>
                <w:kern w:val="0"/>
                <w:szCs w:val="21"/>
              </w:rPr>
              <w:t>4-3</w:t>
            </w:r>
            <w:r>
              <w:rPr>
                <w:b/>
                <w:kern w:val="0"/>
                <w:szCs w:val="21"/>
              </w:rPr>
              <w:t xml:space="preserve"> 汽车尾气中主要污染物排放量一览表</w:t>
            </w:r>
          </w:p>
          <w:tbl>
            <w:tblPr>
              <w:tblStyle w:val="18"/>
              <w:tblW w:w="864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304"/>
              <w:gridCol w:w="2304"/>
              <w:gridCol w:w="1353"/>
              <w:gridCol w:w="1357"/>
              <w:gridCol w:w="132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8" w:type="dxa"/>
                  <w:gridSpan w:val="2"/>
                  <w:vAlign w:val="center"/>
                </w:tcPr>
                <w:p>
                  <w:pPr>
                    <w:adjustRightInd w:val="0"/>
                    <w:snapToGrid w:val="0"/>
                    <w:spacing w:line="360" w:lineRule="exact"/>
                    <w:jc w:val="center"/>
                    <w:rPr>
                      <w:b/>
                      <w:bCs/>
                      <w:szCs w:val="21"/>
                    </w:rPr>
                  </w:pPr>
                  <w:r>
                    <w:rPr>
                      <w:rFonts w:hAnsi="宋体"/>
                      <w:b/>
                      <w:bCs/>
                      <w:szCs w:val="21"/>
                    </w:rPr>
                    <w:t>污染物</w:t>
                  </w:r>
                </w:p>
              </w:tc>
              <w:tc>
                <w:tcPr>
                  <w:tcW w:w="1353" w:type="dxa"/>
                  <w:vAlign w:val="center"/>
                </w:tcPr>
                <w:p>
                  <w:pPr>
                    <w:adjustRightInd w:val="0"/>
                    <w:snapToGrid w:val="0"/>
                    <w:spacing w:line="360" w:lineRule="exact"/>
                    <w:jc w:val="center"/>
                    <w:rPr>
                      <w:b/>
                      <w:bCs/>
                      <w:szCs w:val="21"/>
                    </w:rPr>
                  </w:pPr>
                  <w:r>
                    <w:rPr>
                      <w:b/>
                      <w:bCs/>
                      <w:szCs w:val="21"/>
                    </w:rPr>
                    <w:t>C</w:t>
                  </w:r>
                  <w:r>
                    <w:rPr>
                      <w:rFonts w:hint="eastAsia"/>
                      <w:b/>
                      <w:bCs/>
                      <w:szCs w:val="21"/>
                    </w:rPr>
                    <w:t>O</w:t>
                  </w:r>
                </w:p>
              </w:tc>
              <w:tc>
                <w:tcPr>
                  <w:tcW w:w="1357" w:type="dxa"/>
                  <w:vAlign w:val="center"/>
                </w:tcPr>
                <w:p>
                  <w:pPr>
                    <w:adjustRightInd w:val="0"/>
                    <w:snapToGrid w:val="0"/>
                    <w:spacing w:line="360" w:lineRule="exact"/>
                    <w:jc w:val="center"/>
                    <w:rPr>
                      <w:b/>
                      <w:bCs/>
                      <w:szCs w:val="21"/>
                    </w:rPr>
                  </w:pPr>
                  <w:r>
                    <w:rPr>
                      <w:rFonts w:hint="eastAsia"/>
                      <w:b/>
                      <w:bCs/>
                      <w:szCs w:val="21"/>
                    </w:rPr>
                    <w:t>THC</w:t>
                  </w:r>
                </w:p>
              </w:tc>
              <w:tc>
                <w:tcPr>
                  <w:tcW w:w="1329" w:type="dxa"/>
                  <w:vAlign w:val="center"/>
                </w:tcPr>
                <w:p>
                  <w:pPr>
                    <w:adjustRightInd w:val="0"/>
                    <w:snapToGrid w:val="0"/>
                    <w:spacing w:line="360" w:lineRule="exact"/>
                    <w:jc w:val="center"/>
                    <w:rPr>
                      <w:b/>
                      <w:bCs/>
                      <w:szCs w:val="21"/>
                    </w:rPr>
                  </w:pPr>
                  <w:r>
                    <w:rPr>
                      <w:b/>
                      <w:bCs/>
                      <w:szCs w:val="21"/>
                    </w:rPr>
                    <w:t>NO</w:t>
                  </w:r>
                  <w:r>
                    <w:rPr>
                      <w:b/>
                      <w:bCs/>
                      <w:szCs w:val="21"/>
                      <w:vertAlign w:val="subscript"/>
                    </w:rPr>
                    <w:t>x</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08" w:type="dxa"/>
                  <w:gridSpan w:val="2"/>
                  <w:vAlign w:val="center"/>
                </w:tcPr>
                <w:p>
                  <w:pPr>
                    <w:adjustRightInd w:val="0"/>
                    <w:snapToGrid w:val="0"/>
                    <w:spacing w:line="360" w:lineRule="exact"/>
                    <w:jc w:val="center"/>
                    <w:rPr>
                      <w:szCs w:val="21"/>
                    </w:rPr>
                  </w:pPr>
                  <w:r>
                    <w:rPr>
                      <w:rFonts w:hAnsi="宋体"/>
                      <w:szCs w:val="21"/>
                    </w:rPr>
                    <w:t>排放系数（</w:t>
                  </w:r>
                  <w:r>
                    <w:rPr>
                      <w:rFonts w:hint="eastAsia" w:hAnsi="宋体"/>
                      <w:szCs w:val="21"/>
                    </w:rPr>
                    <w:t>m</w:t>
                  </w:r>
                  <w:r>
                    <w:rPr>
                      <w:szCs w:val="21"/>
                    </w:rPr>
                    <w:t>g/</w:t>
                  </w:r>
                  <w:r>
                    <w:rPr>
                      <w:rFonts w:hAnsi="宋体"/>
                      <w:szCs w:val="21"/>
                    </w:rPr>
                    <w:t>辆</w:t>
                  </w:r>
                  <w:r>
                    <w:rPr>
                      <w:szCs w:val="21"/>
                    </w:rPr>
                    <w:t>·km</w:t>
                  </w:r>
                  <w:r>
                    <w:rPr>
                      <w:rFonts w:hAnsi="宋体"/>
                      <w:szCs w:val="21"/>
                    </w:rPr>
                    <w:t>）</w:t>
                  </w:r>
                </w:p>
              </w:tc>
              <w:tc>
                <w:tcPr>
                  <w:tcW w:w="1353" w:type="dxa"/>
                  <w:vAlign w:val="center"/>
                </w:tcPr>
                <w:p>
                  <w:pPr>
                    <w:adjustRightInd w:val="0"/>
                    <w:snapToGrid w:val="0"/>
                    <w:spacing w:line="360" w:lineRule="exact"/>
                    <w:jc w:val="center"/>
                    <w:rPr>
                      <w:szCs w:val="21"/>
                    </w:rPr>
                  </w:pPr>
                  <w:r>
                    <w:rPr>
                      <w:rFonts w:hint="eastAsia"/>
                      <w:szCs w:val="21"/>
                    </w:rPr>
                    <w:t>500</w:t>
                  </w:r>
                </w:p>
              </w:tc>
              <w:tc>
                <w:tcPr>
                  <w:tcW w:w="1357" w:type="dxa"/>
                  <w:vAlign w:val="center"/>
                </w:tcPr>
                <w:p>
                  <w:pPr>
                    <w:adjustRightInd w:val="0"/>
                    <w:snapToGrid w:val="0"/>
                    <w:spacing w:line="360" w:lineRule="exact"/>
                    <w:jc w:val="center"/>
                    <w:rPr>
                      <w:szCs w:val="21"/>
                    </w:rPr>
                  </w:pPr>
                  <w:r>
                    <w:rPr>
                      <w:rFonts w:hint="eastAsia"/>
                      <w:szCs w:val="21"/>
                    </w:rPr>
                    <w:t>50</w:t>
                  </w:r>
                </w:p>
              </w:tc>
              <w:tc>
                <w:tcPr>
                  <w:tcW w:w="1329" w:type="dxa"/>
                  <w:vAlign w:val="center"/>
                </w:tcPr>
                <w:p>
                  <w:pPr>
                    <w:adjustRightInd w:val="0"/>
                    <w:snapToGrid w:val="0"/>
                    <w:spacing w:line="360" w:lineRule="exact"/>
                    <w:jc w:val="center"/>
                    <w:rPr>
                      <w:szCs w:val="21"/>
                    </w:rPr>
                  </w:pPr>
                  <w:r>
                    <w:rPr>
                      <w:rFonts w:hint="eastAsia"/>
                      <w:szCs w:val="21"/>
                    </w:rPr>
                    <w:t>35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restart"/>
                  <w:vAlign w:val="center"/>
                </w:tcPr>
                <w:p>
                  <w:pPr>
                    <w:adjustRightInd w:val="0"/>
                    <w:snapToGrid w:val="0"/>
                    <w:spacing w:line="360" w:lineRule="exact"/>
                    <w:jc w:val="center"/>
                    <w:rPr>
                      <w:rFonts w:hint="default" w:hAnsi="宋体" w:eastAsia="宋体"/>
                      <w:szCs w:val="21"/>
                      <w:lang w:val="en-US" w:eastAsia="zh-CN"/>
                    </w:rPr>
                  </w:pPr>
                  <w:r>
                    <w:rPr>
                      <w:rFonts w:hint="eastAsia" w:hAnsi="宋体"/>
                      <w:szCs w:val="21"/>
                      <w:lang w:val="en-US" w:eastAsia="zh-CN"/>
                    </w:rPr>
                    <w:t>02#地块</w:t>
                  </w:r>
                </w:p>
              </w:tc>
              <w:tc>
                <w:tcPr>
                  <w:tcW w:w="2304" w:type="dxa"/>
                  <w:vAlign w:val="center"/>
                </w:tcPr>
                <w:p>
                  <w:pPr>
                    <w:adjustRightInd w:val="0"/>
                    <w:snapToGrid w:val="0"/>
                    <w:spacing w:line="360" w:lineRule="exact"/>
                    <w:jc w:val="center"/>
                    <w:rPr>
                      <w:szCs w:val="21"/>
                    </w:rPr>
                  </w:pPr>
                  <w:r>
                    <w:rPr>
                      <w:rFonts w:hAnsi="宋体"/>
                      <w:szCs w:val="21"/>
                    </w:rPr>
                    <w:t>日排放量（</w:t>
                  </w:r>
                  <w:r>
                    <w:rPr>
                      <w:szCs w:val="21"/>
                    </w:rPr>
                    <w:t>kg/d</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0.239</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0.024</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0.017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continue"/>
                  <w:vAlign w:val="center"/>
                </w:tcPr>
                <w:p>
                  <w:pPr>
                    <w:adjustRightInd w:val="0"/>
                    <w:snapToGrid w:val="0"/>
                    <w:spacing w:line="360" w:lineRule="exact"/>
                    <w:jc w:val="center"/>
                    <w:rPr>
                      <w:rFonts w:hAnsi="宋体"/>
                      <w:szCs w:val="21"/>
                    </w:rPr>
                  </w:pPr>
                </w:p>
              </w:tc>
              <w:tc>
                <w:tcPr>
                  <w:tcW w:w="2304" w:type="dxa"/>
                  <w:vAlign w:val="center"/>
                </w:tcPr>
                <w:p>
                  <w:pPr>
                    <w:adjustRightInd w:val="0"/>
                    <w:snapToGrid w:val="0"/>
                    <w:spacing w:line="360" w:lineRule="exact"/>
                    <w:jc w:val="center"/>
                    <w:rPr>
                      <w:szCs w:val="21"/>
                    </w:rPr>
                  </w:pPr>
                  <w:r>
                    <w:rPr>
                      <w:rFonts w:hAnsi="宋体"/>
                      <w:szCs w:val="21"/>
                    </w:rPr>
                    <w:t>年排放量（</w:t>
                  </w:r>
                  <w:r>
                    <w:rPr>
                      <w:szCs w:val="21"/>
                    </w:rPr>
                    <w:t>t/a</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0.087</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0.009</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restart"/>
                  <w:vAlign w:val="center"/>
                </w:tcPr>
                <w:p>
                  <w:pPr>
                    <w:adjustRightInd w:val="0"/>
                    <w:snapToGrid w:val="0"/>
                    <w:spacing w:line="360" w:lineRule="exact"/>
                    <w:jc w:val="center"/>
                    <w:rPr>
                      <w:rFonts w:hint="default" w:hAnsi="宋体" w:eastAsia="宋体"/>
                      <w:szCs w:val="21"/>
                      <w:lang w:val="en-US" w:eastAsia="zh-CN"/>
                    </w:rPr>
                  </w:pPr>
                  <w:r>
                    <w:rPr>
                      <w:rFonts w:hint="eastAsia" w:hAnsi="宋体"/>
                      <w:szCs w:val="21"/>
                      <w:lang w:val="en-US" w:eastAsia="zh-CN"/>
                    </w:rPr>
                    <w:t>03#地块</w:t>
                  </w:r>
                </w:p>
              </w:tc>
              <w:tc>
                <w:tcPr>
                  <w:tcW w:w="2304" w:type="dxa"/>
                  <w:vAlign w:val="center"/>
                </w:tcPr>
                <w:p>
                  <w:pPr>
                    <w:adjustRightInd w:val="0"/>
                    <w:snapToGrid w:val="0"/>
                    <w:spacing w:line="360" w:lineRule="exact"/>
                    <w:jc w:val="center"/>
                    <w:rPr>
                      <w:rFonts w:hAnsi="宋体"/>
                      <w:szCs w:val="21"/>
                    </w:rPr>
                  </w:pPr>
                  <w:r>
                    <w:rPr>
                      <w:rFonts w:hAnsi="宋体"/>
                      <w:szCs w:val="21"/>
                    </w:rPr>
                    <w:t>日排放量（</w:t>
                  </w:r>
                  <w:r>
                    <w:rPr>
                      <w:szCs w:val="21"/>
                    </w:rPr>
                    <w:t>kg/d</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0.182</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0.018</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0.013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continue"/>
                  <w:vAlign w:val="center"/>
                </w:tcPr>
                <w:p>
                  <w:pPr>
                    <w:adjustRightInd w:val="0"/>
                    <w:snapToGrid w:val="0"/>
                    <w:spacing w:line="360" w:lineRule="exact"/>
                    <w:jc w:val="center"/>
                    <w:rPr>
                      <w:rFonts w:hAnsi="宋体"/>
                      <w:szCs w:val="21"/>
                    </w:rPr>
                  </w:pPr>
                </w:p>
              </w:tc>
              <w:tc>
                <w:tcPr>
                  <w:tcW w:w="2304" w:type="dxa"/>
                  <w:vAlign w:val="center"/>
                </w:tcPr>
                <w:p>
                  <w:pPr>
                    <w:adjustRightInd w:val="0"/>
                    <w:snapToGrid w:val="0"/>
                    <w:spacing w:line="360" w:lineRule="exact"/>
                    <w:jc w:val="center"/>
                    <w:rPr>
                      <w:rFonts w:hAnsi="宋体"/>
                      <w:szCs w:val="21"/>
                    </w:rPr>
                  </w:pPr>
                  <w:r>
                    <w:rPr>
                      <w:rFonts w:hAnsi="宋体"/>
                      <w:szCs w:val="21"/>
                    </w:rPr>
                    <w:t>年排放量（</w:t>
                  </w:r>
                  <w:r>
                    <w:rPr>
                      <w:szCs w:val="21"/>
                    </w:rPr>
                    <w:t>t/a</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0.067</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0.007</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restart"/>
                  <w:vAlign w:val="center"/>
                </w:tcPr>
                <w:p>
                  <w:pPr>
                    <w:adjustRightInd w:val="0"/>
                    <w:snapToGrid w:val="0"/>
                    <w:spacing w:line="360" w:lineRule="exact"/>
                    <w:jc w:val="center"/>
                    <w:rPr>
                      <w:rFonts w:hint="default" w:hAnsi="宋体" w:eastAsia="宋体"/>
                      <w:szCs w:val="21"/>
                      <w:lang w:val="en-US" w:eastAsia="zh-CN"/>
                    </w:rPr>
                  </w:pPr>
                  <w:r>
                    <w:rPr>
                      <w:rFonts w:hint="eastAsia" w:hAnsi="宋体"/>
                      <w:szCs w:val="21"/>
                      <w:lang w:val="en-US" w:eastAsia="zh-CN"/>
                    </w:rPr>
                    <w:t>04#地块</w:t>
                  </w:r>
                </w:p>
              </w:tc>
              <w:tc>
                <w:tcPr>
                  <w:tcW w:w="2304" w:type="dxa"/>
                  <w:vAlign w:val="center"/>
                </w:tcPr>
                <w:p>
                  <w:pPr>
                    <w:adjustRightInd w:val="0"/>
                    <w:snapToGrid w:val="0"/>
                    <w:spacing w:line="360" w:lineRule="exact"/>
                    <w:jc w:val="center"/>
                    <w:rPr>
                      <w:rFonts w:hAnsi="宋体"/>
                      <w:szCs w:val="21"/>
                    </w:rPr>
                  </w:pPr>
                  <w:r>
                    <w:rPr>
                      <w:rFonts w:hAnsi="宋体"/>
                      <w:szCs w:val="21"/>
                    </w:rPr>
                    <w:t>日排放量（</w:t>
                  </w:r>
                  <w:r>
                    <w:rPr>
                      <w:szCs w:val="21"/>
                    </w:rPr>
                    <w:t>kg/d</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0.065</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0.006</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vMerge w:val="continue"/>
                  <w:vAlign w:val="center"/>
                </w:tcPr>
                <w:p>
                  <w:pPr>
                    <w:adjustRightInd w:val="0"/>
                    <w:snapToGrid w:val="0"/>
                    <w:spacing w:line="360" w:lineRule="exact"/>
                    <w:jc w:val="center"/>
                    <w:rPr>
                      <w:rFonts w:hAnsi="宋体"/>
                      <w:szCs w:val="21"/>
                    </w:rPr>
                  </w:pPr>
                </w:p>
              </w:tc>
              <w:tc>
                <w:tcPr>
                  <w:tcW w:w="2304" w:type="dxa"/>
                  <w:vAlign w:val="center"/>
                </w:tcPr>
                <w:p>
                  <w:pPr>
                    <w:adjustRightInd w:val="0"/>
                    <w:snapToGrid w:val="0"/>
                    <w:spacing w:line="360" w:lineRule="exact"/>
                    <w:jc w:val="center"/>
                    <w:rPr>
                      <w:rFonts w:hAnsi="宋体"/>
                      <w:szCs w:val="21"/>
                    </w:rPr>
                  </w:pPr>
                  <w:r>
                    <w:rPr>
                      <w:rFonts w:hAnsi="宋体"/>
                      <w:szCs w:val="21"/>
                    </w:rPr>
                    <w:t>年排放量（</w:t>
                  </w:r>
                  <w:r>
                    <w:rPr>
                      <w:szCs w:val="21"/>
                    </w:rPr>
                    <w:t>t/a</w:t>
                  </w:r>
                  <w:r>
                    <w:rPr>
                      <w:rFonts w:hAnsi="宋体"/>
                      <w:szCs w:val="21"/>
                    </w:rPr>
                    <w:t>）</w:t>
                  </w:r>
                </w:p>
              </w:tc>
              <w:tc>
                <w:tcPr>
                  <w:tcW w:w="1353"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0.024</w:t>
                  </w:r>
                </w:p>
              </w:tc>
              <w:tc>
                <w:tcPr>
                  <w:tcW w:w="1357"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0.002</w:t>
                  </w:r>
                </w:p>
              </w:tc>
              <w:tc>
                <w:tcPr>
                  <w:tcW w:w="1329" w:type="dxa"/>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0.002</w:t>
                  </w:r>
                </w:p>
              </w:tc>
            </w:tr>
          </w:tbl>
          <w:p>
            <w:pPr>
              <w:pStyle w:val="14"/>
              <w:tabs>
                <w:tab w:val="left" w:pos="0"/>
              </w:tabs>
              <w:snapToGrid w:val="0"/>
              <w:spacing w:beforeLines="50" w:after="0" w:line="360" w:lineRule="auto"/>
              <w:ind w:left="0" w:leftChars="0" w:firstLine="480" w:firstLineChars="200"/>
              <w:rPr>
                <w:sz w:val="24"/>
                <w:szCs w:val="24"/>
              </w:rPr>
            </w:pPr>
            <w:r>
              <w:rPr>
                <w:rFonts w:ascii="宋体" w:hAnsi="宋体"/>
                <w:sz w:val="24"/>
                <w:szCs w:val="24"/>
              </w:rPr>
              <w:t>本项目</w:t>
            </w:r>
            <w:r>
              <w:rPr>
                <w:rFonts w:hint="eastAsia" w:ascii="宋体" w:hAnsi="宋体"/>
                <w:sz w:val="24"/>
                <w:szCs w:val="24"/>
              </w:rPr>
              <w:t>地下</w:t>
            </w:r>
            <w:r>
              <w:rPr>
                <w:rFonts w:ascii="宋体" w:hAnsi="宋体"/>
                <w:sz w:val="24"/>
                <w:szCs w:val="24"/>
              </w:rPr>
              <w:t>室内停车场内汽车尾气采用机械排风</w:t>
            </w:r>
            <w:r>
              <w:rPr>
                <w:sz w:val="24"/>
                <w:szCs w:val="24"/>
              </w:rPr>
              <w:t>，废气由预留烟井引至距离地面排放（排放口设在项目绿化带中），</w:t>
            </w:r>
            <w:r>
              <w:rPr>
                <w:sz w:val="24"/>
              </w:rPr>
              <w:t>排气口高度不低于2.5m，</w:t>
            </w:r>
            <w:r>
              <w:rPr>
                <w:sz w:val="24"/>
                <w:szCs w:val="24"/>
              </w:rPr>
              <w:t>其对周围大气环境影响不大。</w:t>
            </w:r>
          </w:p>
          <w:p>
            <w:pPr>
              <w:pStyle w:val="2"/>
              <w:ind w:firstLine="482"/>
              <w:rPr>
                <w:b/>
                <w:bCs/>
              </w:rPr>
            </w:pPr>
            <w:r>
              <w:rPr>
                <w:rFonts w:hint="eastAsia"/>
                <w:b/>
                <w:bCs/>
              </w:rPr>
              <w:t>4、</w:t>
            </w:r>
            <w:r>
              <w:rPr>
                <w:b/>
                <w:bCs/>
              </w:rPr>
              <w:t>恶臭气体</w:t>
            </w:r>
          </w:p>
          <w:p>
            <w:pPr>
              <w:spacing w:line="360" w:lineRule="auto"/>
              <w:ind w:firstLine="480" w:firstLineChars="200"/>
              <w:rPr>
                <w:bCs/>
                <w:kern w:val="24"/>
                <w:sz w:val="24"/>
              </w:rPr>
            </w:pPr>
            <w:r>
              <w:rPr>
                <w:bCs/>
                <w:kern w:val="24"/>
                <w:sz w:val="24"/>
              </w:rPr>
              <w:t>本项目</w:t>
            </w:r>
            <w:r>
              <w:rPr>
                <w:rFonts w:hint="eastAsia"/>
                <w:bCs/>
                <w:kern w:val="24"/>
                <w:sz w:val="24"/>
              </w:rPr>
              <w:t>在02#地块东北角和04#地块东南角分别设置了一个地埋式垃圾站和</w:t>
            </w:r>
            <w:r>
              <w:rPr>
                <w:rFonts w:hint="eastAsia"/>
                <w:bCs/>
                <w:kern w:val="24"/>
                <w:sz w:val="24"/>
                <w:lang w:eastAsia="zh-CN"/>
              </w:rPr>
              <w:t>地面</w:t>
            </w:r>
            <w:r>
              <w:rPr>
                <w:rFonts w:hint="eastAsia"/>
                <w:bCs/>
                <w:kern w:val="24"/>
                <w:sz w:val="24"/>
              </w:rPr>
              <w:t>垃圾站，在每栋建筑周边均设有垃圾收集点，公厕设置于02#地块的住宅10#1F（02#地块南侧）、03#地块的住宅5# 1F、04#地块的S1# 1F。</w:t>
            </w:r>
            <w:r>
              <w:rPr>
                <w:bCs/>
                <w:kern w:val="24"/>
                <w:sz w:val="24"/>
              </w:rPr>
              <w:t>垃圾收集点用于整体小区及相关周边居民居住过程中</w:t>
            </w:r>
            <w:r>
              <w:rPr>
                <w:rFonts w:hint="eastAsia"/>
                <w:bCs/>
                <w:kern w:val="24"/>
                <w:sz w:val="24"/>
              </w:rPr>
              <w:t>的</w:t>
            </w:r>
            <w:r>
              <w:rPr>
                <w:bCs/>
                <w:kern w:val="24"/>
                <w:sz w:val="24"/>
              </w:rPr>
              <w:t>垃圾暂存和转运。在垃圾收集暂存和公厕运行过程会有少量臭气产生，恶臭气体是多组分、低浓度化学物质形成的混合物，主要成分为氨、硫化氢、甲醇、三甲胺等脂肪族类物质，恶臭是一个感官性指标，难以定量，因此</w:t>
            </w:r>
            <w:r>
              <w:rPr>
                <w:rFonts w:hint="eastAsia"/>
                <w:bCs/>
                <w:kern w:val="24"/>
                <w:sz w:val="24"/>
              </w:rPr>
              <w:t>本次</w:t>
            </w:r>
            <w:r>
              <w:rPr>
                <w:bCs/>
                <w:kern w:val="24"/>
                <w:sz w:val="24"/>
              </w:rPr>
              <w:t>评价仅对恶臭进行定性描述分析。</w:t>
            </w:r>
          </w:p>
          <w:p>
            <w:pPr>
              <w:pStyle w:val="9"/>
              <w:tabs>
                <w:tab w:val="left" w:pos="780"/>
              </w:tabs>
              <w:spacing w:after="0" w:line="360" w:lineRule="auto"/>
              <w:ind w:left="0" w:leftChars="0" w:firstLine="482" w:firstLineChars="200"/>
              <w:outlineLvl w:val="2"/>
            </w:pPr>
            <w:r>
              <w:rPr>
                <w:rFonts w:hint="eastAsia"/>
                <w:b/>
                <w:bCs/>
              </w:rPr>
              <w:t>二</w:t>
            </w:r>
            <w:r>
              <w:rPr>
                <w:b/>
                <w:bCs/>
              </w:rPr>
              <w:t>、</w:t>
            </w:r>
            <w:r>
              <w:rPr>
                <w:b/>
                <w:bCs/>
                <w:kern w:val="24"/>
              </w:rPr>
              <w:t>运营期废水</w:t>
            </w:r>
            <w:r>
              <w:rPr>
                <w:b/>
                <w:bCs/>
              </w:rPr>
              <w:t>环境影响</w:t>
            </w:r>
            <w:r>
              <w:rPr>
                <w:rFonts w:hint="eastAsia"/>
                <w:b/>
                <w:bCs/>
              </w:rPr>
              <w:t>分析</w:t>
            </w:r>
          </w:p>
          <w:p>
            <w:pPr>
              <w:pStyle w:val="2"/>
              <w:ind w:firstLine="482"/>
              <w:rPr>
                <w:b/>
                <w:bCs/>
              </w:rPr>
            </w:pPr>
            <w:r>
              <w:rPr>
                <w:rFonts w:hint="eastAsia"/>
                <w:b/>
                <w:bCs/>
              </w:rPr>
              <w:t>1、废水产排污分析</w:t>
            </w:r>
          </w:p>
          <w:p>
            <w:pPr>
              <w:pStyle w:val="2"/>
              <w:ind w:firstLine="480"/>
            </w:pPr>
            <w:r>
              <w:rPr>
                <w:rFonts w:hint="eastAsia"/>
              </w:rPr>
              <w:t>本项目营运期废水主要为居民、幼儿园、商铺、</w:t>
            </w:r>
            <w:r>
              <w:t>物业管理办公等生活污水</w:t>
            </w:r>
            <w:r>
              <w:rPr>
                <w:rFonts w:hint="eastAsia"/>
              </w:rPr>
              <w:t>、地下车库地面冲洗废水等，项目用水量参照《湖南省用水定</w:t>
            </w:r>
            <w:r>
              <w:t>额》（DB43/T388-2020）</w:t>
            </w:r>
            <w:r>
              <w:rPr>
                <w:rFonts w:hint="eastAsia"/>
              </w:rPr>
              <w:t>，办公楼通用值为38</w:t>
            </w:r>
            <w:r>
              <w:t xml:space="preserve"> m</w:t>
            </w:r>
            <w:r>
              <w:rPr>
                <w:vertAlign w:val="superscript"/>
              </w:rPr>
              <w:t>3</w:t>
            </w:r>
            <w:r>
              <w:t>/</w:t>
            </w:r>
            <w:r>
              <w:rPr>
                <w:rFonts w:hint="eastAsia"/>
              </w:rPr>
              <w:t>人·</w:t>
            </w:r>
            <w:r>
              <w:t>a</w:t>
            </w:r>
            <w:r>
              <w:rPr>
                <w:rFonts w:hint="eastAsia"/>
              </w:rPr>
              <w:t>，由于项目物管、社区服务用房实际不含有食宿、浴室等，则物管、社区服务用房用水量按25</w:t>
            </w:r>
            <w:r>
              <w:t>m</w:t>
            </w:r>
            <w:r>
              <w:rPr>
                <w:vertAlign w:val="superscript"/>
              </w:rPr>
              <w:t>3</w:t>
            </w:r>
            <w:r>
              <w:t>/</w:t>
            </w:r>
            <w:r>
              <w:rPr>
                <w:rFonts w:hint="eastAsia"/>
              </w:rPr>
              <w:t>人·</w:t>
            </w:r>
            <w:r>
              <w:t>a</w:t>
            </w:r>
            <w:r>
              <w:rPr>
                <w:rFonts w:hint="eastAsia"/>
              </w:rPr>
              <w:t>计，居民生活用水按155L/人·d计，幼儿园生活用水按</w:t>
            </w:r>
            <w:r>
              <w:rPr>
                <w:rFonts w:hint="eastAsia"/>
                <w:szCs w:val="21"/>
              </w:rPr>
              <w:t>18m</w:t>
            </w:r>
            <w:r>
              <w:rPr>
                <w:rFonts w:hint="eastAsia"/>
                <w:szCs w:val="21"/>
                <w:vertAlign w:val="superscript"/>
              </w:rPr>
              <w:t>3</w:t>
            </w:r>
            <w:r>
              <w:rPr>
                <w:rFonts w:hint="eastAsia"/>
                <w:szCs w:val="21"/>
              </w:rPr>
              <w:t>/人·a计</w:t>
            </w:r>
            <w:r>
              <w:rPr>
                <w:rFonts w:hint="eastAsia"/>
              </w:rPr>
              <w:t>，社区卫生服务站用水量按1.83</w:t>
            </w:r>
            <w:r>
              <w:t>m</w:t>
            </w:r>
            <w:r>
              <w:rPr>
                <w:vertAlign w:val="superscript"/>
              </w:rPr>
              <w:t>3</w:t>
            </w:r>
            <w:r>
              <w:t>/m</w:t>
            </w:r>
            <w:r>
              <w:rPr>
                <w:vertAlign w:val="superscript"/>
              </w:rPr>
              <w:t>2</w:t>
            </w:r>
            <w:r>
              <w:t>·a</w:t>
            </w:r>
            <w:r>
              <w:rPr>
                <w:rFonts w:hint="eastAsia"/>
              </w:rPr>
              <w:t>计，公厕用水量以10L/人·次</w:t>
            </w:r>
            <w:r>
              <w:t>计</w:t>
            </w:r>
            <w:r>
              <w:rPr>
                <w:rFonts w:hint="eastAsia"/>
              </w:rPr>
              <w:t>，每天约300人·次，</w:t>
            </w:r>
            <w:r>
              <w:rPr>
                <w:rFonts w:hint="eastAsia"/>
                <w:lang w:eastAsia="zh-CN"/>
              </w:rPr>
              <w:t>垃圾站用水量按</w:t>
            </w:r>
            <w:r>
              <w:rPr>
                <w:rFonts w:hint="eastAsia"/>
                <w:lang w:val="en-US" w:eastAsia="zh-CN"/>
              </w:rPr>
              <w:t>1.5L/</w:t>
            </w:r>
            <w:r>
              <w:t>m</w:t>
            </w:r>
            <w:r>
              <w:rPr>
                <w:vertAlign w:val="superscript"/>
              </w:rPr>
              <w:t>2</w:t>
            </w:r>
            <w:r>
              <w:t>·</w:t>
            </w:r>
            <w:r>
              <w:rPr>
                <w:rFonts w:hint="eastAsia"/>
                <w:lang w:val="en-US" w:eastAsia="zh-CN"/>
              </w:rPr>
              <w:t>d，SOHO公寓和</w:t>
            </w:r>
            <w:r>
              <w:rPr>
                <w:rFonts w:hint="eastAsia"/>
              </w:rPr>
              <w:t>商场用水量按</w:t>
            </w:r>
            <w:r>
              <w:t>8L/m</w:t>
            </w:r>
            <w:r>
              <w:rPr>
                <w:vertAlign w:val="superscript"/>
              </w:rPr>
              <w:t>2</w:t>
            </w:r>
            <w:r>
              <w:t>·d</w:t>
            </w:r>
            <w:r>
              <w:rPr>
                <w:rFonts w:hint="eastAsia"/>
              </w:rPr>
              <w:t>计，地下停车库地面冲洗用水按2</w:t>
            </w:r>
            <w:r>
              <w:t>L/m</w:t>
            </w:r>
            <w:r>
              <w:rPr>
                <w:rFonts w:hint="eastAsia"/>
                <w:vertAlign w:val="superscript"/>
              </w:rPr>
              <w:t>2</w:t>
            </w:r>
            <w:r>
              <w:rPr>
                <w:rFonts w:hint="eastAsia"/>
              </w:rPr>
              <w:t>·次计，绿化用水按60</w:t>
            </w:r>
            <w:r>
              <w:t>L/m</w:t>
            </w:r>
            <w:r>
              <w:rPr>
                <w:rFonts w:hint="eastAsia"/>
                <w:vertAlign w:val="superscript"/>
              </w:rPr>
              <w:t>2</w:t>
            </w:r>
            <w:r>
              <w:rPr>
                <w:rFonts w:hint="eastAsia"/>
              </w:rPr>
              <w:t>·月计，未预见用水量按最高日用水量的10%计，用水量情况具体见下表。</w:t>
            </w:r>
          </w:p>
          <w:p>
            <w:pPr>
              <w:ind w:firstLine="422"/>
              <w:jc w:val="center"/>
              <w:rPr>
                <w:b/>
                <w:bCs/>
                <w:szCs w:val="21"/>
              </w:rPr>
            </w:pPr>
            <w:r>
              <w:rPr>
                <w:b/>
                <w:bCs/>
                <w:szCs w:val="21"/>
              </w:rPr>
              <w:t>表</w:t>
            </w:r>
            <w:r>
              <w:rPr>
                <w:rFonts w:hint="eastAsia"/>
                <w:b/>
                <w:bCs/>
                <w:szCs w:val="21"/>
              </w:rPr>
              <w:t>4-4</w:t>
            </w:r>
            <w:r>
              <w:rPr>
                <w:rFonts w:hint="eastAsia"/>
                <w:b/>
                <w:bCs/>
                <w:szCs w:val="21"/>
                <w:lang w:val="en-US" w:eastAsia="zh-CN"/>
              </w:rPr>
              <w:t xml:space="preserve">  02#地块</w:t>
            </w:r>
            <w:r>
              <w:rPr>
                <w:rFonts w:hint="eastAsia"/>
                <w:b/>
                <w:bCs/>
                <w:szCs w:val="21"/>
              </w:rPr>
              <w:t>用水</w:t>
            </w:r>
            <w:r>
              <w:rPr>
                <w:b/>
                <w:bCs/>
                <w:szCs w:val="21"/>
              </w:rPr>
              <w:t>情况一览表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1268"/>
              <w:gridCol w:w="1625"/>
              <w:gridCol w:w="1280"/>
              <w:gridCol w:w="1215"/>
              <w:gridCol w:w="1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768" w:type="pct"/>
                  <w:vMerge w:val="restart"/>
                  <w:vAlign w:val="center"/>
                </w:tcPr>
                <w:p>
                  <w:pPr>
                    <w:jc w:val="center"/>
                    <w:rPr>
                      <w:b/>
                      <w:bCs/>
                      <w:szCs w:val="21"/>
                    </w:rPr>
                  </w:pPr>
                  <w:r>
                    <w:rPr>
                      <w:b/>
                      <w:bCs/>
                      <w:szCs w:val="21"/>
                    </w:rPr>
                    <w:t>用水项目</w:t>
                  </w:r>
                </w:p>
              </w:tc>
              <w:tc>
                <w:tcPr>
                  <w:tcW w:w="724" w:type="pct"/>
                  <w:vMerge w:val="restart"/>
                  <w:vAlign w:val="center"/>
                </w:tcPr>
                <w:p>
                  <w:pPr>
                    <w:jc w:val="center"/>
                    <w:rPr>
                      <w:b/>
                      <w:bCs/>
                      <w:szCs w:val="21"/>
                    </w:rPr>
                  </w:pPr>
                  <w:r>
                    <w:rPr>
                      <w:b/>
                      <w:bCs/>
                      <w:szCs w:val="21"/>
                    </w:rPr>
                    <w:t>用水</w:t>
                  </w:r>
                  <w:r>
                    <w:rPr>
                      <w:rFonts w:hint="eastAsia"/>
                      <w:b/>
                      <w:bCs/>
                      <w:szCs w:val="21"/>
                    </w:rPr>
                    <w:t>定额</w:t>
                  </w:r>
                </w:p>
              </w:tc>
              <w:tc>
                <w:tcPr>
                  <w:tcW w:w="942" w:type="pct"/>
                  <w:vMerge w:val="restart"/>
                  <w:vAlign w:val="center"/>
                </w:tcPr>
                <w:p>
                  <w:pPr>
                    <w:jc w:val="center"/>
                    <w:rPr>
                      <w:b/>
                      <w:bCs/>
                      <w:szCs w:val="21"/>
                    </w:rPr>
                  </w:pPr>
                  <w:r>
                    <w:rPr>
                      <w:rFonts w:hint="eastAsia"/>
                      <w:b/>
                      <w:bCs/>
                      <w:szCs w:val="21"/>
                    </w:rPr>
                    <w:t>规模</w:t>
                  </w:r>
                </w:p>
              </w:tc>
              <w:tc>
                <w:tcPr>
                  <w:tcW w:w="1438" w:type="pct"/>
                  <w:gridSpan w:val="2"/>
                  <w:vAlign w:val="center"/>
                </w:tcPr>
                <w:p>
                  <w:pPr>
                    <w:jc w:val="center"/>
                    <w:rPr>
                      <w:b/>
                      <w:bCs/>
                      <w:szCs w:val="21"/>
                    </w:rPr>
                  </w:pPr>
                  <w:r>
                    <w:rPr>
                      <w:b/>
                      <w:bCs/>
                      <w:szCs w:val="21"/>
                    </w:rPr>
                    <w:t>用水量</w:t>
                  </w:r>
                </w:p>
              </w:tc>
              <w:tc>
                <w:tcPr>
                  <w:tcW w:w="1125" w:type="pct"/>
                  <w:vMerge w:val="restart"/>
                  <w:vAlign w:val="center"/>
                </w:tcPr>
                <w:p>
                  <w:pPr>
                    <w:jc w:val="center"/>
                    <w:rPr>
                      <w:b/>
                      <w:bCs/>
                      <w:szCs w:val="21"/>
                    </w:rPr>
                  </w:pPr>
                  <w:r>
                    <w:rPr>
                      <w:rFonts w:hint="eastAsia"/>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768" w:type="pct"/>
                  <w:vMerge w:val="continue"/>
                  <w:vAlign w:val="center"/>
                </w:tcPr>
                <w:p>
                  <w:pPr>
                    <w:jc w:val="center"/>
                  </w:pPr>
                </w:p>
              </w:tc>
              <w:tc>
                <w:tcPr>
                  <w:tcW w:w="724" w:type="pct"/>
                  <w:vMerge w:val="continue"/>
                  <w:vAlign w:val="center"/>
                </w:tcPr>
                <w:p>
                  <w:pPr>
                    <w:jc w:val="center"/>
                  </w:pPr>
                </w:p>
              </w:tc>
              <w:tc>
                <w:tcPr>
                  <w:tcW w:w="942" w:type="pct"/>
                  <w:vMerge w:val="continue"/>
                  <w:vAlign w:val="center"/>
                </w:tcPr>
                <w:p>
                  <w:pPr>
                    <w:jc w:val="center"/>
                  </w:pPr>
                </w:p>
              </w:tc>
              <w:tc>
                <w:tcPr>
                  <w:tcW w:w="744" w:type="pct"/>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d</w:t>
                  </w:r>
                </w:p>
              </w:tc>
              <w:tc>
                <w:tcPr>
                  <w:tcW w:w="694" w:type="pct"/>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a</w:t>
                  </w:r>
                </w:p>
              </w:tc>
              <w:tc>
                <w:tcPr>
                  <w:tcW w:w="1125" w:type="pct"/>
                  <w:vMerge w:val="continue"/>
                  <w:vAlign w:val="center"/>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居民生活</w:t>
                  </w:r>
                </w:p>
              </w:tc>
              <w:tc>
                <w:tcPr>
                  <w:tcW w:w="724" w:type="pct"/>
                  <w:vAlign w:val="center"/>
                </w:tcPr>
                <w:p>
                  <w:pPr>
                    <w:jc w:val="center"/>
                    <w:rPr>
                      <w:szCs w:val="21"/>
                    </w:rPr>
                  </w:pPr>
                  <w:r>
                    <w:rPr>
                      <w:rFonts w:hint="eastAsia"/>
                      <w:szCs w:val="21"/>
                    </w:rPr>
                    <w:t>155</w:t>
                  </w:r>
                  <w:r>
                    <w:rPr>
                      <w:szCs w:val="21"/>
                    </w:rPr>
                    <w:t>L/人·</w:t>
                  </w:r>
                  <w:r>
                    <w:rPr>
                      <w:rFonts w:hint="eastAsia"/>
                      <w:szCs w:val="21"/>
                    </w:rPr>
                    <w:t>d</w:t>
                  </w:r>
                </w:p>
              </w:tc>
              <w:tc>
                <w:tcPr>
                  <w:tcW w:w="942" w:type="pct"/>
                  <w:vAlign w:val="center"/>
                </w:tcPr>
                <w:p>
                  <w:pPr>
                    <w:jc w:val="center"/>
                    <w:rPr>
                      <w:szCs w:val="21"/>
                    </w:rPr>
                  </w:pPr>
                  <w:r>
                    <w:rPr>
                      <w:rFonts w:hint="eastAsia"/>
                      <w:szCs w:val="21"/>
                    </w:rPr>
                    <w:t>3610人（1128户）</w:t>
                  </w:r>
                </w:p>
              </w:tc>
              <w:tc>
                <w:tcPr>
                  <w:tcW w:w="744" w:type="pct"/>
                  <w:vAlign w:val="center"/>
                </w:tcPr>
                <w:p>
                  <w:pPr>
                    <w:jc w:val="center"/>
                    <w:rPr>
                      <w:rFonts w:hint="default" w:eastAsia="宋体"/>
                      <w:szCs w:val="21"/>
                      <w:lang w:val="en-US" w:eastAsia="zh-CN"/>
                    </w:rPr>
                  </w:pPr>
                  <w:r>
                    <w:rPr>
                      <w:rFonts w:hint="eastAsia"/>
                      <w:szCs w:val="21"/>
                      <w:lang w:val="en-US" w:eastAsia="zh-CN"/>
                    </w:rPr>
                    <w:t>559.55</w:t>
                  </w:r>
                </w:p>
              </w:tc>
              <w:tc>
                <w:tcPr>
                  <w:tcW w:w="694" w:type="pct"/>
                  <w:vAlign w:val="center"/>
                </w:tcPr>
                <w:p>
                  <w:pPr>
                    <w:jc w:val="center"/>
                    <w:rPr>
                      <w:rFonts w:hint="default" w:eastAsia="宋体"/>
                      <w:szCs w:val="21"/>
                      <w:lang w:val="en-US" w:eastAsia="zh-CN"/>
                    </w:rPr>
                  </w:pPr>
                  <w:r>
                    <w:rPr>
                      <w:rFonts w:hint="eastAsia"/>
                      <w:szCs w:val="21"/>
                      <w:lang w:val="en-US" w:eastAsia="zh-CN"/>
                    </w:rPr>
                    <w:t>204235.75</w:t>
                  </w:r>
                </w:p>
              </w:tc>
              <w:tc>
                <w:tcPr>
                  <w:tcW w:w="1125" w:type="pct"/>
                  <w:vAlign w:val="center"/>
                </w:tcPr>
                <w:p>
                  <w:pPr>
                    <w:jc w:val="center"/>
                    <w:rPr>
                      <w:szCs w:val="21"/>
                    </w:rPr>
                  </w:pPr>
                  <w:r>
                    <w:rPr>
                      <w:kern w:val="0"/>
                      <w:szCs w:val="21"/>
                    </w:rPr>
                    <w:t>按365d/a计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幼儿园</w:t>
                  </w:r>
                </w:p>
              </w:tc>
              <w:tc>
                <w:tcPr>
                  <w:tcW w:w="724" w:type="pct"/>
                  <w:vAlign w:val="center"/>
                </w:tcPr>
                <w:p>
                  <w:pPr>
                    <w:jc w:val="center"/>
                    <w:rPr>
                      <w:szCs w:val="21"/>
                    </w:rPr>
                  </w:pPr>
                  <w:r>
                    <w:rPr>
                      <w:rFonts w:hint="eastAsia"/>
                      <w:szCs w:val="21"/>
                    </w:rPr>
                    <w:t>18m</w:t>
                  </w:r>
                  <w:r>
                    <w:rPr>
                      <w:rFonts w:hint="eastAsia"/>
                      <w:szCs w:val="21"/>
                      <w:vertAlign w:val="superscript"/>
                    </w:rPr>
                    <w:t>3</w:t>
                  </w:r>
                  <w:r>
                    <w:rPr>
                      <w:rFonts w:hint="eastAsia"/>
                      <w:szCs w:val="21"/>
                    </w:rPr>
                    <w:t>/人·a</w:t>
                  </w:r>
                </w:p>
              </w:tc>
              <w:tc>
                <w:tcPr>
                  <w:tcW w:w="942" w:type="pct"/>
                  <w:vAlign w:val="center"/>
                </w:tcPr>
                <w:p>
                  <w:pPr>
                    <w:jc w:val="center"/>
                    <w:rPr>
                      <w:szCs w:val="21"/>
                    </w:rPr>
                  </w:pPr>
                  <w:r>
                    <w:rPr>
                      <w:rFonts w:hint="eastAsia"/>
                      <w:szCs w:val="21"/>
                    </w:rPr>
                    <w:t>300人</w:t>
                  </w:r>
                </w:p>
              </w:tc>
              <w:tc>
                <w:tcPr>
                  <w:tcW w:w="744" w:type="pct"/>
                  <w:vAlign w:val="center"/>
                </w:tcPr>
                <w:p>
                  <w:pPr>
                    <w:jc w:val="center"/>
                    <w:rPr>
                      <w:szCs w:val="21"/>
                    </w:rPr>
                  </w:pPr>
                  <w:r>
                    <w:rPr>
                      <w:rFonts w:hint="eastAsia"/>
                      <w:szCs w:val="21"/>
                    </w:rPr>
                    <w:t>20</w:t>
                  </w:r>
                </w:p>
              </w:tc>
              <w:tc>
                <w:tcPr>
                  <w:tcW w:w="694" w:type="pct"/>
                  <w:vAlign w:val="center"/>
                </w:tcPr>
                <w:p>
                  <w:pPr>
                    <w:jc w:val="center"/>
                    <w:rPr>
                      <w:szCs w:val="21"/>
                    </w:rPr>
                  </w:pPr>
                  <w:r>
                    <w:rPr>
                      <w:rFonts w:hint="eastAsia"/>
                      <w:szCs w:val="21"/>
                    </w:rPr>
                    <w:t>5400</w:t>
                  </w:r>
                </w:p>
              </w:tc>
              <w:tc>
                <w:tcPr>
                  <w:tcW w:w="1125" w:type="pct"/>
                  <w:vAlign w:val="center"/>
                </w:tcPr>
                <w:p>
                  <w:pPr>
                    <w:jc w:val="center"/>
                    <w:rPr>
                      <w:kern w:val="0"/>
                      <w:szCs w:val="21"/>
                    </w:rPr>
                  </w:pPr>
                  <w:r>
                    <w:rPr>
                      <w:kern w:val="0"/>
                      <w:szCs w:val="21"/>
                    </w:rPr>
                    <w:t>按</w:t>
                  </w:r>
                  <w:r>
                    <w:rPr>
                      <w:rFonts w:hint="eastAsia"/>
                      <w:kern w:val="0"/>
                      <w:szCs w:val="21"/>
                    </w:rPr>
                    <w:t>270</w:t>
                  </w:r>
                  <w:r>
                    <w:rPr>
                      <w:kern w:val="0"/>
                      <w:szCs w:val="21"/>
                    </w:rPr>
                    <w:t>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物管用房</w:t>
                  </w:r>
                </w:p>
              </w:tc>
              <w:tc>
                <w:tcPr>
                  <w:tcW w:w="724" w:type="pct"/>
                  <w:vAlign w:val="center"/>
                </w:tcPr>
                <w:p>
                  <w:pPr>
                    <w:jc w:val="center"/>
                    <w:rPr>
                      <w:szCs w:val="21"/>
                    </w:rPr>
                  </w:pPr>
                  <w:r>
                    <w:rPr>
                      <w:rFonts w:hint="eastAsia"/>
                      <w:szCs w:val="21"/>
                    </w:rPr>
                    <w:t>25</w:t>
                  </w:r>
                  <w:r>
                    <w:rPr>
                      <w:szCs w:val="21"/>
                    </w:rPr>
                    <w:t>m</w:t>
                  </w:r>
                  <w:r>
                    <w:rPr>
                      <w:szCs w:val="21"/>
                      <w:vertAlign w:val="superscript"/>
                    </w:rPr>
                    <w:t>3</w:t>
                  </w:r>
                  <w:r>
                    <w:rPr>
                      <w:szCs w:val="21"/>
                    </w:rPr>
                    <w:t>/</w:t>
                  </w:r>
                  <w:r>
                    <w:rPr>
                      <w:rFonts w:hint="eastAsia"/>
                      <w:szCs w:val="21"/>
                    </w:rPr>
                    <w:t>人·</w:t>
                  </w:r>
                  <w:r>
                    <w:rPr>
                      <w:szCs w:val="21"/>
                    </w:rPr>
                    <w:t>a</w:t>
                  </w:r>
                </w:p>
              </w:tc>
              <w:tc>
                <w:tcPr>
                  <w:tcW w:w="942" w:type="pct"/>
                  <w:vAlign w:val="center"/>
                </w:tcPr>
                <w:p>
                  <w:pPr>
                    <w:jc w:val="center"/>
                    <w:rPr>
                      <w:szCs w:val="21"/>
                    </w:rPr>
                  </w:pPr>
                  <w:r>
                    <w:rPr>
                      <w:rFonts w:hint="eastAsia"/>
                      <w:szCs w:val="21"/>
                      <w:lang w:val="en-US" w:eastAsia="zh-CN"/>
                    </w:rPr>
                    <w:t>30</w:t>
                  </w:r>
                  <w:r>
                    <w:rPr>
                      <w:rFonts w:hint="eastAsia"/>
                      <w:szCs w:val="21"/>
                    </w:rPr>
                    <w:t>人</w:t>
                  </w:r>
                </w:p>
              </w:tc>
              <w:tc>
                <w:tcPr>
                  <w:tcW w:w="744" w:type="pct"/>
                  <w:vAlign w:val="center"/>
                </w:tcPr>
                <w:p>
                  <w:pPr>
                    <w:jc w:val="center"/>
                    <w:rPr>
                      <w:rFonts w:hint="default" w:eastAsia="宋体"/>
                      <w:szCs w:val="21"/>
                      <w:lang w:val="en-US" w:eastAsia="zh-CN"/>
                    </w:rPr>
                  </w:pPr>
                  <w:r>
                    <w:rPr>
                      <w:rFonts w:hint="eastAsia"/>
                      <w:szCs w:val="21"/>
                      <w:lang w:val="en-US" w:eastAsia="zh-CN"/>
                    </w:rPr>
                    <w:t>2.27</w:t>
                  </w:r>
                </w:p>
              </w:tc>
              <w:tc>
                <w:tcPr>
                  <w:tcW w:w="694" w:type="pct"/>
                  <w:vAlign w:val="center"/>
                </w:tcPr>
                <w:p>
                  <w:pPr>
                    <w:jc w:val="center"/>
                    <w:rPr>
                      <w:rFonts w:hint="default" w:eastAsia="宋体"/>
                      <w:szCs w:val="21"/>
                      <w:lang w:val="en-US" w:eastAsia="zh-CN"/>
                    </w:rPr>
                  </w:pPr>
                  <w:r>
                    <w:rPr>
                      <w:rFonts w:hint="eastAsia"/>
                      <w:szCs w:val="21"/>
                      <w:lang w:val="en-US" w:eastAsia="zh-CN"/>
                    </w:rPr>
                    <w:t>750</w:t>
                  </w:r>
                </w:p>
              </w:tc>
              <w:tc>
                <w:tcPr>
                  <w:tcW w:w="1125" w:type="pct"/>
                  <w:vAlign w:val="center"/>
                </w:tcPr>
                <w:p>
                  <w:pPr>
                    <w:jc w:val="center"/>
                    <w:rPr>
                      <w:szCs w:val="21"/>
                    </w:rPr>
                  </w:pPr>
                  <w:r>
                    <w:rPr>
                      <w:kern w:val="0"/>
                      <w:szCs w:val="21"/>
                    </w:rPr>
                    <w:t>按330d/a计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768" w:type="pct"/>
                  <w:vAlign w:val="center"/>
                </w:tcPr>
                <w:p>
                  <w:pPr>
                    <w:jc w:val="center"/>
                    <w:rPr>
                      <w:szCs w:val="21"/>
                    </w:rPr>
                  </w:pPr>
                  <w:r>
                    <w:rPr>
                      <w:rFonts w:hint="eastAsia"/>
                    </w:rPr>
                    <w:t>社区服务站</w:t>
                  </w:r>
                </w:p>
              </w:tc>
              <w:tc>
                <w:tcPr>
                  <w:tcW w:w="724" w:type="pct"/>
                  <w:vAlign w:val="center"/>
                </w:tcPr>
                <w:p>
                  <w:pPr>
                    <w:jc w:val="center"/>
                    <w:rPr>
                      <w:szCs w:val="21"/>
                    </w:rPr>
                  </w:pPr>
                  <w:r>
                    <w:rPr>
                      <w:rFonts w:hint="eastAsia"/>
                    </w:rPr>
                    <w:t>1.83</w:t>
                  </w:r>
                  <w:r>
                    <w:t>m</w:t>
                  </w:r>
                  <w:r>
                    <w:rPr>
                      <w:vertAlign w:val="superscript"/>
                    </w:rPr>
                    <w:t>3</w:t>
                  </w:r>
                  <w:r>
                    <w:t>/m</w:t>
                  </w:r>
                  <w:r>
                    <w:rPr>
                      <w:vertAlign w:val="superscript"/>
                    </w:rPr>
                    <w:t>2</w:t>
                  </w:r>
                  <w:r>
                    <w:t>·a</w:t>
                  </w:r>
                </w:p>
              </w:tc>
              <w:tc>
                <w:tcPr>
                  <w:tcW w:w="942" w:type="pct"/>
                  <w:vAlign w:val="center"/>
                </w:tcPr>
                <w:p>
                  <w:pPr>
                    <w:jc w:val="center"/>
                    <w:rPr>
                      <w:szCs w:val="21"/>
                    </w:rPr>
                  </w:pPr>
                  <w:r>
                    <w:rPr>
                      <w:rFonts w:hint="eastAsia"/>
                      <w:szCs w:val="21"/>
                    </w:rPr>
                    <w:t>1001.350</w:t>
                  </w:r>
                  <w:r>
                    <w:rPr>
                      <w:szCs w:val="21"/>
                    </w:rPr>
                    <w:t>m</w:t>
                  </w:r>
                  <w:r>
                    <w:rPr>
                      <w:rFonts w:hint="eastAsia"/>
                      <w:szCs w:val="21"/>
                      <w:vertAlign w:val="superscript"/>
                    </w:rPr>
                    <w:t>2</w:t>
                  </w:r>
                </w:p>
              </w:tc>
              <w:tc>
                <w:tcPr>
                  <w:tcW w:w="744" w:type="pct"/>
                  <w:vAlign w:val="center"/>
                </w:tcPr>
                <w:p>
                  <w:pPr>
                    <w:jc w:val="center"/>
                    <w:rPr>
                      <w:szCs w:val="21"/>
                    </w:rPr>
                  </w:pPr>
                  <w:r>
                    <w:rPr>
                      <w:rFonts w:hint="eastAsia"/>
                      <w:szCs w:val="21"/>
                    </w:rPr>
                    <w:t>5.02</w:t>
                  </w:r>
                </w:p>
              </w:tc>
              <w:tc>
                <w:tcPr>
                  <w:tcW w:w="694" w:type="pct"/>
                  <w:vAlign w:val="center"/>
                </w:tcPr>
                <w:p>
                  <w:pPr>
                    <w:jc w:val="center"/>
                    <w:rPr>
                      <w:szCs w:val="21"/>
                    </w:rPr>
                  </w:pPr>
                  <w:r>
                    <w:rPr>
                      <w:rFonts w:hint="eastAsia"/>
                      <w:szCs w:val="21"/>
                    </w:rPr>
                    <w:t>1832.47</w:t>
                  </w:r>
                </w:p>
              </w:tc>
              <w:tc>
                <w:tcPr>
                  <w:tcW w:w="1125"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商业</w:t>
                  </w:r>
                </w:p>
              </w:tc>
              <w:tc>
                <w:tcPr>
                  <w:tcW w:w="724" w:type="pct"/>
                  <w:vAlign w:val="center"/>
                </w:tcPr>
                <w:p>
                  <w:pPr>
                    <w:jc w:val="center"/>
                    <w:rPr>
                      <w:szCs w:val="21"/>
                    </w:rPr>
                  </w:pPr>
                  <w:r>
                    <w:rPr>
                      <w:rFonts w:hint="eastAsia"/>
                      <w:szCs w:val="21"/>
                    </w:rPr>
                    <w:t>8</w:t>
                  </w:r>
                  <w:r>
                    <w:rPr>
                      <w:szCs w:val="21"/>
                    </w:rPr>
                    <w:t>L/m</w:t>
                  </w:r>
                  <w:r>
                    <w:rPr>
                      <w:rFonts w:hint="eastAsia"/>
                      <w:szCs w:val="21"/>
                      <w:vertAlign w:val="superscript"/>
                    </w:rPr>
                    <w:t>2</w:t>
                  </w:r>
                  <w:r>
                    <w:rPr>
                      <w:rFonts w:hint="eastAsia"/>
                      <w:szCs w:val="21"/>
                    </w:rPr>
                    <w:t>·d</w:t>
                  </w:r>
                </w:p>
              </w:tc>
              <w:tc>
                <w:tcPr>
                  <w:tcW w:w="942" w:type="pct"/>
                  <w:vAlign w:val="center"/>
                </w:tcPr>
                <w:p>
                  <w:pPr>
                    <w:jc w:val="center"/>
                    <w:rPr>
                      <w:szCs w:val="21"/>
                    </w:rPr>
                  </w:pPr>
                  <w:r>
                    <w:rPr>
                      <w:rFonts w:hint="eastAsia"/>
                      <w:szCs w:val="21"/>
                      <w:lang w:val="en-US" w:eastAsia="zh-CN"/>
                    </w:rPr>
                    <w:t>1497.229</w:t>
                  </w:r>
                  <w:r>
                    <w:rPr>
                      <w:szCs w:val="21"/>
                    </w:rPr>
                    <w:t>m</w:t>
                  </w:r>
                  <w:r>
                    <w:rPr>
                      <w:rFonts w:hint="eastAsia"/>
                      <w:szCs w:val="21"/>
                      <w:vertAlign w:val="superscript"/>
                    </w:rPr>
                    <w:t>2</w:t>
                  </w:r>
                </w:p>
              </w:tc>
              <w:tc>
                <w:tcPr>
                  <w:tcW w:w="744" w:type="pct"/>
                  <w:vAlign w:val="center"/>
                </w:tcPr>
                <w:p>
                  <w:pPr>
                    <w:jc w:val="center"/>
                    <w:rPr>
                      <w:rFonts w:hint="default" w:eastAsia="宋体"/>
                      <w:szCs w:val="21"/>
                      <w:lang w:val="en-US" w:eastAsia="zh-CN"/>
                    </w:rPr>
                  </w:pPr>
                  <w:r>
                    <w:rPr>
                      <w:rFonts w:hint="eastAsia"/>
                      <w:szCs w:val="21"/>
                      <w:lang w:val="en-US" w:eastAsia="zh-CN"/>
                    </w:rPr>
                    <w:t>11.98</w:t>
                  </w:r>
                </w:p>
              </w:tc>
              <w:tc>
                <w:tcPr>
                  <w:tcW w:w="694" w:type="pct"/>
                  <w:vAlign w:val="center"/>
                </w:tcPr>
                <w:p>
                  <w:pPr>
                    <w:jc w:val="center"/>
                    <w:rPr>
                      <w:rFonts w:hint="default" w:eastAsia="宋体"/>
                      <w:szCs w:val="21"/>
                      <w:lang w:val="en-US" w:eastAsia="zh-CN"/>
                    </w:rPr>
                  </w:pPr>
                  <w:r>
                    <w:rPr>
                      <w:rFonts w:hint="eastAsia"/>
                      <w:szCs w:val="21"/>
                      <w:lang w:val="en-US" w:eastAsia="zh-CN"/>
                    </w:rPr>
                    <w:t>4372.7</w:t>
                  </w:r>
                </w:p>
              </w:tc>
              <w:tc>
                <w:tcPr>
                  <w:tcW w:w="1125"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公厕</w:t>
                  </w:r>
                </w:p>
              </w:tc>
              <w:tc>
                <w:tcPr>
                  <w:tcW w:w="724" w:type="pct"/>
                  <w:vAlign w:val="center"/>
                </w:tcPr>
                <w:p>
                  <w:pPr>
                    <w:jc w:val="center"/>
                    <w:rPr>
                      <w:szCs w:val="21"/>
                    </w:rPr>
                  </w:pPr>
                  <w:r>
                    <w:rPr>
                      <w:rFonts w:hint="eastAsia"/>
                      <w:szCs w:val="21"/>
                    </w:rPr>
                    <w:t>10L/人·次</w:t>
                  </w:r>
                </w:p>
              </w:tc>
              <w:tc>
                <w:tcPr>
                  <w:tcW w:w="942" w:type="pct"/>
                  <w:vAlign w:val="center"/>
                </w:tcPr>
                <w:p>
                  <w:pPr>
                    <w:jc w:val="center"/>
                    <w:rPr>
                      <w:szCs w:val="21"/>
                    </w:rPr>
                  </w:pPr>
                  <w:r>
                    <w:rPr>
                      <w:rFonts w:hint="eastAsia"/>
                      <w:szCs w:val="21"/>
                      <w:lang w:val="en-US" w:eastAsia="zh-CN"/>
                    </w:rPr>
                    <w:t>100</w:t>
                  </w:r>
                  <w:r>
                    <w:rPr>
                      <w:rFonts w:hint="eastAsia"/>
                      <w:szCs w:val="21"/>
                    </w:rPr>
                    <w:t>人·次/d</w:t>
                  </w:r>
                </w:p>
              </w:tc>
              <w:tc>
                <w:tcPr>
                  <w:tcW w:w="744" w:type="pct"/>
                  <w:vAlign w:val="center"/>
                </w:tcPr>
                <w:p>
                  <w:pPr>
                    <w:jc w:val="center"/>
                    <w:rPr>
                      <w:rFonts w:hint="eastAsia" w:eastAsia="宋体"/>
                      <w:szCs w:val="21"/>
                      <w:lang w:val="en-US" w:eastAsia="zh-CN"/>
                    </w:rPr>
                  </w:pPr>
                  <w:r>
                    <w:rPr>
                      <w:rFonts w:hint="eastAsia"/>
                      <w:szCs w:val="21"/>
                      <w:lang w:val="en-US" w:eastAsia="zh-CN"/>
                    </w:rPr>
                    <w:t>1</w:t>
                  </w:r>
                </w:p>
              </w:tc>
              <w:tc>
                <w:tcPr>
                  <w:tcW w:w="694" w:type="pct"/>
                  <w:vAlign w:val="center"/>
                </w:tcPr>
                <w:p>
                  <w:pPr>
                    <w:jc w:val="center"/>
                    <w:rPr>
                      <w:rFonts w:hint="default" w:eastAsia="宋体"/>
                      <w:szCs w:val="21"/>
                      <w:lang w:val="en-US" w:eastAsia="zh-CN"/>
                    </w:rPr>
                  </w:pPr>
                  <w:r>
                    <w:rPr>
                      <w:rFonts w:hint="eastAsia"/>
                      <w:szCs w:val="21"/>
                      <w:lang w:val="en-US" w:eastAsia="zh-CN"/>
                    </w:rPr>
                    <w:t>365</w:t>
                  </w:r>
                </w:p>
              </w:tc>
              <w:tc>
                <w:tcPr>
                  <w:tcW w:w="1125"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68" w:type="pct"/>
                  <w:vAlign w:val="center"/>
                </w:tcPr>
                <w:p>
                  <w:pPr>
                    <w:jc w:val="center"/>
                    <w:rPr>
                      <w:rFonts w:hint="eastAsia" w:eastAsia="宋体"/>
                      <w:szCs w:val="21"/>
                      <w:lang w:eastAsia="zh-CN"/>
                    </w:rPr>
                  </w:pPr>
                  <w:r>
                    <w:rPr>
                      <w:rFonts w:hint="eastAsia"/>
                      <w:szCs w:val="21"/>
                      <w:lang w:eastAsia="zh-CN"/>
                    </w:rPr>
                    <w:t>垃圾站</w:t>
                  </w:r>
                </w:p>
              </w:tc>
              <w:tc>
                <w:tcPr>
                  <w:tcW w:w="724" w:type="pct"/>
                  <w:vAlign w:val="center"/>
                </w:tcPr>
                <w:p>
                  <w:pPr>
                    <w:jc w:val="center"/>
                    <w:rPr>
                      <w:rFonts w:hint="eastAsia"/>
                      <w:szCs w:val="21"/>
                    </w:rPr>
                  </w:pPr>
                  <w:r>
                    <w:rPr>
                      <w:rFonts w:hint="eastAsia"/>
                      <w:lang w:val="en-US" w:eastAsia="zh-CN"/>
                    </w:rPr>
                    <w:t>1.5L/</w:t>
                  </w:r>
                  <w:r>
                    <w:t>m</w:t>
                  </w:r>
                  <w:r>
                    <w:rPr>
                      <w:vertAlign w:val="superscript"/>
                    </w:rPr>
                    <w:t>2</w:t>
                  </w:r>
                  <w:r>
                    <w:t>·</w:t>
                  </w:r>
                  <w:r>
                    <w:rPr>
                      <w:rFonts w:hint="eastAsia"/>
                      <w:lang w:val="en-US" w:eastAsia="zh-CN"/>
                    </w:rPr>
                    <w:t>d</w:t>
                  </w:r>
                </w:p>
              </w:tc>
              <w:tc>
                <w:tcPr>
                  <w:tcW w:w="942" w:type="pct"/>
                  <w:vAlign w:val="center"/>
                </w:tcPr>
                <w:p>
                  <w:pPr>
                    <w:jc w:val="center"/>
                    <w:rPr>
                      <w:rFonts w:hint="eastAsia"/>
                      <w:szCs w:val="21"/>
                      <w:lang w:val="en-US" w:eastAsia="zh-CN"/>
                    </w:rPr>
                  </w:pPr>
                  <w:r>
                    <w:rPr>
                      <w:rFonts w:hint="eastAsia"/>
                      <w:szCs w:val="21"/>
                      <w:lang w:val="en-US" w:eastAsia="zh-CN"/>
                    </w:rPr>
                    <w:t>40.2</w:t>
                  </w:r>
                  <w:r>
                    <w:rPr>
                      <w:szCs w:val="21"/>
                    </w:rPr>
                    <w:t>m</w:t>
                  </w:r>
                  <w:r>
                    <w:rPr>
                      <w:rFonts w:hint="eastAsia"/>
                      <w:szCs w:val="21"/>
                      <w:vertAlign w:val="superscript"/>
                    </w:rPr>
                    <w:t>2</w:t>
                  </w:r>
                </w:p>
              </w:tc>
              <w:tc>
                <w:tcPr>
                  <w:tcW w:w="744" w:type="pct"/>
                  <w:vAlign w:val="center"/>
                </w:tcPr>
                <w:p>
                  <w:pPr>
                    <w:jc w:val="center"/>
                    <w:rPr>
                      <w:rFonts w:hint="default" w:eastAsia="宋体"/>
                      <w:szCs w:val="21"/>
                      <w:lang w:val="en-US" w:eastAsia="zh-CN"/>
                    </w:rPr>
                  </w:pPr>
                  <w:r>
                    <w:rPr>
                      <w:rFonts w:hint="eastAsia"/>
                      <w:szCs w:val="21"/>
                      <w:lang w:val="en-US" w:eastAsia="zh-CN"/>
                    </w:rPr>
                    <w:t>0.06</w:t>
                  </w:r>
                </w:p>
              </w:tc>
              <w:tc>
                <w:tcPr>
                  <w:tcW w:w="694" w:type="pct"/>
                  <w:vAlign w:val="center"/>
                </w:tcPr>
                <w:p>
                  <w:pPr>
                    <w:jc w:val="center"/>
                    <w:rPr>
                      <w:rFonts w:hint="default" w:eastAsia="宋体"/>
                      <w:szCs w:val="21"/>
                      <w:lang w:val="en-US" w:eastAsia="zh-CN"/>
                    </w:rPr>
                  </w:pPr>
                  <w:r>
                    <w:rPr>
                      <w:rFonts w:hint="eastAsia"/>
                      <w:szCs w:val="21"/>
                      <w:lang w:val="en-US" w:eastAsia="zh-CN"/>
                    </w:rPr>
                    <w:t>18</w:t>
                  </w:r>
                </w:p>
              </w:tc>
              <w:tc>
                <w:tcPr>
                  <w:tcW w:w="1125" w:type="pct"/>
                  <w:vAlign w:val="center"/>
                </w:tcPr>
                <w:p>
                  <w:pPr>
                    <w:jc w:val="center"/>
                    <w:rPr>
                      <w:rFonts w:hint="default" w:eastAsia="宋体"/>
                      <w:szCs w:val="21"/>
                      <w:lang w:val="en-US" w:eastAsia="zh-CN"/>
                    </w:rPr>
                  </w:pPr>
                  <w:r>
                    <w:rPr>
                      <w:rFonts w:hint="eastAsia"/>
                      <w:szCs w:val="21"/>
                      <w:lang w:eastAsia="zh-CN"/>
                    </w:rPr>
                    <w:t>按</w:t>
                  </w:r>
                  <w:r>
                    <w:rPr>
                      <w:rFonts w:hint="eastAsia"/>
                      <w:szCs w:val="21"/>
                      <w:lang w:val="en-US" w:eastAsia="zh-CN"/>
                    </w:rPr>
                    <w:t>300d/a计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地下停车库地面冲洗</w:t>
                  </w:r>
                </w:p>
              </w:tc>
              <w:tc>
                <w:tcPr>
                  <w:tcW w:w="724" w:type="pct"/>
                  <w:vAlign w:val="center"/>
                </w:tcPr>
                <w:p>
                  <w:pPr>
                    <w:jc w:val="center"/>
                    <w:rPr>
                      <w:szCs w:val="21"/>
                    </w:rPr>
                  </w:pPr>
                  <w:r>
                    <w:rPr>
                      <w:rFonts w:hint="eastAsia"/>
                      <w:szCs w:val="21"/>
                    </w:rPr>
                    <w:t>2</w:t>
                  </w:r>
                  <w:r>
                    <w:rPr>
                      <w:szCs w:val="21"/>
                    </w:rPr>
                    <w:t>L/m</w:t>
                  </w:r>
                  <w:r>
                    <w:rPr>
                      <w:rFonts w:hint="eastAsia"/>
                      <w:szCs w:val="21"/>
                      <w:vertAlign w:val="superscript"/>
                    </w:rPr>
                    <w:t>2</w:t>
                  </w:r>
                  <w:r>
                    <w:rPr>
                      <w:rFonts w:hint="eastAsia"/>
                      <w:szCs w:val="21"/>
                    </w:rPr>
                    <w:t>·次</w:t>
                  </w:r>
                </w:p>
              </w:tc>
              <w:tc>
                <w:tcPr>
                  <w:tcW w:w="942" w:type="pct"/>
                  <w:vAlign w:val="center"/>
                </w:tcPr>
                <w:p>
                  <w:pPr>
                    <w:jc w:val="center"/>
                    <w:rPr>
                      <w:rFonts w:hint="default" w:eastAsia="宋体"/>
                      <w:szCs w:val="21"/>
                      <w:lang w:val="en-US" w:eastAsia="zh-CN"/>
                    </w:rPr>
                  </w:pPr>
                  <w:r>
                    <w:rPr>
                      <w:rFonts w:hint="eastAsia"/>
                      <w:szCs w:val="21"/>
                      <w:lang w:val="en-US" w:eastAsia="zh-CN"/>
                    </w:rPr>
                    <w:t>51646.591</w:t>
                  </w:r>
                </w:p>
                <w:p>
                  <w:pPr>
                    <w:jc w:val="center"/>
                    <w:rPr>
                      <w:szCs w:val="21"/>
                    </w:rPr>
                  </w:pPr>
                  <w:r>
                    <w:rPr>
                      <w:szCs w:val="21"/>
                    </w:rPr>
                    <w:t>m</w:t>
                  </w:r>
                  <w:r>
                    <w:rPr>
                      <w:rFonts w:hint="eastAsia"/>
                      <w:szCs w:val="21"/>
                      <w:vertAlign w:val="superscript"/>
                    </w:rPr>
                    <w:t>2</w:t>
                  </w:r>
                </w:p>
              </w:tc>
              <w:tc>
                <w:tcPr>
                  <w:tcW w:w="744" w:type="pct"/>
                  <w:vAlign w:val="center"/>
                </w:tcPr>
                <w:p>
                  <w:pPr>
                    <w:jc w:val="center"/>
                    <w:rPr>
                      <w:szCs w:val="21"/>
                    </w:rPr>
                  </w:pPr>
                  <w:r>
                    <w:rPr>
                      <w:rFonts w:hint="eastAsia"/>
                      <w:szCs w:val="21"/>
                      <w:lang w:val="en-US" w:eastAsia="zh-CN"/>
                    </w:rPr>
                    <w:t>103.29</w:t>
                  </w:r>
                  <w:r>
                    <w:rPr>
                      <w:szCs w:val="21"/>
                    </w:rPr>
                    <w:t>m</w:t>
                  </w:r>
                  <w:r>
                    <w:rPr>
                      <w:szCs w:val="21"/>
                      <w:vertAlign w:val="superscript"/>
                    </w:rPr>
                    <w:t>3</w:t>
                  </w:r>
                  <w:r>
                    <w:rPr>
                      <w:szCs w:val="21"/>
                    </w:rPr>
                    <w:t>/</w:t>
                  </w:r>
                  <w:r>
                    <w:rPr>
                      <w:rFonts w:hint="eastAsia"/>
                      <w:szCs w:val="21"/>
                    </w:rPr>
                    <w:t>次</w:t>
                  </w:r>
                </w:p>
              </w:tc>
              <w:tc>
                <w:tcPr>
                  <w:tcW w:w="694" w:type="pct"/>
                  <w:vAlign w:val="center"/>
                </w:tcPr>
                <w:p>
                  <w:pPr>
                    <w:jc w:val="center"/>
                    <w:rPr>
                      <w:rFonts w:hint="default" w:eastAsia="宋体"/>
                      <w:szCs w:val="21"/>
                      <w:lang w:val="en-US" w:eastAsia="zh-CN"/>
                    </w:rPr>
                  </w:pPr>
                  <w:r>
                    <w:rPr>
                      <w:rFonts w:hint="eastAsia"/>
                      <w:szCs w:val="21"/>
                      <w:lang w:val="en-US" w:eastAsia="zh-CN"/>
                    </w:rPr>
                    <w:t>9296.1</w:t>
                  </w:r>
                </w:p>
              </w:tc>
              <w:tc>
                <w:tcPr>
                  <w:tcW w:w="1125" w:type="pct"/>
                  <w:vAlign w:val="center"/>
                </w:tcPr>
                <w:p>
                  <w:pPr>
                    <w:jc w:val="center"/>
                    <w:rPr>
                      <w:szCs w:val="21"/>
                    </w:rPr>
                  </w:pPr>
                  <w:r>
                    <w:rPr>
                      <w:rFonts w:hint="eastAsia"/>
                      <w:szCs w:val="21"/>
                    </w:rPr>
                    <w:t>按每年冲洗90次计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szCs w:val="21"/>
                    </w:rPr>
                    <w:t>绿化用水</w:t>
                  </w:r>
                </w:p>
              </w:tc>
              <w:tc>
                <w:tcPr>
                  <w:tcW w:w="724" w:type="pct"/>
                  <w:vAlign w:val="center"/>
                </w:tcPr>
                <w:p>
                  <w:pPr>
                    <w:jc w:val="center"/>
                    <w:rPr>
                      <w:szCs w:val="21"/>
                    </w:rPr>
                  </w:pPr>
                  <w:r>
                    <w:rPr>
                      <w:rFonts w:hint="eastAsia"/>
                      <w:szCs w:val="21"/>
                    </w:rPr>
                    <w:t>60</w:t>
                  </w:r>
                  <w:r>
                    <w:rPr>
                      <w:szCs w:val="21"/>
                    </w:rPr>
                    <w:t>L/m</w:t>
                  </w:r>
                  <w:r>
                    <w:rPr>
                      <w:szCs w:val="21"/>
                      <w:vertAlign w:val="superscript"/>
                    </w:rPr>
                    <w:t>2</w:t>
                  </w:r>
                  <w:r>
                    <w:rPr>
                      <w:szCs w:val="21"/>
                    </w:rPr>
                    <w:t>·月</w:t>
                  </w:r>
                </w:p>
              </w:tc>
              <w:tc>
                <w:tcPr>
                  <w:tcW w:w="942" w:type="pct"/>
                  <w:vAlign w:val="center"/>
                </w:tcPr>
                <w:p>
                  <w:pPr>
                    <w:jc w:val="center"/>
                    <w:rPr>
                      <w:szCs w:val="21"/>
                    </w:rPr>
                  </w:pPr>
                  <w:r>
                    <w:rPr>
                      <w:rFonts w:hint="eastAsia"/>
                      <w:szCs w:val="21"/>
                      <w:lang w:val="en-US" w:eastAsia="zh-CN"/>
                    </w:rPr>
                    <w:t>24181</w:t>
                  </w:r>
                  <w:r>
                    <w:rPr>
                      <w:szCs w:val="21"/>
                    </w:rPr>
                    <w:t>m</w:t>
                  </w:r>
                  <w:r>
                    <w:rPr>
                      <w:rFonts w:hint="eastAsia"/>
                      <w:szCs w:val="21"/>
                      <w:vertAlign w:val="superscript"/>
                    </w:rPr>
                    <w:t>2</w:t>
                  </w:r>
                </w:p>
              </w:tc>
              <w:tc>
                <w:tcPr>
                  <w:tcW w:w="744" w:type="pct"/>
                  <w:vAlign w:val="center"/>
                </w:tcPr>
                <w:p>
                  <w:pPr>
                    <w:jc w:val="center"/>
                    <w:rPr>
                      <w:szCs w:val="21"/>
                    </w:rPr>
                  </w:pPr>
                  <w:r>
                    <w:rPr>
                      <w:rFonts w:hint="eastAsia"/>
                      <w:szCs w:val="21"/>
                      <w:lang w:val="en-US" w:eastAsia="zh-CN"/>
                    </w:rPr>
                    <w:t>1450.86</w:t>
                  </w:r>
                  <w:r>
                    <w:rPr>
                      <w:szCs w:val="21"/>
                    </w:rPr>
                    <w:t>m</w:t>
                  </w:r>
                  <w:r>
                    <w:rPr>
                      <w:szCs w:val="21"/>
                      <w:vertAlign w:val="superscript"/>
                    </w:rPr>
                    <w:t>3</w:t>
                  </w:r>
                  <w:r>
                    <w:rPr>
                      <w:szCs w:val="21"/>
                    </w:rPr>
                    <w:t>/</w:t>
                  </w:r>
                  <w:r>
                    <w:rPr>
                      <w:rFonts w:hint="eastAsia"/>
                      <w:szCs w:val="21"/>
                    </w:rPr>
                    <w:t>月</w:t>
                  </w:r>
                </w:p>
              </w:tc>
              <w:tc>
                <w:tcPr>
                  <w:tcW w:w="694" w:type="pct"/>
                  <w:vAlign w:val="center"/>
                </w:tcPr>
                <w:p>
                  <w:pPr>
                    <w:jc w:val="center"/>
                    <w:rPr>
                      <w:rFonts w:hint="default" w:eastAsia="宋体"/>
                      <w:szCs w:val="21"/>
                      <w:lang w:val="en-US" w:eastAsia="zh-CN"/>
                    </w:rPr>
                  </w:pPr>
                  <w:r>
                    <w:rPr>
                      <w:rFonts w:hint="eastAsia"/>
                      <w:szCs w:val="21"/>
                      <w:lang w:val="en-US" w:eastAsia="zh-CN"/>
                    </w:rPr>
                    <w:t>17410.32</w:t>
                  </w:r>
                </w:p>
              </w:tc>
              <w:tc>
                <w:tcPr>
                  <w:tcW w:w="1125" w:type="pct"/>
                  <w:vAlign w:val="center"/>
                </w:tcPr>
                <w:p>
                  <w:pPr>
                    <w:jc w:val="center"/>
                    <w:rPr>
                      <w:szCs w:val="21"/>
                    </w:rPr>
                  </w:pPr>
                  <w:r>
                    <w:rPr>
                      <w:rFonts w:hint="eastAsia"/>
                      <w:szCs w:val="21"/>
                    </w:rPr>
                    <w:t>植物吸收、</w:t>
                  </w:r>
                  <w:r>
                    <w:rPr>
                      <w:szCs w:val="21"/>
                    </w:rPr>
                    <w:t>蒸发进入大气环境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pct"/>
                  <w:vAlign w:val="center"/>
                </w:tcPr>
                <w:p>
                  <w:pPr>
                    <w:jc w:val="center"/>
                    <w:rPr>
                      <w:szCs w:val="21"/>
                    </w:rPr>
                  </w:pPr>
                  <w:r>
                    <w:rPr>
                      <w:rFonts w:hint="eastAsia"/>
                      <w:szCs w:val="21"/>
                    </w:rPr>
                    <w:t>未预见用水量</w:t>
                  </w:r>
                </w:p>
              </w:tc>
              <w:tc>
                <w:tcPr>
                  <w:tcW w:w="724" w:type="pct"/>
                  <w:vAlign w:val="center"/>
                </w:tcPr>
                <w:p>
                  <w:pPr>
                    <w:jc w:val="center"/>
                    <w:rPr>
                      <w:szCs w:val="21"/>
                    </w:rPr>
                  </w:pPr>
                  <w:r>
                    <w:rPr>
                      <w:rFonts w:hint="eastAsia"/>
                      <w:szCs w:val="21"/>
                    </w:rPr>
                    <w:t>/</w:t>
                  </w:r>
                </w:p>
              </w:tc>
              <w:tc>
                <w:tcPr>
                  <w:tcW w:w="942" w:type="pct"/>
                  <w:vAlign w:val="center"/>
                </w:tcPr>
                <w:p>
                  <w:pPr>
                    <w:jc w:val="center"/>
                    <w:rPr>
                      <w:color w:val="FF0000"/>
                      <w:szCs w:val="21"/>
                    </w:rPr>
                  </w:pPr>
                  <w:r>
                    <w:rPr>
                      <w:rFonts w:hint="eastAsia"/>
                      <w:szCs w:val="21"/>
                    </w:rPr>
                    <w:t>10%</w:t>
                  </w:r>
                </w:p>
              </w:tc>
              <w:tc>
                <w:tcPr>
                  <w:tcW w:w="744" w:type="pct"/>
                  <w:vAlign w:val="center"/>
                </w:tcPr>
                <w:p>
                  <w:pPr>
                    <w:jc w:val="center"/>
                    <w:rPr>
                      <w:szCs w:val="21"/>
                    </w:rPr>
                  </w:pPr>
                  <w:r>
                    <w:rPr>
                      <w:rFonts w:hint="eastAsia"/>
                      <w:szCs w:val="21"/>
                    </w:rPr>
                    <w:t>/</w:t>
                  </w:r>
                </w:p>
              </w:tc>
              <w:tc>
                <w:tcPr>
                  <w:tcW w:w="694" w:type="pct"/>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24368</w:t>
                  </w:r>
                  <w:r>
                    <w:rPr>
                      <w:rFonts w:hint="eastAsia" w:ascii="Times New Roman" w:hAnsi="Times New Roman" w:cs="Times New Roman"/>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034</w:t>
                  </w:r>
                </w:p>
              </w:tc>
              <w:tc>
                <w:tcPr>
                  <w:tcW w:w="1125"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36" w:type="pct"/>
                  <w:gridSpan w:val="3"/>
                  <w:vAlign w:val="center"/>
                </w:tcPr>
                <w:p>
                  <w:pPr>
                    <w:jc w:val="center"/>
                    <w:rPr>
                      <w:szCs w:val="21"/>
                    </w:rPr>
                  </w:pPr>
                  <w:r>
                    <w:rPr>
                      <w:rFonts w:hint="eastAsia"/>
                      <w:b/>
                      <w:bCs/>
                      <w:szCs w:val="21"/>
                    </w:rPr>
                    <w:t>合计</w:t>
                  </w:r>
                </w:p>
              </w:tc>
              <w:tc>
                <w:tcPr>
                  <w:tcW w:w="744" w:type="pct"/>
                  <w:vAlign w:val="center"/>
                </w:tcPr>
                <w:p>
                  <w:pPr>
                    <w:jc w:val="center"/>
                    <w:rPr>
                      <w:szCs w:val="21"/>
                    </w:rPr>
                  </w:pPr>
                </w:p>
              </w:tc>
              <w:tc>
                <w:tcPr>
                  <w:tcW w:w="694" w:type="pct"/>
                  <w:vAlign w:val="center"/>
                </w:tcPr>
                <w:p>
                  <w:pPr>
                    <w:jc w:val="center"/>
                    <w:rPr>
                      <w:szCs w:val="21"/>
                    </w:rPr>
                  </w:pPr>
                  <w:r>
                    <w:rPr>
                      <w:rFonts w:hint="eastAsia"/>
                      <w:szCs w:val="21"/>
                    </w:rPr>
                    <w:t>268048.374</w:t>
                  </w:r>
                </w:p>
              </w:tc>
              <w:tc>
                <w:tcPr>
                  <w:tcW w:w="1125" w:type="pct"/>
                  <w:vAlign w:val="center"/>
                </w:tcPr>
                <w:p>
                  <w:pPr>
                    <w:jc w:val="center"/>
                    <w:rPr>
                      <w:szCs w:val="21"/>
                    </w:rPr>
                  </w:pPr>
                </w:p>
              </w:tc>
            </w:tr>
          </w:tbl>
          <w:p>
            <w:pPr>
              <w:ind w:firstLine="422"/>
              <w:jc w:val="center"/>
              <w:rPr>
                <w:b/>
                <w:bCs/>
                <w:szCs w:val="21"/>
              </w:rPr>
            </w:pPr>
            <w:r>
              <w:rPr>
                <w:b/>
                <w:bCs/>
                <w:szCs w:val="21"/>
              </w:rPr>
              <w:t>表</w:t>
            </w:r>
            <w:r>
              <w:rPr>
                <w:rFonts w:hint="eastAsia"/>
                <w:b/>
                <w:bCs/>
                <w:szCs w:val="21"/>
              </w:rPr>
              <w:t>4-</w:t>
            </w:r>
            <w:r>
              <w:rPr>
                <w:rFonts w:hint="eastAsia"/>
                <w:b/>
                <w:bCs/>
                <w:szCs w:val="21"/>
                <w:lang w:val="en-US" w:eastAsia="zh-CN"/>
              </w:rPr>
              <w:t>5  03#地块</w:t>
            </w:r>
            <w:r>
              <w:rPr>
                <w:rFonts w:hint="eastAsia"/>
                <w:b/>
                <w:bCs/>
                <w:szCs w:val="21"/>
              </w:rPr>
              <w:t>用水</w:t>
            </w:r>
            <w:r>
              <w:rPr>
                <w:b/>
                <w:bCs/>
                <w:szCs w:val="21"/>
              </w:rPr>
              <w:t>情况一览表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2"/>
              <w:gridCol w:w="1191"/>
              <w:gridCol w:w="1620"/>
              <w:gridCol w:w="1180"/>
              <w:gridCol w:w="1215"/>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812" w:type="pct"/>
                  <w:vMerge w:val="restart"/>
                  <w:vAlign w:val="center"/>
                </w:tcPr>
                <w:p>
                  <w:pPr>
                    <w:jc w:val="center"/>
                    <w:rPr>
                      <w:b/>
                      <w:bCs/>
                      <w:szCs w:val="21"/>
                    </w:rPr>
                  </w:pPr>
                  <w:r>
                    <w:rPr>
                      <w:b/>
                      <w:bCs/>
                      <w:szCs w:val="21"/>
                    </w:rPr>
                    <w:t>用水项目</w:t>
                  </w:r>
                </w:p>
              </w:tc>
              <w:tc>
                <w:tcPr>
                  <w:tcW w:w="690" w:type="pct"/>
                  <w:vMerge w:val="restart"/>
                  <w:vAlign w:val="center"/>
                </w:tcPr>
                <w:p>
                  <w:pPr>
                    <w:jc w:val="center"/>
                    <w:rPr>
                      <w:b/>
                      <w:bCs/>
                      <w:szCs w:val="21"/>
                    </w:rPr>
                  </w:pPr>
                  <w:r>
                    <w:rPr>
                      <w:b/>
                      <w:bCs/>
                      <w:szCs w:val="21"/>
                    </w:rPr>
                    <w:t>用水</w:t>
                  </w:r>
                  <w:r>
                    <w:rPr>
                      <w:rFonts w:hint="eastAsia"/>
                      <w:b/>
                      <w:bCs/>
                      <w:szCs w:val="21"/>
                    </w:rPr>
                    <w:t>定额</w:t>
                  </w:r>
                </w:p>
              </w:tc>
              <w:tc>
                <w:tcPr>
                  <w:tcW w:w="938" w:type="pct"/>
                  <w:vMerge w:val="restart"/>
                  <w:vAlign w:val="center"/>
                </w:tcPr>
                <w:p>
                  <w:pPr>
                    <w:jc w:val="center"/>
                    <w:rPr>
                      <w:b/>
                      <w:bCs/>
                      <w:szCs w:val="21"/>
                    </w:rPr>
                  </w:pPr>
                  <w:r>
                    <w:rPr>
                      <w:rFonts w:hint="eastAsia"/>
                      <w:b/>
                      <w:bCs/>
                      <w:szCs w:val="21"/>
                    </w:rPr>
                    <w:t>规模</w:t>
                  </w:r>
                </w:p>
              </w:tc>
              <w:tc>
                <w:tcPr>
                  <w:tcW w:w="1378" w:type="pct"/>
                  <w:gridSpan w:val="2"/>
                  <w:vAlign w:val="center"/>
                </w:tcPr>
                <w:p>
                  <w:pPr>
                    <w:jc w:val="center"/>
                    <w:rPr>
                      <w:b/>
                      <w:bCs/>
                      <w:szCs w:val="21"/>
                    </w:rPr>
                  </w:pPr>
                  <w:r>
                    <w:rPr>
                      <w:b/>
                      <w:bCs/>
                      <w:szCs w:val="21"/>
                    </w:rPr>
                    <w:t>用水量</w:t>
                  </w:r>
                </w:p>
              </w:tc>
              <w:tc>
                <w:tcPr>
                  <w:tcW w:w="1180" w:type="pct"/>
                  <w:vMerge w:val="restart"/>
                  <w:vAlign w:val="center"/>
                </w:tcPr>
                <w:p>
                  <w:pPr>
                    <w:jc w:val="center"/>
                    <w:rPr>
                      <w:b/>
                      <w:bCs/>
                      <w:szCs w:val="21"/>
                    </w:rPr>
                  </w:pPr>
                  <w:r>
                    <w:rPr>
                      <w:rFonts w:hint="eastAsia"/>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812" w:type="pct"/>
                  <w:vMerge w:val="continue"/>
                  <w:vAlign w:val="center"/>
                </w:tcPr>
                <w:p>
                  <w:pPr>
                    <w:jc w:val="center"/>
                  </w:pPr>
                </w:p>
              </w:tc>
              <w:tc>
                <w:tcPr>
                  <w:tcW w:w="690" w:type="pct"/>
                  <w:vMerge w:val="continue"/>
                  <w:vAlign w:val="center"/>
                </w:tcPr>
                <w:p>
                  <w:pPr>
                    <w:jc w:val="center"/>
                  </w:pPr>
                </w:p>
              </w:tc>
              <w:tc>
                <w:tcPr>
                  <w:tcW w:w="938" w:type="pct"/>
                  <w:vMerge w:val="continue"/>
                  <w:vAlign w:val="center"/>
                </w:tcPr>
                <w:p>
                  <w:pPr>
                    <w:jc w:val="center"/>
                  </w:pPr>
                </w:p>
              </w:tc>
              <w:tc>
                <w:tcPr>
                  <w:tcW w:w="684" w:type="pct"/>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d</w:t>
                  </w:r>
                </w:p>
              </w:tc>
              <w:tc>
                <w:tcPr>
                  <w:tcW w:w="693" w:type="pct"/>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a</w:t>
                  </w:r>
                </w:p>
              </w:tc>
              <w:tc>
                <w:tcPr>
                  <w:tcW w:w="1180" w:type="pct"/>
                  <w:vMerge w:val="continue"/>
                  <w:vAlign w:val="center"/>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居民生活</w:t>
                  </w:r>
                </w:p>
              </w:tc>
              <w:tc>
                <w:tcPr>
                  <w:tcW w:w="690" w:type="pct"/>
                  <w:vAlign w:val="center"/>
                </w:tcPr>
                <w:p>
                  <w:pPr>
                    <w:jc w:val="center"/>
                    <w:rPr>
                      <w:szCs w:val="21"/>
                    </w:rPr>
                  </w:pPr>
                  <w:r>
                    <w:rPr>
                      <w:rFonts w:hint="eastAsia"/>
                      <w:szCs w:val="21"/>
                    </w:rPr>
                    <w:t>155</w:t>
                  </w:r>
                  <w:r>
                    <w:rPr>
                      <w:szCs w:val="21"/>
                    </w:rPr>
                    <w:t>L/人·</w:t>
                  </w:r>
                  <w:r>
                    <w:rPr>
                      <w:rFonts w:hint="eastAsia"/>
                      <w:szCs w:val="21"/>
                    </w:rPr>
                    <w:t>d</w:t>
                  </w:r>
                </w:p>
              </w:tc>
              <w:tc>
                <w:tcPr>
                  <w:tcW w:w="938" w:type="pct"/>
                  <w:vAlign w:val="center"/>
                </w:tcPr>
                <w:p>
                  <w:pPr>
                    <w:jc w:val="center"/>
                    <w:rPr>
                      <w:szCs w:val="21"/>
                    </w:rPr>
                  </w:pPr>
                  <w:r>
                    <w:rPr>
                      <w:rFonts w:hint="eastAsia"/>
                      <w:szCs w:val="21"/>
                    </w:rPr>
                    <w:t>2931人（916户）</w:t>
                  </w:r>
                </w:p>
              </w:tc>
              <w:tc>
                <w:tcPr>
                  <w:tcW w:w="684" w:type="pct"/>
                  <w:vAlign w:val="center"/>
                </w:tcPr>
                <w:p>
                  <w:pPr>
                    <w:jc w:val="center"/>
                    <w:rPr>
                      <w:rFonts w:hint="default" w:eastAsia="宋体"/>
                      <w:szCs w:val="21"/>
                      <w:lang w:val="en-US" w:eastAsia="zh-CN"/>
                    </w:rPr>
                  </w:pPr>
                  <w:r>
                    <w:rPr>
                      <w:rFonts w:hint="eastAsia"/>
                      <w:szCs w:val="21"/>
                      <w:lang w:val="en-US" w:eastAsia="zh-CN"/>
                    </w:rPr>
                    <w:t>454.305</w:t>
                  </w:r>
                </w:p>
              </w:tc>
              <w:tc>
                <w:tcPr>
                  <w:tcW w:w="693" w:type="pct"/>
                  <w:vAlign w:val="center"/>
                </w:tcPr>
                <w:p>
                  <w:pPr>
                    <w:jc w:val="center"/>
                    <w:rPr>
                      <w:rFonts w:hint="default" w:eastAsia="宋体"/>
                      <w:szCs w:val="21"/>
                      <w:lang w:val="en-US" w:eastAsia="zh-CN"/>
                    </w:rPr>
                  </w:pPr>
                  <w:r>
                    <w:rPr>
                      <w:rFonts w:hint="eastAsia"/>
                      <w:szCs w:val="21"/>
                      <w:lang w:val="en-US" w:eastAsia="zh-CN"/>
                    </w:rPr>
                    <w:t>165821.325</w:t>
                  </w:r>
                </w:p>
              </w:tc>
              <w:tc>
                <w:tcPr>
                  <w:tcW w:w="1180" w:type="pct"/>
                  <w:vAlign w:val="center"/>
                </w:tcPr>
                <w:p>
                  <w:pPr>
                    <w:jc w:val="center"/>
                    <w:rPr>
                      <w:szCs w:val="21"/>
                    </w:rPr>
                  </w:pPr>
                  <w:r>
                    <w:rPr>
                      <w:kern w:val="0"/>
                      <w:szCs w:val="21"/>
                    </w:rPr>
                    <w:t>按365d/a计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物管用房</w:t>
                  </w:r>
                </w:p>
              </w:tc>
              <w:tc>
                <w:tcPr>
                  <w:tcW w:w="690" w:type="pct"/>
                  <w:vAlign w:val="center"/>
                </w:tcPr>
                <w:p>
                  <w:pPr>
                    <w:jc w:val="center"/>
                    <w:rPr>
                      <w:szCs w:val="21"/>
                    </w:rPr>
                  </w:pPr>
                  <w:r>
                    <w:rPr>
                      <w:rFonts w:hint="eastAsia"/>
                      <w:szCs w:val="21"/>
                    </w:rPr>
                    <w:t>25</w:t>
                  </w:r>
                  <w:r>
                    <w:rPr>
                      <w:szCs w:val="21"/>
                    </w:rPr>
                    <w:t>m</w:t>
                  </w:r>
                  <w:r>
                    <w:rPr>
                      <w:szCs w:val="21"/>
                      <w:vertAlign w:val="superscript"/>
                    </w:rPr>
                    <w:t>3</w:t>
                  </w:r>
                  <w:r>
                    <w:rPr>
                      <w:szCs w:val="21"/>
                    </w:rPr>
                    <w:t>/</w:t>
                  </w:r>
                  <w:r>
                    <w:rPr>
                      <w:rFonts w:hint="eastAsia"/>
                      <w:szCs w:val="21"/>
                    </w:rPr>
                    <w:t>人·</w:t>
                  </w:r>
                  <w:r>
                    <w:rPr>
                      <w:szCs w:val="21"/>
                    </w:rPr>
                    <w:t>a</w:t>
                  </w:r>
                </w:p>
              </w:tc>
              <w:tc>
                <w:tcPr>
                  <w:tcW w:w="938" w:type="pct"/>
                  <w:vAlign w:val="center"/>
                </w:tcPr>
                <w:p>
                  <w:pPr>
                    <w:jc w:val="center"/>
                    <w:rPr>
                      <w:szCs w:val="21"/>
                    </w:rPr>
                  </w:pPr>
                  <w:r>
                    <w:rPr>
                      <w:rFonts w:hint="eastAsia"/>
                      <w:szCs w:val="21"/>
                      <w:lang w:val="en-US" w:eastAsia="zh-CN"/>
                    </w:rPr>
                    <w:t>15</w:t>
                  </w:r>
                  <w:r>
                    <w:rPr>
                      <w:rFonts w:hint="eastAsia"/>
                      <w:szCs w:val="21"/>
                    </w:rPr>
                    <w:t>人</w:t>
                  </w:r>
                </w:p>
              </w:tc>
              <w:tc>
                <w:tcPr>
                  <w:tcW w:w="684" w:type="pct"/>
                  <w:vAlign w:val="center"/>
                </w:tcPr>
                <w:p>
                  <w:pPr>
                    <w:jc w:val="center"/>
                    <w:rPr>
                      <w:rFonts w:hint="default" w:eastAsia="宋体"/>
                      <w:szCs w:val="21"/>
                      <w:lang w:val="en-US" w:eastAsia="zh-CN"/>
                    </w:rPr>
                  </w:pPr>
                  <w:r>
                    <w:rPr>
                      <w:rFonts w:hint="eastAsia"/>
                      <w:szCs w:val="21"/>
                      <w:lang w:val="en-US" w:eastAsia="zh-CN"/>
                    </w:rPr>
                    <w:t>1.14</w:t>
                  </w:r>
                </w:p>
              </w:tc>
              <w:tc>
                <w:tcPr>
                  <w:tcW w:w="693" w:type="pct"/>
                  <w:vAlign w:val="center"/>
                </w:tcPr>
                <w:p>
                  <w:pPr>
                    <w:jc w:val="center"/>
                    <w:rPr>
                      <w:rFonts w:hint="default" w:eastAsia="宋体"/>
                      <w:szCs w:val="21"/>
                      <w:lang w:val="en-US" w:eastAsia="zh-CN"/>
                    </w:rPr>
                  </w:pPr>
                  <w:r>
                    <w:rPr>
                      <w:rFonts w:hint="eastAsia"/>
                      <w:szCs w:val="21"/>
                      <w:lang w:val="en-US" w:eastAsia="zh-CN"/>
                    </w:rPr>
                    <w:t>375</w:t>
                  </w:r>
                </w:p>
              </w:tc>
              <w:tc>
                <w:tcPr>
                  <w:tcW w:w="1180" w:type="pct"/>
                  <w:vAlign w:val="center"/>
                </w:tcPr>
                <w:p>
                  <w:pPr>
                    <w:jc w:val="center"/>
                    <w:rPr>
                      <w:szCs w:val="21"/>
                    </w:rPr>
                  </w:pPr>
                  <w:r>
                    <w:rPr>
                      <w:kern w:val="0"/>
                      <w:szCs w:val="21"/>
                    </w:rPr>
                    <w:t>按330d/a计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商业</w:t>
                  </w:r>
                </w:p>
              </w:tc>
              <w:tc>
                <w:tcPr>
                  <w:tcW w:w="690" w:type="pct"/>
                  <w:vAlign w:val="center"/>
                </w:tcPr>
                <w:p>
                  <w:pPr>
                    <w:jc w:val="center"/>
                    <w:rPr>
                      <w:szCs w:val="21"/>
                    </w:rPr>
                  </w:pPr>
                  <w:r>
                    <w:rPr>
                      <w:rFonts w:hint="eastAsia"/>
                      <w:szCs w:val="21"/>
                    </w:rPr>
                    <w:t>8</w:t>
                  </w:r>
                  <w:r>
                    <w:rPr>
                      <w:szCs w:val="21"/>
                    </w:rPr>
                    <w:t>L/m</w:t>
                  </w:r>
                  <w:r>
                    <w:rPr>
                      <w:rFonts w:hint="eastAsia"/>
                      <w:szCs w:val="21"/>
                      <w:vertAlign w:val="superscript"/>
                    </w:rPr>
                    <w:t>2</w:t>
                  </w:r>
                  <w:r>
                    <w:rPr>
                      <w:rFonts w:hint="eastAsia"/>
                      <w:szCs w:val="21"/>
                    </w:rPr>
                    <w:t>·d</w:t>
                  </w:r>
                </w:p>
              </w:tc>
              <w:tc>
                <w:tcPr>
                  <w:tcW w:w="938" w:type="pct"/>
                  <w:vAlign w:val="center"/>
                </w:tcPr>
                <w:p>
                  <w:pPr>
                    <w:jc w:val="center"/>
                    <w:rPr>
                      <w:szCs w:val="21"/>
                    </w:rPr>
                  </w:pPr>
                  <w:r>
                    <w:rPr>
                      <w:rFonts w:hint="eastAsia"/>
                      <w:szCs w:val="21"/>
                      <w:lang w:val="en-US" w:eastAsia="zh-CN"/>
                    </w:rPr>
                    <w:t>1602.964</w:t>
                  </w:r>
                  <w:r>
                    <w:rPr>
                      <w:szCs w:val="21"/>
                    </w:rPr>
                    <w:t>m</w:t>
                  </w:r>
                  <w:r>
                    <w:rPr>
                      <w:rFonts w:hint="eastAsia"/>
                      <w:szCs w:val="21"/>
                      <w:vertAlign w:val="superscript"/>
                    </w:rPr>
                    <w:t>2</w:t>
                  </w:r>
                </w:p>
              </w:tc>
              <w:tc>
                <w:tcPr>
                  <w:tcW w:w="684" w:type="pct"/>
                  <w:vAlign w:val="center"/>
                </w:tcPr>
                <w:p>
                  <w:pPr>
                    <w:jc w:val="center"/>
                    <w:rPr>
                      <w:szCs w:val="21"/>
                    </w:rPr>
                  </w:pPr>
                  <w:r>
                    <w:rPr>
                      <w:rFonts w:hint="eastAsia"/>
                      <w:szCs w:val="21"/>
                    </w:rPr>
                    <w:t>12</w:t>
                  </w:r>
                  <w:r>
                    <w:rPr>
                      <w:rFonts w:hint="eastAsia"/>
                      <w:szCs w:val="21"/>
                      <w:lang w:val="en-US" w:eastAsia="zh-CN"/>
                    </w:rPr>
                    <w:t>.</w:t>
                  </w:r>
                  <w:r>
                    <w:rPr>
                      <w:rFonts w:hint="eastAsia"/>
                      <w:szCs w:val="21"/>
                    </w:rPr>
                    <w:t>82</w:t>
                  </w:r>
                </w:p>
              </w:tc>
              <w:tc>
                <w:tcPr>
                  <w:tcW w:w="693" w:type="pct"/>
                  <w:vAlign w:val="center"/>
                </w:tcPr>
                <w:p>
                  <w:pPr>
                    <w:jc w:val="center"/>
                    <w:rPr>
                      <w:szCs w:val="21"/>
                    </w:rPr>
                  </w:pPr>
                  <w:r>
                    <w:rPr>
                      <w:rFonts w:hint="eastAsia"/>
                      <w:szCs w:val="21"/>
                    </w:rPr>
                    <w:t>4679.3</w:t>
                  </w:r>
                </w:p>
              </w:tc>
              <w:tc>
                <w:tcPr>
                  <w:tcW w:w="1180"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公厕</w:t>
                  </w:r>
                </w:p>
              </w:tc>
              <w:tc>
                <w:tcPr>
                  <w:tcW w:w="690" w:type="pct"/>
                  <w:vAlign w:val="center"/>
                </w:tcPr>
                <w:p>
                  <w:pPr>
                    <w:jc w:val="center"/>
                    <w:rPr>
                      <w:szCs w:val="21"/>
                    </w:rPr>
                  </w:pPr>
                  <w:r>
                    <w:rPr>
                      <w:rFonts w:hint="eastAsia"/>
                      <w:szCs w:val="21"/>
                    </w:rPr>
                    <w:t>10L/人·次</w:t>
                  </w:r>
                </w:p>
              </w:tc>
              <w:tc>
                <w:tcPr>
                  <w:tcW w:w="938" w:type="pct"/>
                  <w:vAlign w:val="center"/>
                </w:tcPr>
                <w:p>
                  <w:pPr>
                    <w:jc w:val="center"/>
                    <w:rPr>
                      <w:szCs w:val="21"/>
                    </w:rPr>
                  </w:pPr>
                  <w:r>
                    <w:rPr>
                      <w:rFonts w:hint="eastAsia"/>
                      <w:szCs w:val="21"/>
                      <w:lang w:val="en-US" w:eastAsia="zh-CN"/>
                    </w:rPr>
                    <w:t>100</w:t>
                  </w:r>
                  <w:r>
                    <w:rPr>
                      <w:rFonts w:hint="eastAsia"/>
                      <w:szCs w:val="21"/>
                    </w:rPr>
                    <w:t>人·次/d</w:t>
                  </w:r>
                </w:p>
              </w:tc>
              <w:tc>
                <w:tcPr>
                  <w:tcW w:w="684" w:type="pct"/>
                  <w:vAlign w:val="center"/>
                </w:tcPr>
                <w:p>
                  <w:pPr>
                    <w:jc w:val="center"/>
                    <w:rPr>
                      <w:rFonts w:hint="eastAsia" w:eastAsia="宋体"/>
                      <w:szCs w:val="21"/>
                      <w:lang w:val="en-US" w:eastAsia="zh-CN"/>
                    </w:rPr>
                  </w:pPr>
                  <w:r>
                    <w:rPr>
                      <w:rFonts w:hint="eastAsia"/>
                      <w:szCs w:val="21"/>
                      <w:lang w:val="en-US" w:eastAsia="zh-CN"/>
                    </w:rPr>
                    <w:t>1</w:t>
                  </w:r>
                </w:p>
              </w:tc>
              <w:tc>
                <w:tcPr>
                  <w:tcW w:w="693" w:type="pct"/>
                  <w:vAlign w:val="center"/>
                </w:tcPr>
                <w:p>
                  <w:pPr>
                    <w:jc w:val="center"/>
                    <w:rPr>
                      <w:rFonts w:hint="default" w:eastAsia="宋体"/>
                      <w:szCs w:val="21"/>
                      <w:lang w:val="en-US" w:eastAsia="zh-CN"/>
                    </w:rPr>
                  </w:pPr>
                  <w:r>
                    <w:rPr>
                      <w:rFonts w:hint="eastAsia"/>
                      <w:szCs w:val="21"/>
                      <w:lang w:val="en-US" w:eastAsia="zh-CN"/>
                    </w:rPr>
                    <w:t>365</w:t>
                  </w:r>
                </w:p>
              </w:tc>
              <w:tc>
                <w:tcPr>
                  <w:tcW w:w="1180"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地下停车库地面冲洗</w:t>
                  </w:r>
                </w:p>
              </w:tc>
              <w:tc>
                <w:tcPr>
                  <w:tcW w:w="690" w:type="pct"/>
                  <w:vAlign w:val="center"/>
                </w:tcPr>
                <w:p>
                  <w:pPr>
                    <w:jc w:val="center"/>
                    <w:rPr>
                      <w:szCs w:val="21"/>
                    </w:rPr>
                  </w:pPr>
                  <w:r>
                    <w:rPr>
                      <w:rFonts w:hint="eastAsia"/>
                      <w:szCs w:val="21"/>
                    </w:rPr>
                    <w:t>2</w:t>
                  </w:r>
                  <w:r>
                    <w:rPr>
                      <w:szCs w:val="21"/>
                    </w:rPr>
                    <w:t>L/m</w:t>
                  </w:r>
                  <w:r>
                    <w:rPr>
                      <w:rFonts w:hint="eastAsia"/>
                      <w:szCs w:val="21"/>
                      <w:vertAlign w:val="superscript"/>
                    </w:rPr>
                    <w:t>2</w:t>
                  </w:r>
                  <w:r>
                    <w:rPr>
                      <w:rFonts w:hint="eastAsia"/>
                      <w:szCs w:val="21"/>
                    </w:rPr>
                    <w:t>·次</w:t>
                  </w:r>
                </w:p>
              </w:tc>
              <w:tc>
                <w:tcPr>
                  <w:tcW w:w="938" w:type="pct"/>
                  <w:vAlign w:val="center"/>
                </w:tcPr>
                <w:p>
                  <w:pPr>
                    <w:jc w:val="center"/>
                    <w:rPr>
                      <w:szCs w:val="21"/>
                    </w:rPr>
                  </w:pPr>
                  <w:r>
                    <w:rPr>
                      <w:rFonts w:hint="eastAsia"/>
                      <w:szCs w:val="21"/>
                      <w:lang w:val="en-US" w:eastAsia="zh-CN"/>
                    </w:rPr>
                    <w:t>34877.17</w:t>
                  </w:r>
                  <w:r>
                    <w:rPr>
                      <w:szCs w:val="21"/>
                    </w:rPr>
                    <w:t>m</w:t>
                  </w:r>
                  <w:r>
                    <w:rPr>
                      <w:rFonts w:hint="eastAsia"/>
                      <w:szCs w:val="21"/>
                      <w:vertAlign w:val="superscript"/>
                    </w:rPr>
                    <w:t>2</w:t>
                  </w:r>
                </w:p>
              </w:tc>
              <w:tc>
                <w:tcPr>
                  <w:tcW w:w="684" w:type="pct"/>
                  <w:vAlign w:val="center"/>
                </w:tcPr>
                <w:p>
                  <w:pPr>
                    <w:jc w:val="center"/>
                    <w:rPr>
                      <w:rFonts w:hint="default" w:eastAsia="宋体"/>
                      <w:szCs w:val="21"/>
                      <w:lang w:val="en-US" w:eastAsia="zh-CN"/>
                    </w:rPr>
                  </w:pPr>
                  <w:r>
                    <w:rPr>
                      <w:rFonts w:hint="eastAsia"/>
                      <w:szCs w:val="21"/>
                      <w:lang w:val="en-US" w:eastAsia="zh-CN"/>
                    </w:rPr>
                    <w:t>69.754</w:t>
                  </w:r>
                </w:p>
              </w:tc>
              <w:tc>
                <w:tcPr>
                  <w:tcW w:w="693" w:type="pct"/>
                  <w:vAlign w:val="center"/>
                </w:tcPr>
                <w:p>
                  <w:pPr>
                    <w:jc w:val="center"/>
                    <w:rPr>
                      <w:szCs w:val="21"/>
                    </w:rPr>
                  </w:pPr>
                  <w:r>
                    <w:rPr>
                      <w:rFonts w:hint="eastAsia"/>
                      <w:szCs w:val="21"/>
                    </w:rPr>
                    <w:t>6277.86</w:t>
                  </w:r>
                </w:p>
              </w:tc>
              <w:tc>
                <w:tcPr>
                  <w:tcW w:w="1180" w:type="pct"/>
                  <w:vAlign w:val="center"/>
                </w:tcPr>
                <w:p>
                  <w:pPr>
                    <w:jc w:val="center"/>
                    <w:rPr>
                      <w:szCs w:val="21"/>
                    </w:rPr>
                  </w:pPr>
                  <w:r>
                    <w:rPr>
                      <w:rFonts w:hint="eastAsia"/>
                      <w:szCs w:val="21"/>
                    </w:rPr>
                    <w:t>按每年冲洗90次计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szCs w:val="21"/>
                    </w:rPr>
                    <w:t>绿化用水</w:t>
                  </w:r>
                </w:p>
              </w:tc>
              <w:tc>
                <w:tcPr>
                  <w:tcW w:w="690" w:type="pct"/>
                  <w:vAlign w:val="center"/>
                </w:tcPr>
                <w:p>
                  <w:pPr>
                    <w:jc w:val="center"/>
                    <w:rPr>
                      <w:szCs w:val="21"/>
                    </w:rPr>
                  </w:pPr>
                  <w:r>
                    <w:rPr>
                      <w:rFonts w:hint="eastAsia"/>
                      <w:szCs w:val="21"/>
                    </w:rPr>
                    <w:t>60</w:t>
                  </w:r>
                  <w:r>
                    <w:rPr>
                      <w:szCs w:val="21"/>
                    </w:rPr>
                    <w:t>L/m</w:t>
                  </w:r>
                  <w:r>
                    <w:rPr>
                      <w:szCs w:val="21"/>
                      <w:vertAlign w:val="superscript"/>
                    </w:rPr>
                    <w:t>2</w:t>
                  </w:r>
                  <w:r>
                    <w:rPr>
                      <w:szCs w:val="21"/>
                    </w:rPr>
                    <w:t>·月</w:t>
                  </w:r>
                </w:p>
              </w:tc>
              <w:tc>
                <w:tcPr>
                  <w:tcW w:w="938" w:type="pct"/>
                  <w:vAlign w:val="center"/>
                </w:tcPr>
                <w:p>
                  <w:pPr>
                    <w:jc w:val="center"/>
                    <w:rPr>
                      <w:szCs w:val="21"/>
                    </w:rPr>
                  </w:pPr>
                  <w:r>
                    <w:rPr>
                      <w:rFonts w:hint="eastAsia"/>
                      <w:color w:val="231F20"/>
                      <w:kern w:val="0"/>
                      <w:szCs w:val="21"/>
                      <w:lang w:val="en-US" w:eastAsia="zh-CN"/>
                    </w:rPr>
                    <w:t>10256</w:t>
                  </w:r>
                  <w:r>
                    <w:rPr>
                      <w:szCs w:val="21"/>
                    </w:rPr>
                    <w:t>m</w:t>
                  </w:r>
                  <w:r>
                    <w:rPr>
                      <w:rFonts w:hint="eastAsia"/>
                      <w:szCs w:val="21"/>
                      <w:vertAlign w:val="superscript"/>
                    </w:rPr>
                    <w:t>2</w:t>
                  </w:r>
                </w:p>
              </w:tc>
              <w:tc>
                <w:tcPr>
                  <w:tcW w:w="684" w:type="pct"/>
                  <w:vAlign w:val="center"/>
                </w:tcPr>
                <w:p>
                  <w:pPr>
                    <w:jc w:val="center"/>
                    <w:rPr>
                      <w:rFonts w:hint="default" w:eastAsia="宋体"/>
                      <w:szCs w:val="21"/>
                      <w:lang w:val="en-US" w:eastAsia="zh-CN"/>
                    </w:rPr>
                  </w:pPr>
                  <w:r>
                    <w:rPr>
                      <w:rFonts w:hint="eastAsia"/>
                      <w:szCs w:val="21"/>
                      <w:lang w:val="en-US" w:eastAsia="zh-CN"/>
                    </w:rPr>
                    <w:t>615.36</w:t>
                  </w:r>
                </w:p>
              </w:tc>
              <w:tc>
                <w:tcPr>
                  <w:tcW w:w="693" w:type="pct"/>
                  <w:vAlign w:val="center"/>
                </w:tcPr>
                <w:p>
                  <w:pPr>
                    <w:jc w:val="center"/>
                    <w:rPr>
                      <w:rFonts w:ascii="Times New Roman" w:hAnsi="Times New Roman" w:cs="Times New Roman"/>
                      <w:szCs w:val="21"/>
                    </w:rPr>
                  </w:pPr>
                  <w:r>
                    <w:rPr>
                      <w:rFonts w:hint="default" w:ascii="Times New Roman" w:hAnsi="Times New Roman" w:cs="Times New Roman"/>
                      <w:szCs w:val="21"/>
                    </w:rPr>
                    <w:t>7384</w:t>
                  </w:r>
                  <w:r>
                    <w:rPr>
                      <w:rFonts w:hint="default" w:ascii="Times New Roman" w:hAnsi="Times New Roman" w:cs="Times New Roman"/>
                      <w:szCs w:val="21"/>
                      <w:lang w:val="en-US" w:eastAsia="zh-CN"/>
                    </w:rPr>
                    <w:t>.</w:t>
                  </w:r>
                  <w:r>
                    <w:rPr>
                      <w:rFonts w:hint="default" w:ascii="Times New Roman" w:hAnsi="Times New Roman" w:cs="Times New Roman"/>
                      <w:szCs w:val="21"/>
                    </w:rPr>
                    <w:t>32</w:t>
                  </w:r>
                </w:p>
              </w:tc>
              <w:tc>
                <w:tcPr>
                  <w:tcW w:w="1180" w:type="pct"/>
                  <w:vAlign w:val="center"/>
                </w:tcPr>
                <w:p>
                  <w:pPr>
                    <w:jc w:val="center"/>
                    <w:rPr>
                      <w:szCs w:val="21"/>
                    </w:rPr>
                  </w:pPr>
                  <w:r>
                    <w:rPr>
                      <w:rFonts w:hint="eastAsia"/>
                      <w:szCs w:val="21"/>
                    </w:rPr>
                    <w:t>植物吸收、</w:t>
                  </w:r>
                  <w:r>
                    <w:rPr>
                      <w:szCs w:val="21"/>
                    </w:rPr>
                    <w:t>蒸发进入大气环境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pct"/>
                  <w:vAlign w:val="center"/>
                </w:tcPr>
                <w:p>
                  <w:pPr>
                    <w:jc w:val="center"/>
                    <w:rPr>
                      <w:szCs w:val="21"/>
                    </w:rPr>
                  </w:pPr>
                  <w:r>
                    <w:rPr>
                      <w:rFonts w:hint="eastAsia"/>
                      <w:szCs w:val="21"/>
                    </w:rPr>
                    <w:t>未预见用水量</w:t>
                  </w:r>
                </w:p>
              </w:tc>
              <w:tc>
                <w:tcPr>
                  <w:tcW w:w="690" w:type="pct"/>
                  <w:vAlign w:val="center"/>
                </w:tcPr>
                <w:p>
                  <w:pPr>
                    <w:jc w:val="center"/>
                    <w:rPr>
                      <w:szCs w:val="21"/>
                    </w:rPr>
                  </w:pPr>
                  <w:r>
                    <w:rPr>
                      <w:rFonts w:hint="eastAsia"/>
                      <w:szCs w:val="21"/>
                    </w:rPr>
                    <w:t>/</w:t>
                  </w:r>
                </w:p>
              </w:tc>
              <w:tc>
                <w:tcPr>
                  <w:tcW w:w="938" w:type="pct"/>
                  <w:vAlign w:val="center"/>
                </w:tcPr>
                <w:p>
                  <w:pPr>
                    <w:jc w:val="center"/>
                    <w:rPr>
                      <w:color w:val="FF0000"/>
                      <w:szCs w:val="21"/>
                    </w:rPr>
                  </w:pPr>
                  <w:r>
                    <w:rPr>
                      <w:rFonts w:hint="eastAsia"/>
                      <w:szCs w:val="21"/>
                    </w:rPr>
                    <w:t>10%</w:t>
                  </w:r>
                </w:p>
              </w:tc>
              <w:tc>
                <w:tcPr>
                  <w:tcW w:w="684" w:type="pct"/>
                  <w:vAlign w:val="center"/>
                </w:tcPr>
                <w:p>
                  <w:pPr>
                    <w:jc w:val="center"/>
                    <w:rPr>
                      <w:szCs w:val="21"/>
                    </w:rPr>
                  </w:pPr>
                  <w:r>
                    <w:rPr>
                      <w:rFonts w:hint="eastAsia"/>
                      <w:szCs w:val="21"/>
                    </w:rPr>
                    <w:t>/</w:t>
                  </w:r>
                </w:p>
              </w:tc>
              <w:tc>
                <w:tcPr>
                  <w:tcW w:w="69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kern w:val="0"/>
                      <w:szCs w:val="21"/>
                      <w:u w:val="none"/>
                      <w:lang w:bidi="ar"/>
                    </w:rPr>
                    <w:t>18490</w:t>
                  </w:r>
                  <w:r>
                    <w:rPr>
                      <w:rFonts w:hint="eastAsia" w:ascii="Times New Roman" w:hAnsi="Times New Roman" w:cs="Times New Roman"/>
                      <w:color w:val="000000"/>
                      <w:kern w:val="0"/>
                      <w:szCs w:val="21"/>
                      <w:u w:val="none"/>
                      <w:lang w:val="en-US" w:eastAsia="zh-CN" w:bidi="ar"/>
                    </w:rPr>
                    <w:t>.</w:t>
                  </w:r>
                  <w:r>
                    <w:rPr>
                      <w:rFonts w:hint="default" w:ascii="Times New Roman" w:hAnsi="Times New Roman" w:cs="Times New Roman"/>
                      <w:color w:val="000000"/>
                      <w:kern w:val="0"/>
                      <w:szCs w:val="21"/>
                      <w:u w:val="none"/>
                      <w:lang w:bidi="ar"/>
                    </w:rPr>
                    <w:t>28</w:t>
                  </w:r>
                </w:p>
              </w:tc>
              <w:tc>
                <w:tcPr>
                  <w:tcW w:w="1180" w:type="pct"/>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40" w:type="pct"/>
                  <w:gridSpan w:val="3"/>
                  <w:vAlign w:val="center"/>
                </w:tcPr>
                <w:p>
                  <w:pPr>
                    <w:jc w:val="center"/>
                    <w:rPr>
                      <w:szCs w:val="21"/>
                    </w:rPr>
                  </w:pPr>
                  <w:r>
                    <w:rPr>
                      <w:rFonts w:hint="eastAsia"/>
                      <w:b/>
                      <w:bCs/>
                      <w:szCs w:val="21"/>
                    </w:rPr>
                    <w:t>合计</w:t>
                  </w:r>
                </w:p>
              </w:tc>
              <w:tc>
                <w:tcPr>
                  <w:tcW w:w="684" w:type="pct"/>
                  <w:vAlign w:val="center"/>
                </w:tcPr>
                <w:p>
                  <w:pPr>
                    <w:jc w:val="center"/>
                    <w:rPr>
                      <w:szCs w:val="21"/>
                    </w:rPr>
                  </w:pPr>
                </w:p>
              </w:tc>
              <w:tc>
                <w:tcPr>
                  <w:tcW w:w="693" w:type="pct"/>
                  <w:vAlign w:val="center"/>
                </w:tcPr>
                <w:p>
                  <w:pPr>
                    <w:jc w:val="center"/>
                    <w:rPr>
                      <w:rFonts w:ascii="Times New Roman" w:hAnsi="Times New Roman" w:cs="Times New Roman"/>
                      <w:szCs w:val="21"/>
                    </w:rPr>
                  </w:pPr>
                  <w:r>
                    <w:rPr>
                      <w:rFonts w:hint="eastAsia" w:ascii="Times New Roman" w:hAnsi="Times New Roman" w:cs="Times New Roman"/>
                      <w:szCs w:val="21"/>
                    </w:rPr>
                    <w:t>203393.085</w:t>
                  </w:r>
                </w:p>
              </w:tc>
              <w:tc>
                <w:tcPr>
                  <w:tcW w:w="1180" w:type="pct"/>
                  <w:vAlign w:val="center"/>
                </w:tcPr>
                <w:p>
                  <w:pPr>
                    <w:jc w:val="center"/>
                    <w:rPr>
                      <w:szCs w:val="21"/>
                    </w:rPr>
                  </w:pPr>
                </w:p>
              </w:tc>
            </w:tr>
          </w:tbl>
          <w:p>
            <w:pPr>
              <w:ind w:firstLine="422"/>
              <w:jc w:val="center"/>
              <w:rPr>
                <w:b/>
                <w:bCs/>
                <w:szCs w:val="21"/>
              </w:rPr>
            </w:pPr>
            <w:r>
              <w:rPr>
                <w:b/>
                <w:bCs/>
                <w:szCs w:val="21"/>
              </w:rPr>
              <w:t>表</w:t>
            </w:r>
            <w:r>
              <w:rPr>
                <w:rFonts w:hint="eastAsia"/>
                <w:b/>
                <w:bCs/>
                <w:szCs w:val="21"/>
              </w:rPr>
              <w:t>4-</w:t>
            </w:r>
            <w:r>
              <w:rPr>
                <w:rFonts w:hint="eastAsia"/>
                <w:b/>
                <w:bCs/>
                <w:szCs w:val="21"/>
                <w:lang w:val="en-US" w:eastAsia="zh-CN"/>
              </w:rPr>
              <w:t>6  04#地块</w:t>
            </w:r>
            <w:r>
              <w:rPr>
                <w:rFonts w:hint="eastAsia"/>
                <w:b/>
                <w:bCs/>
                <w:szCs w:val="21"/>
              </w:rPr>
              <w:t>用水</w:t>
            </w:r>
            <w:r>
              <w:rPr>
                <w:b/>
                <w:bCs/>
                <w:szCs w:val="21"/>
              </w:rPr>
              <w:t>情况一览表</w:t>
            </w:r>
          </w:p>
          <w:tbl>
            <w:tblPr>
              <w:tblStyle w:val="18"/>
              <w:tblW w:w="0" w:type="auto"/>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5"/>
              <w:gridCol w:w="1209"/>
              <w:gridCol w:w="1318"/>
              <w:gridCol w:w="1285"/>
              <w:gridCol w:w="1214"/>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1599" w:type="dxa"/>
                  <w:vMerge w:val="restart"/>
                  <w:vAlign w:val="center"/>
                </w:tcPr>
                <w:p>
                  <w:pPr>
                    <w:jc w:val="center"/>
                    <w:rPr>
                      <w:b/>
                      <w:bCs/>
                      <w:szCs w:val="21"/>
                    </w:rPr>
                  </w:pPr>
                  <w:r>
                    <w:rPr>
                      <w:b/>
                      <w:bCs/>
                      <w:szCs w:val="21"/>
                    </w:rPr>
                    <w:t>用水项目</w:t>
                  </w:r>
                </w:p>
              </w:tc>
              <w:tc>
                <w:tcPr>
                  <w:tcW w:w="1211" w:type="dxa"/>
                  <w:vMerge w:val="restart"/>
                  <w:vAlign w:val="center"/>
                </w:tcPr>
                <w:p>
                  <w:pPr>
                    <w:jc w:val="center"/>
                    <w:rPr>
                      <w:b/>
                      <w:bCs/>
                      <w:szCs w:val="21"/>
                    </w:rPr>
                  </w:pPr>
                  <w:r>
                    <w:rPr>
                      <w:b/>
                      <w:bCs/>
                      <w:szCs w:val="21"/>
                    </w:rPr>
                    <w:t>用水</w:t>
                  </w:r>
                  <w:r>
                    <w:rPr>
                      <w:rFonts w:hint="eastAsia"/>
                      <w:b/>
                      <w:bCs/>
                      <w:szCs w:val="21"/>
                    </w:rPr>
                    <w:t>定额</w:t>
                  </w:r>
                </w:p>
              </w:tc>
              <w:tc>
                <w:tcPr>
                  <w:tcW w:w="1322" w:type="dxa"/>
                  <w:vMerge w:val="restart"/>
                  <w:vAlign w:val="center"/>
                </w:tcPr>
                <w:p>
                  <w:pPr>
                    <w:jc w:val="center"/>
                    <w:rPr>
                      <w:b/>
                      <w:bCs/>
                      <w:szCs w:val="21"/>
                    </w:rPr>
                  </w:pPr>
                  <w:r>
                    <w:rPr>
                      <w:rFonts w:hint="eastAsia"/>
                      <w:b/>
                      <w:bCs/>
                      <w:szCs w:val="21"/>
                    </w:rPr>
                    <w:t>规模</w:t>
                  </w:r>
                </w:p>
              </w:tc>
              <w:tc>
                <w:tcPr>
                  <w:tcW w:w="2508" w:type="dxa"/>
                  <w:gridSpan w:val="2"/>
                  <w:vAlign w:val="center"/>
                </w:tcPr>
                <w:p>
                  <w:pPr>
                    <w:jc w:val="center"/>
                    <w:rPr>
                      <w:b/>
                      <w:bCs/>
                      <w:szCs w:val="21"/>
                    </w:rPr>
                  </w:pPr>
                  <w:r>
                    <w:rPr>
                      <w:b/>
                      <w:bCs/>
                      <w:szCs w:val="21"/>
                    </w:rPr>
                    <w:t>用水量</w:t>
                  </w:r>
                </w:p>
              </w:tc>
              <w:tc>
                <w:tcPr>
                  <w:tcW w:w="2115" w:type="dxa"/>
                  <w:vMerge w:val="restart"/>
                  <w:vAlign w:val="center"/>
                </w:tcPr>
                <w:p>
                  <w:pPr>
                    <w:jc w:val="center"/>
                    <w:rPr>
                      <w:b/>
                      <w:bCs/>
                      <w:szCs w:val="21"/>
                    </w:rPr>
                  </w:pPr>
                  <w:r>
                    <w:rPr>
                      <w:rFonts w:hint="eastAsia"/>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1599" w:type="dxa"/>
                  <w:vMerge w:val="continue"/>
                  <w:vAlign w:val="center"/>
                </w:tcPr>
                <w:p>
                  <w:pPr>
                    <w:jc w:val="center"/>
                  </w:pPr>
                </w:p>
              </w:tc>
              <w:tc>
                <w:tcPr>
                  <w:tcW w:w="1211" w:type="dxa"/>
                  <w:vMerge w:val="continue"/>
                  <w:vAlign w:val="center"/>
                </w:tcPr>
                <w:p>
                  <w:pPr>
                    <w:jc w:val="center"/>
                  </w:pPr>
                </w:p>
              </w:tc>
              <w:tc>
                <w:tcPr>
                  <w:tcW w:w="1322" w:type="dxa"/>
                  <w:vMerge w:val="continue"/>
                  <w:vAlign w:val="center"/>
                </w:tcPr>
                <w:p>
                  <w:pPr>
                    <w:jc w:val="center"/>
                  </w:pPr>
                </w:p>
              </w:tc>
              <w:tc>
                <w:tcPr>
                  <w:tcW w:w="1294" w:type="dxa"/>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d</w:t>
                  </w:r>
                </w:p>
              </w:tc>
              <w:tc>
                <w:tcPr>
                  <w:tcW w:w="1214" w:type="dxa"/>
                  <w:vAlign w:val="center"/>
                </w:tcPr>
                <w:p>
                  <w:pPr>
                    <w:jc w:val="center"/>
                    <w:rPr>
                      <w:b/>
                      <w:bCs/>
                      <w:szCs w:val="21"/>
                    </w:rPr>
                  </w:pPr>
                  <w:r>
                    <w:rPr>
                      <w:b/>
                      <w:bCs/>
                      <w:szCs w:val="21"/>
                    </w:rPr>
                    <w:t>m</w:t>
                  </w:r>
                  <w:r>
                    <w:rPr>
                      <w:b/>
                      <w:bCs/>
                      <w:szCs w:val="21"/>
                      <w:vertAlign w:val="superscript"/>
                    </w:rPr>
                    <w:t>3</w:t>
                  </w:r>
                  <w:r>
                    <w:rPr>
                      <w:b/>
                      <w:bCs/>
                      <w:szCs w:val="21"/>
                    </w:rPr>
                    <w:t>/</w:t>
                  </w:r>
                  <w:r>
                    <w:rPr>
                      <w:rFonts w:hint="eastAsia"/>
                      <w:b/>
                      <w:bCs/>
                      <w:szCs w:val="21"/>
                    </w:rPr>
                    <w:t>a</w:t>
                  </w:r>
                </w:p>
              </w:tc>
              <w:tc>
                <w:tcPr>
                  <w:tcW w:w="2115" w:type="dxa"/>
                  <w:vMerge w:val="continue"/>
                  <w:vAlign w:val="center"/>
                </w:tcPr>
                <w:p>
                  <w:pPr>
                    <w:jc w:val="center"/>
                    <w:rPr>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rFonts w:hint="default" w:eastAsia="宋体"/>
                      <w:szCs w:val="21"/>
                      <w:lang w:val="en-US" w:eastAsia="zh-CN"/>
                    </w:rPr>
                  </w:pPr>
                  <w:r>
                    <w:rPr>
                      <w:rFonts w:hint="eastAsia"/>
                      <w:szCs w:val="21"/>
                      <w:lang w:val="en-US" w:eastAsia="zh-CN"/>
                    </w:rPr>
                    <w:t>SOHO公寓</w:t>
                  </w:r>
                </w:p>
              </w:tc>
              <w:tc>
                <w:tcPr>
                  <w:tcW w:w="1211" w:type="dxa"/>
                  <w:vAlign w:val="center"/>
                </w:tcPr>
                <w:p>
                  <w:pPr>
                    <w:jc w:val="center"/>
                    <w:rPr>
                      <w:rFonts w:hint="eastAsia"/>
                      <w:szCs w:val="21"/>
                    </w:rPr>
                  </w:pPr>
                  <w:r>
                    <w:rPr>
                      <w:rFonts w:hint="eastAsia"/>
                      <w:szCs w:val="21"/>
                    </w:rPr>
                    <w:t>8</w:t>
                  </w:r>
                  <w:r>
                    <w:rPr>
                      <w:szCs w:val="21"/>
                    </w:rPr>
                    <w:t>L/m</w:t>
                  </w:r>
                  <w:r>
                    <w:rPr>
                      <w:rFonts w:hint="eastAsia"/>
                      <w:szCs w:val="21"/>
                      <w:vertAlign w:val="superscript"/>
                    </w:rPr>
                    <w:t>2</w:t>
                  </w:r>
                  <w:r>
                    <w:rPr>
                      <w:rFonts w:hint="eastAsia"/>
                      <w:szCs w:val="21"/>
                    </w:rPr>
                    <w:t>·d</w:t>
                  </w:r>
                </w:p>
              </w:tc>
              <w:tc>
                <w:tcPr>
                  <w:tcW w:w="1322" w:type="dxa"/>
                  <w:vAlign w:val="center"/>
                </w:tcPr>
                <w:p>
                  <w:pPr>
                    <w:jc w:val="center"/>
                    <w:rPr>
                      <w:rFonts w:hint="default"/>
                      <w:szCs w:val="21"/>
                      <w:lang w:val="en-US" w:eastAsia="zh-CN"/>
                    </w:rPr>
                  </w:pPr>
                  <w:r>
                    <w:rPr>
                      <w:rFonts w:hint="eastAsia"/>
                      <w:szCs w:val="21"/>
                      <w:lang w:val="en-US" w:eastAsia="zh-CN"/>
                    </w:rPr>
                    <w:t>39556.317</w:t>
                  </w:r>
                </w:p>
              </w:tc>
              <w:tc>
                <w:tcPr>
                  <w:tcW w:w="1294" w:type="dxa"/>
                  <w:vAlign w:val="center"/>
                </w:tcPr>
                <w:p>
                  <w:pPr>
                    <w:jc w:val="center"/>
                    <w:rPr>
                      <w:rFonts w:hint="default" w:eastAsia="宋体"/>
                      <w:szCs w:val="21"/>
                      <w:lang w:val="en-US" w:eastAsia="zh-CN"/>
                    </w:rPr>
                  </w:pPr>
                  <w:r>
                    <w:rPr>
                      <w:rFonts w:hint="eastAsia"/>
                      <w:szCs w:val="21"/>
                      <w:lang w:val="en-US" w:eastAsia="zh-CN"/>
                    </w:rPr>
                    <w:t>316.45</w:t>
                  </w:r>
                </w:p>
              </w:tc>
              <w:tc>
                <w:tcPr>
                  <w:tcW w:w="1214" w:type="dxa"/>
                  <w:vAlign w:val="center"/>
                </w:tcPr>
                <w:p>
                  <w:pPr>
                    <w:jc w:val="center"/>
                    <w:rPr>
                      <w:szCs w:val="21"/>
                    </w:rPr>
                  </w:pPr>
                  <w:r>
                    <w:rPr>
                      <w:rFonts w:hint="eastAsia"/>
                      <w:szCs w:val="21"/>
                    </w:rPr>
                    <w:t>115504.25</w:t>
                  </w:r>
                </w:p>
              </w:tc>
              <w:tc>
                <w:tcPr>
                  <w:tcW w:w="2115" w:type="dxa"/>
                  <w:vAlign w:val="center"/>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rFonts w:hint="eastAsia"/>
                      <w:szCs w:val="21"/>
                    </w:rPr>
                    <w:t>物管用房</w:t>
                  </w:r>
                </w:p>
              </w:tc>
              <w:tc>
                <w:tcPr>
                  <w:tcW w:w="1211" w:type="dxa"/>
                  <w:vAlign w:val="center"/>
                </w:tcPr>
                <w:p>
                  <w:pPr>
                    <w:jc w:val="center"/>
                    <w:rPr>
                      <w:szCs w:val="21"/>
                    </w:rPr>
                  </w:pPr>
                  <w:r>
                    <w:rPr>
                      <w:rFonts w:hint="eastAsia"/>
                      <w:szCs w:val="21"/>
                    </w:rPr>
                    <w:t>25</w:t>
                  </w:r>
                  <w:r>
                    <w:rPr>
                      <w:szCs w:val="21"/>
                    </w:rPr>
                    <w:t>m</w:t>
                  </w:r>
                  <w:r>
                    <w:rPr>
                      <w:szCs w:val="21"/>
                      <w:vertAlign w:val="superscript"/>
                    </w:rPr>
                    <w:t>3</w:t>
                  </w:r>
                  <w:r>
                    <w:rPr>
                      <w:szCs w:val="21"/>
                    </w:rPr>
                    <w:t>/</w:t>
                  </w:r>
                  <w:r>
                    <w:rPr>
                      <w:rFonts w:hint="eastAsia"/>
                      <w:szCs w:val="21"/>
                    </w:rPr>
                    <w:t>人·</w:t>
                  </w:r>
                  <w:r>
                    <w:rPr>
                      <w:szCs w:val="21"/>
                    </w:rPr>
                    <w:t>a</w:t>
                  </w:r>
                </w:p>
              </w:tc>
              <w:tc>
                <w:tcPr>
                  <w:tcW w:w="1322" w:type="dxa"/>
                  <w:vAlign w:val="center"/>
                </w:tcPr>
                <w:p>
                  <w:pPr>
                    <w:jc w:val="center"/>
                    <w:rPr>
                      <w:szCs w:val="21"/>
                    </w:rPr>
                  </w:pPr>
                  <w:r>
                    <w:rPr>
                      <w:rFonts w:hint="eastAsia"/>
                      <w:szCs w:val="21"/>
                      <w:lang w:val="en-US" w:eastAsia="zh-CN"/>
                    </w:rPr>
                    <w:t>15</w:t>
                  </w:r>
                  <w:r>
                    <w:rPr>
                      <w:rFonts w:hint="eastAsia"/>
                      <w:szCs w:val="21"/>
                    </w:rPr>
                    <w:t>人</w:t>
                  </w:r>
                </w:p>
              </w:tc>
              <w:tc>
                <w:tcPr>
                  <w:tcW w:w="1293" w:type="dxa"/>
                  <w:vAlign w:val="center"/>
                </w:tcPr>
                <w:p>
                  <w:pPr>
                    <w:jc w:val="center"/>
                    <w:rPr>
                      <w:szCs w:val="21"/>
                    </w:rPr>
                  </w:pPr>
                  <w:r>
                    <w:rPr>
                      <w:rFonts w:hint="eastAsia"/>
                      <w:szCs w:val="21"/>
                      <w:lang w:val="en-US" w:eastAsia="zh-CN"/>
                    </w:rPr>
                    <w:t>1.14</w:t>
                  </w:r>
                </w:p>
              </w:tc>
              <w:tc>
                <w:tcPr>
                  <w:tcW w:w="1101" w:type="dxa"/>
                  <w:vAlign w:val="center"/>
                </w:tcPr>
                <w:p>
                  <w:pPr>
                    <w:jc w:val="center"/>
                    <w:rPr>
                      <w:szCs w:val="21"/>
                    </w:rPr>
                  </w:pPr>
                  <w:r>
                    <w:rPr>
                      <w:rFonts w:hint="eastAsia"/>
                      <w:szCs w:val="21"/>
                      <w:lang w:val="en-US" w:eastAsia="zh-CN"/>
                    </w:rPr>
                    <w:t>375</w:t>
                  </w:r>
                </w:p>
              </w:tc>
              <w:tc>
                <w:tcPr>
                  <w:tcW w:w="2115" w:type="dxa"/>
                  <w:vAlign w:val="center"/>
                </w:tcPr>
                <w:p>
                  <w:pPr>
                    <w:jc w:val="center"/>
                    <w:rPr>
                      <w:szCs w:val="21"/>
                    </w:rPr>
                  </w:pPr>
                  <w:r>
                    <w:rPr>
                      <w:kern w:val="0"/>
                      <w:szCs w:val="21"/>
                    </w:rPr>
                    <w:t>按330d/a计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rFonts w:hint="eastAsia"/>
                      <w:szCs w:val="21"/>
                    </w:rPr>
                    <w:t>商业</w:t>
                  </w:r>
                </w:p>
              </w:tc>
              <w:tc>
                <w:tcPr>
                  <w:tcW w:w="1211" w:type="dxa"/>
                  <w:vAlign w:val="center"/>
                </w:tcPr>
                <w:p>
                  <w:pPr>
                    <w:jc w:val="center"/>
                    <w:rPr>
                      <w:szCs w:val="21"/>
                    </w:rPr>
                  </w:pPr>
                  <w:r>
                    <w:rPr>
                      <w:rFonts w:hint="eastAsia"/>
                      <w:szCs w:val="21"/>
                    </w:rPr>
                    <w:t>8</w:t>
                  </w:r>
                  <w:r>
                    <w:rPr>
                      <w:szCs w:val="21"/>
                    </w:rPr>
                    <w:t>L/m</w:t>
                  </w:r>
                  <w:r>
                    <w:rPr>
                      <w:rFonts w:hint="eastAsia"/>
                      <w:szCs w:val="21"/>
                      <w:vertAlign w:val="superscript"/>
                    </w:rPr>
                    <w:t>2</w:t>
                  </w:r>
                  <w:r>
                    <w:rPr>
                      <w:rFonts w:hint="eastAsia"/>
                      <w:szCs w:val="21"/>
                    </w:rPr>
                    <w:t>·d</w:t>
                  </w:r>
                </w:p>
              </w:tc>
              <w:tc>
                <w:tcPr>
                  <w:tcW w:w="1322" w:type="dxa"/>
                  <w:vAlign w:val="center"/>
                </w:tcPr>
                <w:p>
                  <w:pPr>
                    <w:jc w:val="center"/>
                    <w:rPr>
                      <w:szCs w:val="21"/>
                    </w:rPr>
                  </w:pPr>
                  <w:r>
                    <w:rPr>
                      <w:rFonts w:hint="eastAsia"/>
                      <w:szCs w:val="21"/>
                      <w:lang w:val="en-US" w:eastAsia="zh-CN"/>
                    </w:rPr>
                    <w:t>8548.917</w:t>
                  </w:r>
                  <w:r>
                    <w:rPr>
                      <w:szCs w:val="21"/>
                    </w:rPr>
                    <w:t>m</w:t>
                  </w:r>
                  <w:r>
                    <w:rPr>
                      <w:rFonts w:hint="eastAsia"/>
                      <w:szCs w:val="21"/>
                      <w:vertAlign w:val="superscript"/>
                    </w:rPr>
                    <w:t>2</w:t>
                  </w:r>
                </w:p>
              </w:tc>
              <w:tc>
                <w:tcPr>
                  <w:tcW w:w="1294" w:type="dxa"/>
                  <w:vAlign w:val="center"/>
                </w:tcPr>
                <w:p>
                  <w:pPr>
                    <w:jc w:val="center"/>
                    <w:rPr>
                      <w:rFonts w:hint="default" w:eastAsia="宋体"/>
                      <w:szCs w:val="21"/>
                      <w:lang w:val="en-US" w:eastAsia="zh-CN"/>
                    </w:rPr>
                  </w:pPr>
                  <w:r>
                    <w:rPr>
                      <w:rFonts w:hint="eastAsia"/>
                      <w:szCs w:val="21"/>
                      <w:lang w:val="en-US" w:eastAsia="zh-CN"/>
                    </w:rPr>
                    <w:t>68.39</w:t>
                  </w:r>
                </w:p>
              </w:tc>
              <w:tc>
                <w:tcPr>
                  <w:tcW w:w="1214" w:type="dxa"/>
                  <w:vAlign w:val="center"/>
                </w:tcPr>
                <w:p>
                  <w:pPr>
                    <w:jc w:val="center"/>
                    <w:rPr>
                      <w:szCs w:val="21"/>
                    </w:rPr>
                  </w:pPr>
                  <w:r>
                    <w:rPr>
                      <w:rFonts w:hint="eastAsia"/>
                      <w:szCs w:val="21"/>
                    </w:rPr>
                    <w:t>24962.35</w:t>
                  </w:r>
                </w:p>
              </w:tc>
              <w:tc>
                <w:tcPr>
                  <w:tcW w:w="21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rFonts w:hint="eastAsia"/>
                      <w:szCs w:val="21"/>
                    </w:rPr>
                    <w:t>公厕</w:t>
                  </w:r>
                </w:p>
              </w:tc>
              <w:tc>
                <w:tcPr>
                  <w:tcW w:w="1211" w:type="dxa"/>
                  <w:vAlign w:val="center"/>
                </w:tcPr>
                <w:p>
                  <w:pPr>
                    <w:jc w:val="center"/>
                    <w:rPr>
                      <w:szCs w:val="21"/>
                    </w:rPr>
                  </w:pPr>
                  <w:r>
                    <w:rPr>
                      <w:rFonts w:hint="eastAsia"/>
                      <w:szCs w:val="21"/>
                    </w:rPr>
                    <w:t>10L/人·次</w:t>
                  </w:r>
                </w:p>
              </w:tc>
              <w:tc>
                <w:tcPr>
                  <w:tcW w:w="1322" w:type="dxa"/>
                  <w:vAlign w:val="center"/>
                </w:tcPr>
                <w:p>
                  <w:pPr>
                    <w:jc w:val="center"/>
                    <w:rPr>
                      <w:szCs w:val="21"/>
                    </w:rPr>
                  </w:pPr>
                  <w:r>
                    <w:rPr>
                      <w:rFonts w:hint="eastAsia"/>
                      <w:szCs w:val="21"/>
                      <w:lang w:val="en-US" w:eastAsia="zh-CN"/>
                    </w:rPr>
                    <w:t>100</w:t>
                  </w:r>
                  <w:r>
                    <w:rPr>
                      <w:rFonts w:hint="eastAsia"/>
                      <w:szCs w:val="21"/>
                    </w:rPr>
                    <w:t>人·次/d</w:t>
                  </w:r>
                </w:p>
              </w:tc>
              <w:tc>
                <w:tcPr>
                  <w:tcW w:w="1294" w:type="dxa"/>
                  <w:vAlign w:val="center"/>
                </w:tcPr>
                <w:p>
                  <w:pPr>
                    <w:jc w:val="center"/>
                    <w:rPr>
                      <w:rFonts w:hint="eastAsia" w:eastAsia="宋体"/>
                      <w:szCs w:val="21"/>
                      <w:lang w:val="en-US" w:eastAsia="zh-CN"/>
                    </w:rPr>
                  </w:pPr>
                  <w:r>
                    <w:rPr>
                      <w:rFonts w:hint="eastAsia"/>
                      <w:szCs w:val="21"/>
                      <w:lang w:val="en-US" w:eastAsia="zh-CN"/>
                    </w:rPr>
                    <w:t>1</w:t>
                  </w:r>
                </w:p>
              </w:tc>
              <w:tc>
                <w:tcPr>
                  <w:tcW w:w="1214" w:type="dxa"/>
                  <w:vAlign w:val="center"/>
                </w:tcPr>
                <w:p>
                  <w:pPr>
                    <w:jc w:val="center"/>
                    <w:rPr>
                      <w:rFonts w:hint="default" w:eastAsia="宋体"/>
                      <w:szCs w:val="21"/>
                      <w:lang w:val="en-US" w:eastAsia="zh-CN"/>
                    </w:rPr>
                  </w:pPr>
                  <w:r>
                    <w:rPr>
                      <w:rFonts w:hint="eastAsia"/>
                      <w:szCs w:val="21"/>
                      <w:lang w:val="en-US" w:eastAsia="zh-CN"/>
                    </w:rPr>
                    <w:t>365</w:t>
                  </w:r>
                </w:p>
              </w:tc>
              <w:tc>
                <w:tcPr>
                  <w:tcW w:w="21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rFonts w:hint="eastAsia" w:eastAsia="宋体"/>
                      <w:szCs w:val="21"/>
                      <w:lang w:eastAsia="zh-CN"/>
                    </w:rPr>
                  </w:pPr>
                  <w:r>
                    <w:rPr>
                      <w:rFonts w:hint="eastAsia"/>
                      <w:szCs w:val="21"/>
                      <w:lang w:eastAsia="zh-CN"/>
                    </w:rPr>
                    <w:t>垃圾站</w:t>
                  </w:r>
                </w:p>
              </w:tc>
              <w:tc>
                <w:tcPr>
                  <w:tcW w:w="1211" w:type="dxa"/>
                  <w:vAlign w:val="center"/>
                </w:tcPr>
                <w:p>
                  <w:pPr>
                    <w:jc w:val="center"/>
                    <w:rPr>
                      <w:rFonts w:hint="eastAsia"/>
                      <w:szCs w:val="21"/>
                    </w:rPr>
                  </w:pPr>
                  <w:r>
                    <w:rPr>
                      <w:rFonts w:hint="eastAsia"/>
                      <w:lang w:val="en-US" w:eastAsia="zh-CN"/>
                    </w:rPr>
                    <w:t>1.5L/</w:t>
                  </w:r>
                  <w:r>
                    <w:t>m</w:t>
                  </w:r>
                  <w:r>
                    <w:rPr>
                      <w:vertAlign w:val="superscript"/>
                    </w:rPr>
                    <w:t>2</w:t>
                  </w:r>
                  <w:r>
                    <w:t>·</w:t>
                  </w:r>
                  <w:r>
                    <w:rPr>
                      <w:rFonts w:hint="eastAsia"/>
                      <w:lang w:val="en-US" w:eastAsia="zh-CN"/>
                    </w:rPr>
                    <w:t>d</w:t>
                  </w:r>
                </w:p>
              </w:tc>
              <w:tc>
                <w:tcPr>
                  <w:tcW w:w="1322" w:type="dxa"/>
                  <w:vAlign w:val="center"/>
                </w:tcPr>
                <w:p>
                  <w:pPr>
                    <w:jc w:val="center"/>
                    <w:rPr>
                      <w:rFonts w:hint="default"/>
                      <w:szCs w:val="21"/>
                      <w:lang w:val="en-US" w:eastAsia="zh-CN"/>
                    </w:rPr>
                  </w:pPr>
                  <w:r>
                    <w:rPr>
                      <w:rFonts w:hint="eastAsia"/>
                      <w:szCs w:val="21"/>
                      <w:lang w:val="en-US" w:eastAsia="zh-CN"/>
                    </w:rPr>
                    <w:t>40.2</w:t>
                  </w:r>
                  <w:r>
                    <w:rPr>
                      <w:szCs w:val="21"/>
                    </w:rPr>
                    <w:t>m</w:t>
                  </w:r>
                  <w:r>
                    <w:rPr>
                      <w:rFonts w:hint="eastAsia"/>
                      <w:szCs w:val="21"/>
                      <w:vertAlign w:val="superscript"/>
                    </w:rPr>
                    <w:t>2</w:t>
                  </w:r>
                </w:p>
              </w:tc>
              <w:tc>
                <w:tcPr>
                  <w:tcW w:w="1294" w:type="dxa"/>
                  <w:vAlign w:val="center"/>
                </w:tcPr>
                <w:p>
                  <w:pPr>
                    <w:jc w:val="center"/>
                    <w:rPr>
                      <w:rFonts w:hint="default" w:eastAsia="宋体"/>
                      <w:szCs w:val="21"/>
                      <w:lang w:val="en-US" w:eastAsia="zh-CN"/>
                    </w:rPr>
                  </w:pPr>
                  <w:r>
                    <w:rPr>
                      <w:rFonts w:hint="eastAsia"/>
                      <w:szCs w:val="21"/>
                      <w:lang w:val="en-US" w:eastAsia="zh-CN"/>
                    </w:rPr>
                    <w:t>0.06</w:t>
                  </w:r>
                </w:p>
              </w:tc>
              <w:tc>
                <w:tcPr>
                  <w:tcW w:w="1214" w:type="dxa"/>
                  <w:vAlign w:val="center"/>
                </w:tcPr>
                <w:p>
                  <w:pPr>
                    <w:jc w:val="center"/>
                    <w:rPr>
                      <w:rFonts w:hint="default" w:eastAsia="宋体"/>
                      <w:szCs w:val="21"/>
                      <w:lang w:val="en-US" w:eastAsia="zh-CN"/>
                    </w:rPr>
                  </w:pPr>
                  <w:r>
                    <w:rPr>
                      <w:rFonts w:hint="eastAsia"/>
                      <w:szCs w:val="21"/>
                      <w:lang w:val="en-US" w:eastAsia="zh-CN"/>
                    </w:rPr>
                    <w:t>18</w:t>
                  </w:r>
                </w:p>
              </w:tc>
              <w:tc>
                <w:tcPr>
                  <w:tcW w:w="21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rFonts w:hint="eastAsia"/>
                      <w:szCs w:val="21"/>
                    </w:rPr>
                    <w:t>地下停车库地面冲洗</w:t>
                  </w:r>
                </w:p>
              </w:tc>
              <w:tc>
                <w:tcPr>
                  <w:tcW w:w="1211" w:type="dxa"/>
                  <w:vAlign w:val="center"/>
                </w:tcPr>
                <w:p>
                  <w:pPr>
                    <w:jc w:val="center"/>
                    <w:rPr>
                      <w:szCs w:val="21"/>
                    </w:rPr>
                  </w:pPr>
                  <w:r>
                    <w:rPr>
                      <w:rFonts w:hint="eastAsia"/>
                      <w:szCs w:val="21"/>
                    </w:rPr>
                    <w:t>2</w:t>
                  </w:r>
                  <w:r>
                    <w:rPr>
                      <w:szCs w:val="21"/>
                    </w:rPr>
                    <w:t>L/m</w:t>
                  </w:r>
                  <w:r>
                    <w:rPr>
                      <w:rFonts w:hint="eastAsia"/>
                      <w:szCs w:val="21"/>
                      <w:vertAlign w:val="superscript"/>
                    </w:rPr>
                    <w:t>2</w:t>
                  </w:r>
                  <w:r>
                    <w:rPr>
                      <w:rFonts w:hint="eastAsia"/>
                      <w:szCs w:val="21"/>
                    </w:rPr>
                    <w:t>·次</w:t>
                  </w:r>
                </w:p>
              </w:tc>
              <w:tc>
                <w:tcPr>
                  <w:tcW w:w="1322" w:type="dxa"/>
                  <w:vAlign w:val="center"/>
                </w:tcPr>
                <w:p>
                  <w:pPr>
                    <w:jc w:val="center"/>
                    <w:rPr>
                      <w:rFonts w:hint="default" w:eastAsia="宋体"/>
                      <w:szCs w:val="21"/>
                      <w:lang w:val="en-US" w:eastAsia="zh-CN"/>
                    </w:rPr>
                  </w:pPr>
                  <w:r>
                    <w:rPr>
                      <w:rFonts w:hint="eastAsia"/>
                      <w:szCs w:val="21"/>
                      <w:lang w:val="en-US" w:eastAsia="zh-CN"/>
                    </w:rPr>
                    <w:t>18940.476</w:t>
                  </w:r>
                </w:p>
                <w:p>
                  <w:pPr>
                    <w:jc w:val="center"/>
                    <w:rPr>
                      <w:szCs w:val="21"/>
                    </w:rPr>
                  </w:pPr>
                  <w:r>
                    <w:rPr>
                      <w:szCs w:val="21"/>
                    </w:rPr>
                    <w:t>m</w:t>
                  </w:r>
                  <w:r>
                    <w:rPr>
                      <w:rFonts w:hint="eastAsia"/>
                      <w:szCs w:val="21"/>
                      <w:vertAlign w:val="superscript"/>
                    </w:rPr>
                    <w:t>2</w:t>
                  </w:r>
                </w:p>
              </w:tc>
              <w:tc>
                <w:tcPr>
                  <w:tcW w:w="1294" w:type="dxa"/>
                  <w:vAlign w:val="center"/>
                </w:tcPr>
                <w:p>
                  <w:pPr>
                    <w:jc w:val="center"/>
                    <w:rPr>
                      <w:szCs w:val="21"/>
                    </w:rPr>
                  </w:pPr>
                  <w:r>
                    <w:rPr>
                      <w:rFonts w:hint="eastAsia"/>
                      <w:szCs w:val="21"/>
                      <w:lang w:val="en-US" w:eastAsia="zh-CN"/>
                    </w:rPr>
                    <w:t>37.88</w:t>
                  </w:r>
                  <w:r>
                    <w:rPr>
                      <w:szCs w:val="21"/>
                    </w:rPr>
                    <w:t>m</w:t>
                  </w:r>
                  <w:r>
                    <w:rPr>
                      <w:szCs w:val="21"/>
                      <w:vertAlign w:val="superscript"/>
                    </w:rPr>
                    <w:t>3</w:t>
                  </w:r>
                  <w:r>
                    <w:rPr>
                      <w:szCs w:val="21"/>
                    </w:rPr>
                    <w:t>/</w:t>
                  </w:r>
                  <w:r>
                    <w:rPr>
                      <w:rFonts w:hint="eastAsia"/>
                      <w:szCs w:val="21"/>
                    </w:rPr>
                    <w:t>次</w:t>
                  </w:r>
                </w:p>
              </w:tc>
              <w:tc>
                <w:tcPr>
                  <w:tcW w:w="1214" w:type="dxa"/>
                  <w:vAlign w:val="center"/>
                </w:tcPr>
                <w:p>
                  <w:pPr>
                    <w:jc w:val="center"/>
                    <w:rPr>
                      <w:szCs w:val="21"/>
                    </w:rPr>
                  </w:pPr>
                  <w:r>
                    <w:rPr>
                      <w:rFonts w:hint="eastAsia"/>
                      <w:szCs w:val="21"/>
                    </w:rPr>
                    <w:t>3409.2</w:t>
                  </w:r>
                </w:p>
              </w:tc>
              <w:tc>
                <w:tcPr>
                  <w:tcW w:w="2115" w:type="dxa"/>
                  <w:vAlign w:val="center"/>
                </w:tcPr>
                <w:p>
                  <w:pPr>
                    <w:jc w:val="center"/>
                    <w:rPr>
                      <w:szCs w:val="21"/>
                    </w:rPr>
                  </w:pPr>
                  <w:r>
                    <w:rPr>
                      <w:rFonts w:hint="eastAsia"/>
                      <w:szCs w:val="21"/>
                    </w:rPr>
                    <w:t>按每年冲洗90次计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szCs w:val="21"/>
                    </w:rPr>
                    <w:t>绿化用水</w:t>
                  </w:r>
                </w:p>
              </w:tc>
              <w:tc>
                <w:tcPr>
                  <w:tcW w:w="1211" w:type="dxa"/>
                  <w:vAlign w:val="center"/>
                </w:tcPr>
                <w:p>
                  <w:pPr>
                    <w:jc w:val="center"/>
                    <w:rPr>
                      <w:szCs w:val="21"/>
                    </w:rPr>
                  </w:pPr>
                  <w:r>
                    <w:rPr>
                      <w:rFonts w:hint="eastAsia"/>
                      <w:szCs w:val="21"/>
                    </w:rPr>
                    <w:t>60</w:t>
                  </w:r>
                  <w:r>
                    <w:rPr>
                      <w:szCs w:val="21"/>
                    </w:rPr>
                    <w:t>L/m</w:t>
                  </w:r>
                  <w:r>
                    <w:rPr>
                      <w:szCs w:val="21"/>
                      <w:vertAlign w:val="superscript"/>
                    </w:rPr>
                    <w:t>2</w:t>
                  </w:r>
                  <w:r>
                    <w:rPr>
                      <w:szCs w:val="21"/>
                    </w:rPr>
                    <w:t>·月</w:t>
                  </w:r>
                </w:p>
              </w:tc>
              <w:tc>
                <w:tcPr>
                  <w:tcW w:w="1322" w:type="dxa"/>
                  <w:vAlign w:val="center"/>
                </w:tcPr>
                <w:p>
                  <w:pPr>
                    <w:jc w:val="center"/>
                    <w:rPr>
                      <w:szCs w:val="21"/>
                    </w:rPr>
                  </w:pPr>
                  <w:r>
                    <w:rPr>
                      <w:rFonts w:hint="eastAsia"/>
                      <w:color w:val="231F20"/>
                      <w:kern w:val="0"/>
                      <w:szCs w:val="21"/>
                      <w:lang w:val="en-US" w:eastAsia="zh-CN"/>
                    </w:rPr>
                    <w:t>4298</w:t>
                  </w:r>
                  <w:r>
                    <w:rPr>
                      <w:szCs w:val="21"/>
                    </w:rPr>
                    <w:t>m</w:t>
                  </w:r>
                  <w:r>
                    <w:rPr>
                      <w:rFonts w:hint="eastAsia"/>
                      <w:szCs w:val="21"/>
                      <w:vertAlign w:val="superscript"/>
                    </w:rPr>
                    <w:t>2</w:t>
                  </w:r>
                </w:p>
              </w:tc>
              <w:tc>
                <w:tcPr>
                  <w:tcW w:w="1294" w:type="dxa"/>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257.88</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w:t>
                  </w:r>
                  <w:r>
                    <w:rPr>
                      <w:rFonts w:hint="default" w:ascii="Times New Roman" w:hAnsi="Times New Roman" w:cs="Times New Roman"/>
                      <w:szCs w:val="21"/>
                    </w:rPr>
                    <w:t>月</w:t>
                  </w:r>
                </w:p>
              </w:tc>
              <w:tc>
                <w:tcPr>
                  <w:tcW w:w="1214" w:type="dxa"/>
                  <w:vAlign w:val="center"/>
                </w:tcPr>
                <w:p>
                  <w:pPr>
                    <w:jc w:val="center"/>
                    <w:rPr>
                      <w:rFonts w:ascii="Times New Roman" w:hAnsi="Times New Roman" w:cs="Times New Roman"/>
                      <w:szCs w:val="21"/>
                    </w:rPr>
                  </w:pPr>
                  <w:r>
                    <w:rPr>
                      <w:rFonts w:hint="default" w:ascii="Times New Roman" w:hAnsi="Times New Roman" w:cs="Times New Roman"/>
                      <w:szCs w:val="21"/>
                    </w:rPr>
                    <w:t>3094.56</w:t>
                  </w:r>
                </w:p>
              </w:tc>
              <w:tc>
                <w:tcPr>
                  <w:tcW w:w="2115" w:type="dxa"/>
                  <w:vAlign w:val="center"/>
                </w:tcPr>
                <w:p>
                  <w:pPr>
                    <w:jc w:val="center"/>
                    <w:rPr>
                      <w:szCs w:val="21"/>
                    </w:rPr>
                  </w:pPr>
                  <w:r>
                    <w:rPr>
                      <w:rFonts w:hint="eastAsia"/>
                      <w:szCs w:val="21"/>
                    </w:rPr>
                    <w:t>植物吸收、</w:t>
                  </w:r>
                  <w:r>
                    <w:rPr>
                      <w:szCs w:val="21"/>
                    </w:rPr>
                    <w:t>蒸发进入大气环境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9" w:type="dxa"/>
                  <w:vAlign w:val="center"/>
                </w:tcPr>
                <w:p>
                  <w:pPr>
                    <w:jc w:val="center"/>
                    <w:rPr>
                      <w:szCs w:val="21"/>
                    </w:rPr>
                  </w:pPr>
                  <w:r>
                    <w:rPr>
                      <w:rFonts w:hint="eastAsia"/>
                      <w:szCs w:val="21"/>
                    </w:rPr>
                    <w:t>未预见用水量</w:t>
                  </w:r>
                </w:p>
              </w:tc>
              <w:tc>
                <w:tcPr>
                  <w:tcW w:w="1211" w:type="dxa"/>
                  <w:vAlign w:val="center"/>
                </w:tcPr>
                <w:p>
                  <w:pPr>
                    <w:jc w:val="center"/>
                    <w:rPr>
                      <w:szCs w:val="21"/>
                    </w:rPr>
                  </w:pPr>
                  <w:r>
                    <w:rPr>
                      <w:rFonts w:hint="eastAsia"/>
                      <w:szCs w:val="21"/>
                    </w:rPr>
                    <w:t>/</w:t>
                  </w:r>
                </w:p>
              </w:tc>
              <w:tc>
                <w:tcPr>
                  <w:tcW w:w="1322" w:type="dxa"/>
                  <w:vAlign w:val="center"/>
                </w:tcPr>
                <w:p>
                  <w:pPr>
                    <w:jc w:val="center"/>
                    <w:rPr>
                      <w:color w:val="FF0000"/>
                      <w:szCs w:val="21"/>
                    </w:rPr>
                  </w:pPr>
                  <w:r>
                    <w:rPr>
                      <w:rFonts w:hint="eastAsia"/>
                      <w:szCs w:val="21"/>
                    </w:rPr>
                    <w:t>10%</w:t>
                  </w:r>
                </w:p>
              </w:tc>
              <w:tc>
                <w:tcPr>
                  <w:tcW w:w="1294" w:type="dxa"/>
                  <w:vAlign w:val="center"/>
                </w:tcPr>
                <w:p>
                  <w:pPr>
                    <w:jc w:val="center"/>
                    <w:rPr>
                      <w:rFonts w:ascii="Times New Roman" w:hAnsi="Times New Roman" w:cs="Times New Roman"/>
                      <w:szCs w:val="21"/>
                    </w:rPr>
                  </w:pPr>
                  <w:r>
                    <w:rPr>
                      <w:rFonts w:hint="default" w:ascii="Times New Roman" w:hAnsi="Times New Roman" w:cs="Times New Roman"/>
                      <w:szCs w:val="21"/>
                    </w:rPr>
                    <w:t>/</w:t>
                  </w:r>
                </w:p>
              </w:tc>
              <w:tc>
                <w:tcPr>
                  <w:tcW w:w="1214" w:type="dxa"/>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14772</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836</w:t>
                  </w:r>
                </w:p>
              </w:tc>
              <w:tc>
                <w:tcPr>
                  <w:tcW w:w="2115"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2" w:type="dxa"/>
                  <w:gridSpan w:val="3"/>
                  <w:vAlign w:val="center"/>
                </w:tcPr>
                <w:p>
                  <w:pPr>
                    <w:jc w:val="center"/>
                    <w:rPr>
                      <w:szCs w:val="21"/>
                    </w:rPr>
                  </w:pPr>
                  <w:r>
                    <w:rPr>
                      <w:rFonts w:hint="eastAsia"/>
                      <w:b/>
                      <w:bCs/>
                      <w:szCs w:val="21"/>
                    </w:rPr>
                    <w:t>合计</w:t>
                  </w:r>
                </w:p>
              </w:tc>
              <w:tc>
                <w:tcPr>
                  <w:tcW w:w="1294" w:type="dxa"/>
                  <w:vAlign w:val="center"/>
                </w:tcPr>
                <w:p>
                  <w:pPr>
                    <w:jc w:val="center"/>
                    <w:rPr>
                      <w:szCs w:val="21"/>
                    </w:rPr>
                  </w:pPr>
                </w:p>
              </w:tc>
              <w:tc>
                <w:tcPr>
                  <w:tcW w:w="1214" w:type="dxa"/>
                  <w:vAlign w:val="center"/>
                </w:tcPr>
                <w:p>
                  <w:pPr>
                    <w:jc w:val="center"/>
                    <w:rPr>
                      <w:szCs w:val="21"/>
                    </w:rPr>
                  </w:pPr>
                  <w:r>
                    <w:rPr>
                      <w:rFonts w:hint="eastAsia"/>
                      <w:szCs w:val="21"/>
                    </w:rPr>
                    <w:t>162501.196</w:t>
                  </w:r>
                </w:p>
              </w:tc>
              <w:tc>
                <w:tcPr>
                  <w:tcW w:w="2115" w:type="dxa"/>
                  <w:vAlign w:val="center"/>
                </w:tcPr>
                <w:p>
                  <w:pPr>
                    <w:jc w:val="center"/>
                    <w:rPr>
                      <w:szCs w:val="21"/>
                    </w:rPr>
                  </w:pPr>
                </w:p>
              </w:tc>
            </w:tr>
          </w:tbl>
          <w:p>
            <w:pPr>
              <w:pStyle w:val="2"/>
              <w:ind w:firstLine="480"/>
            </w:pPr>
            <w:r>
              <w:rPr>
                <w:rFonts w:hint="eastAsia"/>
              </w:rPr>
              <w:t>居民生活、幼儿园、物管、社区办公、社区卫生服务站、</w:t>
            </w:r>
            <w:r>
              <w:t>商铺区</w:t>
            </w:r>
            <w:r>
              <w:rPr>
                <w:rFonts w:hint="eastAsia"/>
                <w:lang w:eastAsia="zh-CN"/>
              </w:rPr>
              <w:t>、</w:t>
            </w:r>
            <w:r>
              <w:rPr>
                <w:rFonts w:hint="eastAsia"/>
                <w:lang w:val="en-US" w:eastAsia="zh-CN"/>
              </w:rPr>
              <w:t>SOHO公寓</w:t>
            </w:r>
            <w:r>
              <w:t>、</w:t>
            </w:r>
            <w:r>
              <w:rPr>
                <w:rFonts w:hint="eastAsia"/>
              </w:rPr>
              <w:t>公厕</w:t>
            </w:r>
            <w:r>
              <w:rPr>
                <w:rFonts w:hint="eastAsia"/>
                <w:lang w:eastAsia="zh-CN"/>
              </w:rPr>
              <w:t>、垃圾站等</w:t>
            </w:r>
            <w:r>
              <w:rPr>
                <w:rFonts w:hint="eastAsia"/>
              </w:rPr>
              <w:t>产生的废水为生活污水，排水系数按0.85，则</w:t>
            </w:r>
            <w:r>
              <w:rPr>
                <w:rFonts w:hint="eastAsia"/>
                <w:lang w:val="en-US" w:eastAsia="zh-CN"/>
              </w:rPr>
              <w:t>02#地块</w:t>
            </w:r>
            <w:r>
              <w:rPr>
                <w:rFonts w:hint="eastAsia"/>
              </w:rPr>
              <w:t>生活污水产生量为：268048.374</w:t>
            </w:r>
            <w:r>
              <w:rPr>
                <w:bCs/>
                <w:kern w:val="24"/>
                <w:sz w:val="24"/>
              </w:rPr>
              <w:t>m</w:t>
            </w:r>
            <w:r>
              <w:rPr>
                <w:bCs/>
                <w:kern w:val="24"/>
                <w:sz w:val="24"/>
                <w:vertAlign w:val="superscript"/>
              </w:rPr>
              <w:t>3</w:t>
            </w:r>
            <w:r>
              <w:rPr>
                <w:bCs/>
                <w:kern w:val="24"/>
                <w:sz w:val="24"/>
              </w:rPr>
              <w:t>/a</w:t>
            </w:r>
            <w:r>
              <w:rPr>
                <w:rFonts w:hint="eastAsia"/>
                <w:bCs/>
                <w:kern w:val="24"/>
                <w:sz w:val="24"/>
                <w:lang w:eastAsia="zh-CN"/>
              </w:rPr>
              <w:t>，</w:t>
            </w:r>
            <w:r>
              <w:rPr>
                <w:rFonts w:hint="eastAsia"/>
                <w:lang w:val="en-US" w:eastAsia="zh-CN"/>
              </w:rPr>
              <w:t>03#地块</w:t>
            </w:r>
            <w:r>
              <w:rPr>
                <w:rFonts w:hint="eastAsia"/>
              </w:rPr>
              <w:t>生活污水产生量为：203393.085</w:t>
            </w:r>
            <w:r>
              <w:rPr>
                <w:bCs/>
                <w:kern w:val="24"/>
                <w:sz w:val="24"/>
              </w:rPr>
              <w:t>m</w:t>
            </w:r>
            <w:r>
              <w:rPr>
                <w:bCs/>
                <w:kern w:val="24"/>
                <w:sz w:val="24"/>
                <w:vertAlign w:val="superscript"/>
              </w:rPr>
              <w:t>3</w:t>
            </w:r>
            <w:r>
              <w:rPr>
                <w:bCs/>
                <w:kern w:val="24"/>
                <w:sz w:val="24"/>
              </w:rPr>
              <w:t>/a</w:t>
            </w:r>
            <w:r>
              <w:rPr>
                <w:rFonts w:hint="eastAsia"/>
                <w:bCs/>
                <w:kern w:val="24"/>
                <w:sz w:val="24"/>
                <w:lang w:eastAsia="zh-CN"/>
              </w:rPr>
              <w:t>，</w:t>
            </w:r>
            <w:r>
              <w:rPr>
                <w:rFonts w:hint="eastAsia"/>
                <w:lang w:val="en-US" w:eastAsia="zh-CN"/>
              </w:rPr>
              <w:t>04#地块</w:t>
            </w:r>
            <w:r>
              <w:rPr>
                <w:rFonts w:hint="eastAsia"/>
              </w:rPr>
              <w:t>生活污水产生量为：162501.196</w:t>
            </w:r>
            <w:r>
              <w:rPr>
                <w:bCs/>
                <w:kern w:val="24"/>
                <w:sz w:val="24"/>
              </w:rPr>
              <w:t>m</w:t>
            </w:r>
            <w:r>
              <w:rPr>
                <w:bCs/>
                <w:kern w:val="24"/>
                <w:sz w:val="24"/>
                <w:vertAlign w:val="superscript"/>
              </w:rPr>
              <w:t>3</w:t>
            </w:r>
            <w:r>
              <w:rPr>
                <w:bCs/>
                <w:kern w:val="24"/>
                <w:sz w:val="24"/>
              </w:rPr>
              <w:t>/a</w:t>
            </w:r>
            <w:r>
              <w:rPr>
                <w:rFonts w:hint="eastAsia"/>
                <w:bCs/>
                <w:kern w:val="24"/>
                <w:sz w:val="24"/>
              </w:rPr>
              <w:t>；</w:t>
            </w:r>
            <w:r>
              <w:rPr>
                <w:rFonts w:hint="eastAsia"/>
                <w:sz w:val="24"/>
              </w:rPr>
              <w:t>该废水主要污染物有COD、BOD</w:t>
            </w:r>
            <w:r>
              <w:rPr>
                <w:rFonts w:hint="eastAsia"/>
                <w:sz w:val="24"/>
                <w:vertAlign w:val="subscript"/>
              </w:rPr>
              <w:t>5</w:t>
            </w:r>
            <w:r>
              <w:rPr>
                <w:rFonts w:hint="eastAsia"/>
                <w:sz w:val="24"/>
              </w:rPr>
              <w:t>、SS、NH</w:t>
            </w:r>
            <w:r>
              <w:rPr>
                <w:rFonts w:hint="eastAsia"/>
                <w:sz w:val="24"/>
                <w:vertAlign w:val="subscript"/>
              </w:rPr>
              <w:t>3</w:t>
            </w:r>
            <w:r>
              <w:rPr>
                <w:rFonts w:hint="eastAsia"/>
                <w:sz w:val="24"/>
              </w:rPr>
              <w:t>-N、动植物油等</w:t>
            </w:r>
            <w:r>
              <w:rPr>
                <w:rFonts w:hint="eastAsia"/>
                <w:sz w:val="24"/>
                <w:lang w:eastAsia="zh-CN"/>
              </w:rPr>
              <w:t>。</w:t>
            </w:r>
            <w:r>
              <w:rPr>
                <w:rFonts w:hint="eastAsia"/>
                <w:bCs/>
                <w:kern w:val="24"/>
                <w:sz w:val="24"/>
              </w:rPr>
              <w:t>地下车库地面冲洗废水排水系数按0.85，则</w:t>
            </w:r>
            <w:r>
              <w:rPr>
                <w:rFonts w:hint="eastAsia"/>
                <w:bCs/>
                <w:kern w:val="24"/>
                <w:sz w:val="24"/>
                <w:lang w:val="en-US" w:eastAsia="zh-CN"/>
              </w:rPr>
              <w:t>02#地块</w:t>
            </w:r>
            <w:r>
              <w:rPr>
                <w:rFonts w:hint="eastAsia"/>
                <w:bCs/>
                <w:kern w:val="24"/>
                <w:sz w:val="24"/>
              </w:rPr>
              <w:t>地下车库地面冲洗废水量为7901.685</w:t>
            </w:r>
            <w:r>
              <w:rPr>
                <w:bCs/>
                <w:kern w:val="24"/>
                <w:sz w:val="24"/>
              </w:rPr>
              <w:t>m</w:t>
            </w:r>
            <w:r>
              <w:rPr>
                <w:bCs/>
                <w:kern w:val="24"/>
                <w:sz w:val="24"/>
                <w:vertAlign w:val="superscript"/>
              </w:rPr>
              <w:t>3</w:t>
            </w:r>
            <w:r>
              <w:rPr>
                <w:bCs/>
                <w:kern w:val="24"/>
                <w:sz w:val="24"/>
              </w:rPr>
              <w:t>/a</w:t>
            </w:r>
            <w:r>
              <w:rPr>
                <w:rFonts w:hint="eastAsia"/>
                <w:bCs/>
                <w:kern w:val="24"/>
                <w:sz w:val="24"/>
              </w:rPr>
              <w:t>，</w:t>
            </w:r>
            <w:r>
              <w:rPr>
                <w:rFonts w:hint="eastAsia"/>
                <w:bCs/>
                <w:kern w:val="24"/>
                <w:sz w:val="24"/>
                <w:lang w:val="en-US" w:eastAsia="zh-CN"/>
              </w:rPr>
              <w:t>03#地块</w:t>
            </w:r>
            <w:r>
              <w:rPr>
                <w:rFonts w:hint="eastAsia"/>
                <w:bCs/>
                <w:kern w:val="24"/>
                <w:sz w:val="24"/>
              </w:rPr>
              <w:t>地下车库地面冲洗废水量为5336.181</w:t>
            </w:r>
            <w:r>
              <w:rPr>
                <w:rFonts w:hint="eastAsia"/>
                <w:bCs/>
                <w:kern w:val="24"/>
                <w:sz w:val="24"/>
                <w:lang w:val="en-US" w:eastAsia="zh-CN"/>
              </w:rPr>
              <w:t xml:space="preserve"> </w:t>
            </w:r>
            <w:r>
              <w:rPr>
                <w:bCs/>
                <w:kern w:val="24"/>
                <w:sz w:val="24"/>
              </w:rPr>
              <w:t>m</w:t>
            </w:r>
            <w:r>
              <w:rPr>
                <w:bCs/>
                <w:kern w:val="24"/>
                <w:sz w:val="24"/>
                <w:vertAlign w:val="superscript"/>
              </w:rPr>
              <w:t>3</w:t>
            </w:r>
            <w:r>
              <w:rPr>
                <w:bCs/>
                <w:kern w:val="24"/>
                <w:sz w:val="24"/>
              </w:rPr>
              <w:t>/a</w:t>
            </w:r>
            <w:r>
              <w:rPr>
                <w:rFonts w:hint="eastAsia"/>
                <w:bCs/>
                <w:kern w:val="24"/>
                <w:sz w:val="24"/>
              </w:rPr>
              <w:t>，</w:t>
            </w:r>
            <w:r>
              <w:rPr>
                <w:rFonts w:hint="eastAsia"/>
                <w:bCs/>
                <w:kern w:val="24"/>
                <w:sz w:val="24"/>
                <w:lang w:val="en-US" w:eastAsia="zh-CN"/>
              </w:rPr>
              <w:t>04#地块</w:t>
            </w:r>
            <w:r>
              <w:rPr>
                <w:rFonts w:hint="eastAsia"/>
                <w:bCs/>
                <w:kern w:val="24"/>
                <w:sz w:val="24"/>
              </w:rPr>
              <w:t>地下车库地面冲洗废水量为2897.82</w:t>
            </w:r>
            <w:r>
              <w:rPr>
                <w:rFonts w:hint="eastAsia"/>
                <w:bCs/>
                <w:kern w:val="24"/>
                <w:sz w:val="24"/>
                <w:lang w:val="en-US" w:eastAsia="zh-CN"/>
              </w:rPr>
              <w:t xml:space="preserve"> </w:t>
            </w:r>
            <w:r>
              <w:rPr>
                <w:bCs/>
                <w:kern w:val="24"/>
                <w:sz w:val="24"/>
              </w:rPr>
              <w:t>m</w:t>
            </w:r>
            <w:r>
              <w:rPr>
                <w:bCs/>
                <w:kern w:val="24"/>
                <w:sz w:val="24"/>
                <w:vertAlign w:val="superscript"/>
              </w:rPr>
              <w:t>3</w:t>
            </w:r>
            <w:r>
              <w:rPr>
                <w:bCs/>
                <w:kern w:val="24"/>
                <w:sz w:val="24"/>
              </w:rPr>
              <w:t>/a</w:t>
            </w:r>
            <w:r>
              <w:rPr>
                <w:rFonts w:hint="eastAsia"/>
                <w:bCs/>
                <w:kern w:val="24"/>
                <w:sz w:val="24"/>
              </w:rPr>
              <w:t>，</w:t>
            </w:r>
            <w:r>
              <w:rPr>
                <w:rFonts w:hint="eastAsia"/>
                <w:sz w:val="24"/>
              </w:rPr>
              <w:t>该废水主要污染物有COD、SS、石油类。</w:t>
            </w:r>
            <w:r>
              <w:rPr>
                <w:rFonts w:hint="eastAsia"/>
              </w:rPr>
              <w:t>根据同类项目以及城镇生活源产排污系数手册，本项目</w:t>
            </w:r>
            <w:r>
              <w:rPr>
                <w:rFonts w:hint="eastAsia"/>
                <w:lang w:eastAsia="zh-CN"/>
              </w:rPr>
              <w:t>各地块</w:t>
            </w:r>
            <w:r>
              <w:rPr>
                <w:rFonts w:hint="eastAsia"/>
              </w:rPr>
              <w:t>的生活污水地下车库冲洗废水各污染物浓度如下所示。</w:t>
            </w:r>
          </w:p>
          <w:p>
            <w:pPr>
              <w:adjustRightInd w:val="0"/>
              <w:snapToGrid w:val="0"/>
              <w:jc w:val="center"/>
              <w:rPr>
                <w:sz w:val="24"/>
              </w:rPr>
            </w:pPr>
            <w:r>
              <w:rPr>
                <w:rFonts w:hint="eastAsia"/>
                <w:b/>
                <w:szCs w:val="21"/>
              </w:rPr>
              <w:t>表4-</w:t>
            </w:r>
            <w:r>
              <w:rPr>
                <w:rFonts w:hint="eastAsia"/>
                <w:b/>
                <w:szCs w:val="21"/>
                <w:lang w:val="en-US" w:eastAsia="zh-CN"/>
              </w:rPr>
              <w:t>7  02#地块</w:t>
            </w:r>
            <w:r>
              <w:rPr>
                <w:rFonts w:hint="eastAsia"/>
                <w:b/>
                <w:szCs w:val="21"/>
              </w:rPr>
              <w:t>生活污水、车库地面冲洗废水污染物产生量估算</w:t>
            </w:r>
          </w:p>
          <w:tbl>
            <w:tblPr>
              <w:tblStyle w:val="1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196"/>
              <w:gridCol w:w="1007"/>
              <w:gridCol w:w="954"/>
              <w:gridCol w:w="929"/>
              <w:gridCol w:w="897"/>
              <w:gridCol w:w="1096"/>
              <w:gridCol w:w="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671" w:type="pct"/>
                  <w:gridSpan w:val="2"/>
                  <w:vAlign w:val="center"/>
                </w:tcPr>
                <w:p>
                  <w:pPr>
                    <w:adjustRightInd w:val="0"/>
                    <w:snapToGrid w:val="0"/>
                    <w:jc w:val="center"/>
                    <w:rPr>
                      <w:szCs w:val="21"/>
                    </w:rPr>
                  </w:pPr>
                  <w:r>
                    <w:rPr>
                      <w:rFonts w:hint="eastAsia"/>
                      <w:szCs w:val="21"/>
                    </w:rPr>
                    <w:t>污染物</w:t>
                  </w:r>
                </w:p>
              </w:tc>
              <w:tc>
                <w:tcPr>
                  <w:tcW w:w="582" w:type="pct"/>
                  <w:vAlign w:val="center"/>
                </w:tcPr>
                <w:p>
                  <w:pPr>
                    <w:adjustRightInd w:val="0"/>
                    <w:snapToGrid w:val="0"/>
                    <w:jc w:val="center"/>
                    <w:rPr>
                      <w:szCs w:val="21"/>
                    </w:rPr>
                  </w:pPr>
                  <w:r>
                    <w:rPr>
                      <w:rFonts w:hint="eastAsia"/>
                      <w:szCs w:val="21"/>
                    </w:rPr>
                    <w:t>COD</w:t>
                  </w:r>
                </w:p>
              </w:tc>
              <w:tc>
                <w:tcPr>
                  <w:tcW w:w="551" w:type="pct"/>
                  <w:vAlign w:val="center"/>
                </w:tcPr>
                <w:p>
                  <w:pPr>
                    <w:adjustRightInd w:val="0"/>
                    <w:snapToGrid w:val="0"/>
                    <w:jc w:val="center"/>
                    <w:rPr>
                      <w:szCs w:val="21"/>
                    </w:rPr>
                  </w:pPr>
                  <w:r>
                    <w:rPr>
                      <w:szCs w:val="21"/>
                    </w:rPr>
                    <w:t>BOD</w:t>
                  </w:r>
                  <w:r>
                    <w:rPr>
                      <w:szCs w:val="21"/>
                      <w:vertAlign w:val="subscript"/>
                    </w:rPr>
                    <w:t>5</w:t>
                  </w:r>
                </w:p>
              </w:tc>
              <w:tc>
                <w:tcPr>
                  <w:tcW w:w="537" w:type="pct"/>
                  <w:vAlign w:val="center"/>
                </w:tcPr>
                <w:p>
                  <w:pPr>
                    <w:adjustRightInd w:val="0"/>
                    <w:snapToGrid w:val="0"/>
                    <w:jc w:val="center"/>
                    <w:rPr>
                      <w:szCs w:val="21"/>
                    </w:rPr>
                  </w:pPr>
                  <w:r>
                    <w:rPr>
                      <w:rFonts w:hint="eastAsia"/>
                      <w:szCs w:val="21"/>
                    </w:rPr>
                    <w:t>SS</w:t>
                  </w:r>
                </w:p>
              </w:tc>
              <w:tc>
                <w:tcPr>
                  <w:tcW w:w="518" w:type="pct"/>
                  <w:vAlign w:val="center"/>
                </w:tcPr>
                <w:p>
                  <w:pPr>
                    <w:adjustRightInd w:val="0"/>
                    <w:snapToGrid w:val="0"/>
                    <w:jc w:val="center"/>
                    <w:rPr>
                      <w:szCs w:val="21"/>
                    </w:rPr>
                  </w:pPr>
                  <w:r>
                    <w:rPr>
                      <w:rFonts w:hint="eastAsia"/>
                      <w:szCs w:val="21"/>
                    </w:rPr>
                    <w:t>氨氮</w:t>
                  </w:r>
                </w:p>
              </w:tc>
              <w:tc>
                <w:tcPr>
                  <w:tcW w:w="633" w:type="pct"/>
                  <w:vAlign w:val="center"/>
                </w:tcPr>
                <w:p>
                  <w:pPr>
                    <w:adjustRightInd w:val="0"/>
                    <w:snapToGrid w:val="0"/>
                    <w:jc w:val="center"/>
                    <w:rPr>
                      <w:szCs w:val="21"/>
                    </w:rPr>
                  </w:pPr>
                  <w:r>
                    <w:rPr>
                      <w:rFonts w:hint="eastAsia"/>
                      <w:szCs w:val="21"/>
                    </w:rPr>
                    <w:t>动植物油</w:t>
                  </w:r>
                </w:p>
              </w:tc>
              <w:tc>
                <w:tcPr>
                  <w:tcW w:w="504" w:type="pct"/>
                  <w:vAlign w:val="center"/>
                </w:tcPr>
                <w:p>
                  <w:pPr>
                    <w:adjustRightInd w:val="0"/>
                    <w:snapToGrid w:val="0"/>
                    <w:jc w:val="center"/>
                    <w:rPr>
                      <w:szCs w:val="21"/>
                    </w:rPr>
                  </w:pPr>
                  <w:r>
                    <w:rPr>
                      <w:rFonts w:hint="eastAsia"/>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restart"/>
                  <w:vAlign w:val="center"/>
                </w:tcPr>
                <w:p>
                  <w:pPr>
                    <w:adjustRightInd w:val="0"/>
                    <w:snapToGrid w:val="0"/>
                    <w:jc w:val="center"/>
                    <w:rPr>
                      <w:szCs w:val="21"/>
                    </w:rPr>
                  </w:pPr>
                  <w:r>
                    <w:rPr>
                      <w:rFonts w:hint="eastAsia"/>
                      <w:szCs w:val="21"/>
                    </w:rPr>
                    <w:t>生活污水</w:t>
                  </w:r>
                  <w:r>
                    <w:rPr>
                      <w:rFonts w:hint="eastAsia"/>
                    </w:rPr>
                    <w:t>268048.374</w:t>
                  </w:r>
                  <w:r>
                    <w:rPr>
                      <w:szCs w:val="21"/>
                    </w:rPr>
                    <w:t>m</w:t>
                  </w:r>
                  <w:r>
                    <w:rPr>
                      <w:szCs w:val="21"/>
                      <w:vertAlign w:val="superscript"/>
                    </w:rPr>
                    <w:t>3</w:t>
                  </w:r>
                  <w:r>
                    <w:rPr>
                      <w:szCs w:val="21"/>
                    </w:rPr>
                    <w:t>/</w:t>
                  </w:r>
                  <w:r>
                    <w:rPr>
                      <w:rFonts w:hint="eastAsia"/>
                      <w:szCs w:val="21"/>
                    </w:rPr>
                    <w:t>a</w:t>
                  </w:r>
                </w:p>
              </w:tc>
              <w:tc>
                <w:tcPr>
                  <w:tcW w:w="690"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82" w:type="pct"/>
                  <w:vAlign w:val="center"/>
                </w:tcPr>
                <w:p>
                  <w:pPr>
                    <w:adjustRightInd w:val="0"/>
                    <w:snapToGrid w:val="0"/>
                    <w:jc w:val="center"/>
                    <w:rPr>
                      <w:szCs w:val="21"/>
                    </w:rPr>
                  </w:pPr>
                  <w:r>
                    <w:rPr>
                      <w:rFonts w:hint="eastAsia"/>
                      <w:szCs w:val="21"/>
                    </w:rPr>
                    <w:t>300</w:t>
                  </w:r>
                </w:p>
              </w:tc>
              <w:tc>
                <w:tcPr>
                  <w:tcW w:w="551" w:type="pct"/>
                  <w:vAlign w:val="center"/>
                </w:tcPr>
                <w:p>
                  <w:pPr>
                    <w:adjustRightInd w:val="0"/>
                    <w:snapToGrid w:val="0"/>
                    <w:jc w:val="center"/>
                    <w:rPr>
                      <w:szCs w:val="21"/>
                    </w:rPr>
                  </w:pPr>
                  <w:r>
                    <w:rPr>
                      <w:rFonts w:hint="eastAsia"/>
                      <w:szCs w:val="21"/>
                    </w:rPr>
                    <w:t>180</w:t>
                  </w:r>
                </w:p>
              </w:tc>
              <w:tc>
                <w:tcPr>
                  <w:tcW w:w="537" w:type="pct"/>
                  <w:vAlign w:val="center"/>
                </w:tcPr>
                <w:p>
                  <w:pPr>
                    <w:adjustRightInd w:val="0"/>
                    <w:snapToGrid w:val="0"/>
                    <w:jc w:val="center"/>
                    <w:rPr>
                      <w:szCs w:val="21"/>
                    </w:rPr>
                  </w:pPr>
                  <w:r>
                    <w:rPr>
                      <w:rFonts w:hint="eastAsia"/>
                      <w:szCs w:val="21"/>
                    </w:rPr>
                    <w:t>200</w:t>
                  </w:r>
                </w:p>
              </w:tc>
              <w:tc>
                <w:tcPr>
                  <w:tcW w:w="518" w:type="pct"/>
                  <w:vAlign w:val="center"/>
                </w:tcPr>
                <w:p>
                  <w:pPr>
                    <w:adjustRightInd w:val="0"/>
                    <w:snapToGrid w:val="0"/>
                    <w:jc w:val="center"/>
                    <w:rPr>
                      <w:szCs w:val="21"/>
                    </w:rPr>
                  </w:pPr>
                  <w:r>
                    <w:rPr>
                      <w:rFonts w:hint="eastAsia"/>
                      <w:szCs w:val="21"/>
                    </w:rPr>
                    <w:t>20</w:t>
                  </w:r>
                </w:p>
              </w:tc>
              <w:tc>
                <w:tcPr>
                  <w:tcW w:w="633" w:type="pct"/>
                  <w:vAlign w:val="center"/>
                </w:tcPr>
                <w:p>
                  <w:pPr>
                    <w:adjustRightInd w:val="0"/>
                    <w:snapToGrid w:val="0"/>
                    <w:jc w:val="center"/>
                    <w:rPr>
                      <w:szCs w:val="21"/>
                    </w:rPr>
                  </w:pPr>
                  <w:r>
                    <w:rPr>
                      <w:rFonts w:hint="eastAsia"/>
                      <w:szCs w:val="21"/>
                    </w:rPr>
                    <w:t>150</w:t>
                  </w:r>
                </w:p>
              </w:tc>
              <w:tc>
                <w:tcPr>
                  <w:tcW w:w="504"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continue"/>
                  <w:vAlign w:val="center"/>
                </w:tcPr>
                <w:p>
                  <w:pPr>
                    <w:adjustRightInd w:val="0"/>
                    <w:snapToGrid w:val="0"/>
                    <w:jc w:val="center"/>
                    <w:rPr>
                      <w:szCs w:val="21"/>
                    </w:rPr>
                  </w:pPr>
                </w:p>
              </w:tc>
              <w:tc>
                <w:tcPr>
                  <w:tcW w:w="690"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82" w:type="pct"/>
                  <w:vAlign w:val="center"/>
                </w:tcPr>
                <w:p>
                  <w:pPr>
                    <w:adjustRightInd w:val="0"/>
                    <w:snapToGrid w:val="0"/>
                    <w:jc w:val="center"/>
                    <w:rPr>
                      <w:rFonts w:hint="default" w:eastAsia="宋体"/>
                      <w:szCs w:val="21"/>
                      <w:lang w:val="en-US" w:eastAsia="zh-CN"/>
                    </w:rPr>
                  </w:pPr>
                  <w:r>
                    <w:rPr>
                      <w:rFonts w:hint="eastAsia"/>
                      <w:szCs w:val="21"/>
                      <w:lang w:val="en-US" w:eastAsia="zh-CN"/>
                    </w:rPr>
                    <w:t>80.41</w:t>
                  </w:r>
                </w:p>
              </w:tc>
              <w:tc>
                <w:tcPr>
                  <w:tcW w:w="551" w:type="pct"/>
                  <w:vAlign w:val="center"/>
                </w:tcPr>
                <w:p>
                  <w:pPr>
                    <w:adjustRightInd w:val="0"/>
                    <w:snapToGrid w:val="0"/>
                    <w:jc w:val="center"/>
                    <w:rPr>
                      <w:rFonts w:hint="default" w:eastAsia="宋体"/>
                      <w:szCs w:val="21"/>
                      <w:lang w:val="en-US" w:eastAsia="zh-CN"/>
                    </w:rPr>
                  </w:pPr>
                  <w:r>
                    <w:rPr>
                      <w:rFonts w:hint="eastAsia"/>
                      <w:szCs w:val="21"/>
                      <w:lang w:val="en-US" w:eastAsia="zh-CN"/>
                    </w:rPr>
                    <w:t>48.25</w:t>
                  </w:r>
                </w:p>
              </w:tc>
              <w:tc>
                <w:tcPr>
                  <w:tcW w:w="537" w:type="pct"/>
                  <w:vAlign w:val="center"/>
                </w:tcPr>
                <w:p>
                  <w:pPr>
                    <w:adjustRightInd w:val="0"/>
                    <w:snapToGrid w:val="0"/>
                    <w:jc w:val="center"/>
                    <w:rPr>
                      <w:rFonts w:hint="default" w:eastAsia="宋体"/>
                      <w:szCs w:val="21"/>
                      <w:lang w:val="en-US" w:eastAsia="zh-CN"/>
                    </w:rPr>
                  </w:pPr>
                  <w:r>
                    <w:rPr>
                      <w:rFonts w:hint="eastAsia"/>
                      <w:szCs w:val="21"/>
                      <w:lang w:val="en-US" w:eastAsia="zh-CN"/>
                    </w:rPr>
                    <w:t>53.6</w:t>
                  </w:r>
                </w:p>
              </w:tc>
              <w:tc>
                <w:tcPr>
                  <w:tcW w:w="518" w:type="pct"/>
                  <w:vAlign w:val="center"/>
                </w:tcPr>
                <w:p>
                  <w:pPr>
                    <w:adjustRightInd w:val="0"/>
                    <w:snapToGrid w:val="0"/>
                    <w:jc w:val="center"/>
                    <w:rPr>
                      <w:rFonts w:hint="default" w:eastAsia="宋体"/>
                      <w:szCs w:val="21"/>
                      <w:lang w:val="en-US" w:eastAsia="zh-CN"/>
                    </w:rPr>
                  </w:pPr>
                  <w:r>
                    <w:rPr>
                      <w:rFonts w:hint="eastAsia"/>
                      <w:szCs w:val="21"/>
                      <w:lang w:val="en-US" w:eastAsia="zh-CN"/>
                    </w:rPr>
                    <w:t>5.36</w:t>
                  </w:r>
                </w:p>
              </w:tc>
              <w:tc>
                <w:tcPr>
                  <w:tcW w:w="633" w:type="pct"/>
                  <w:vAlign w:val="center"/>
                </w:tcPr>
                <w:p>
                  <w:pPr>
                    <w:adjustRightInd w:val="0"/>
                    <w:snapToGrid w:val="0"/>
                    <w:jc w:val="center"/>
                    <w:rPr>
                      <w:rFonts w:hint="default" w:eastAsia="宋体"/>
                      <w:szCs w:val="21"/>
                      <w:lang w:val="en-US" w:eastAsia="zh-CN"/>
                    </w:rPr>
                  </w:pPr>
                  <w:r>
                    <w:rPr>
                      <w:rFonts w:hint="eastAsia"/>
                      <w:szCs w:val="21"/>
                      <w:lang w:val="en-US" w:eastAsia="zh-CN"/>
                    </w:rPr>
                    <w:t>40.2</w:t>
                  </w:r>
                </w:p>
              </w:tc>
              <w:tc>
                <w:tcPr>
                  <w:tcW w:w="504"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restart"/>
                  <w:vAlign w:val="center"/>
                </w:tcPr>
                <w:p>
                  <w:pPr>
                    <w:adjustRightInd w:val="0"/>
                    <w:snapToGrid w:val="0"/>
                    <w:jc w:val="center"/>
                    <w:rPr>
                      <w:szCs w:val="21"/>
                    </w:rPr>
                  </w:pPr>
                  <w:r>
                    <w:rPr>
                      <w:rFonts w:hint="eastAsia"/>
                      <w:szCs w:val="21"/>
                    </w:rPr>
                    <w:t>车库地面冲洗废水</w:t>
                  </w:r>
                </w:p>
                <w:p>
                  <w:pPr>
                    <w:adjustRightInd w:val="0"/>
                    <w:snapToGrid w:val="0"/>
                    <w:jc w:val="center"/>
                    <w:rPr>
                      <w:szCs w:val="21"/>
                    </w:rPr>
                  </w:pPr>
                  <w:r>
                    <w:rPr>
                      <w:rFonts w:hint="eastAsia"/>
                      <w:bCs/>
                      <w:kern w:val="24"/>
                      <w:sz w:val="21"/>
                      <w:szCs w:val="21"/>
                    </w:rPr>
                    <w:t>7901.685</w:t>
                  </w:r>
                  <w:r>
                    <w:rPr>
                      <w:szCs w:val="21"/>
                    </w:rPr>
                    <w:t>m</w:t>
                  </w:r>
                  <w:r>
                    <w:rPr>
                      <w:szCs w:val="21"/>
                      <w:vertAlign w:val="superscript"/>
                    </w:rPr>
                    <w:t>3</w:t>
                  </w:r>
                  <w:r>
                    <w:rPr>
                      <w:szCs w:val="21"/>
                    </w:rPr>
                    <w:t>/</w:t>
                  </w:r>
                  <w:r>
                    <w:rPr>
                      <w:rFonts w:hint="eastAsia"/>
                      <w:szCs w:val="21"/>
                    </w:rPr>
                    <w:t>a</w:t>
                  </w:r>
                </w:p>
              </w:tc>
              <w:tc>
                <w:tcPr>
                  <w:tcW w:w="690"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82" w:type="pct"/>
                  <w:vAlign w:val="center"/>
                </w:tcPr>
                <w:p>
                  <w:pPr>
                    <w:adjustRightInd w:val="0"/>
                    <w:snapToGrid w:val="0"/>
                    <w:jc w:val="center"/>
                    <w:rPr>
                      <w:szCs w:val="21"/>
                    </w:rPr>
                  </w:pPr>
                  <w:r>
                    <w:rPr>
                      <w:rFonts w:hint="eastAsia"/>
                      <w:szCs w:val="21"/>
                    </w:rPr>
                    <w:t>150</w:t>
                  </w:r>
                </w:p>
              </w:tc>
              <w:tc>
                <w:tcPr>
                  <w:tcW w:w="551" w:type="pct"/>
                  <w:vAlign w:val="center"/>
                </w:tcPr>
                <w:p>
                  <w:pPr>
                    <w:adjustRightInd w:val="0"/>
                    <w:snapToGrid w:val="0"/>
                    <w:jc w:val="center"/>
                    <w:rPr>
                      <w:szCs w:val="21"/>
                    </w:rPr>
                  </w:pPr>
                  <w:r>
                    <w:rPr>
                      <w:rFonts w:hint="eastAsia"/>
                      <w:szCs w:val="21"/>
                    </w:rPr>
                    <w:t>/</w:t>
                  </w:r>
                </w:p>
              </w:tc>
              <w:tc>
                <w:tcPr>
                  <w:tcW w:w="537" w:type="pct"/>
                  <w:vAlign w:val="center"/>
                </w:tcPr>
                <w:p>
                  <w:pPr>
                    <w:adjustRightInd w:val="0"/>
                    <w:snapToGrid w:val="0"/>
                    <w:jc w:val="center"/>
                    <w:rPr>
                      <w:szCs w:val="21"/>
                    </w:rPr>
                  </w:pPr>
                  <w:r>
                    <w:rPr>
                      <w:rFonts w:hint="eastAsia"/>
                      <w:szCs w:val="21"/>
                    </w:rPr>
                    <w:t>100</w:t>
                  </w:r>
                </w:p>
              </w:tc>
              <w:tc>
                <w:tcPr>
                  <w:tcW w:w="518" w:type="pct"/>
                  <w:vAlign w:val="center"/>
                </w:tcPr>
                <w:p>
                  <w:pPr>
                    <w:adjustRightInd w:val="0"/>
                    <w:snapToGrid w:val="0"/>
                    <w:jc w:val="center"/>
                    <w:rPr>
                      <w:szCs w:val="21"/>
                    </w:rPr>
                  </w:pPr>
                  <w:r>
                    <w:rPr>
                      <w:rFonts w:hint="eastAsia"/>
                      <w:szCs w:val="21"/>
                    </w:rPr>
                    <w:t>/</w:t>
                  </w:r>
                </w:p>
              </w:tc>
              <w:tc>
                <w:tcPr>
                  <w:tcW w:w="633" w:type="pct"/>
                  <w:vAlign w:val="center"/>
                </w:tcPr>
                <w:p>
                  <w:pPr>
                    <w:adjustRightInd w:val="0"/>
                    <w:snapToGrid w:val="0"/>
                    <w:jc w:val="center"/>
                    <w:rPr>
                      <w:szCs w:val="21"/>
                    </w:rPr>
                  </w:pPr>
                  <w:r>
                    <w:rPr>
                      <w:rFonts w:hint="eastAsia"/>
                      <w:szCs w:val="21"/>
                    </w:rPr>
                    <w:t>/</w:t>
                  </w:r>
                </w:p>
              </w:tc>
              <w:tc>
                <w:tcPr>
                  <w:tcW w:w="504"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continue"/>
                  <w:vAlign w:val="center"/>
                </w:tcPr>
                <w:p>
                  <w:pPr>
                    <w:adjustRightInd w:val="0"/>
                    <w:snapToGrid w:val="0"/>
                    <w:jc w:val="center"/>
                    <w:rPr>
                      <w:szCs w:val="21"/>
                    </w:rPr>
                  </w:pPr>
                </w:p>
              </w:tc>
              <w:tc>
                <w:tcPr>
                  <w:tcW w:w="690"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82" w:type="pct"/>
                  <w:vAlign w:val="center"/>
                </w:tcPr>
                <w:p>
                  <w:pPr>
                    <w:adjustRightInd w:val="0"/>
                    <w:snapToGrid w:val="0"/>
                    <w:jc w:val="center"/>
                    <w:rPr>
                      <w:rFonts w:hint="default" w:eastAsia="宋体"/>
                      <w:szCs w:val="21"/>
                      <w:lang w:val="en-US" w:eastAsia="zh-CN"/>
                    </w:rPr>
                  </w:pPr>
                  <w:r>
                    <w:rPr>
                      <w:rFonts w:hint="eastAsia"/>
                      <w:szCs w:val="21"/>
                      <w:lang w:val="en-US" w:eastAsia="zh-CN"/>
                    </w:rPr>
                    <w:t>1.19</w:t>
                  </w:r>
                </w:p>
              </w:tc>
              <w:tc>
                <w:tcPr>
                  <w:tcW w:w="551" w:type="pct"/>
                  <w:vAlign w:val="center"/>
                </w:tcPr>
                <w:p>
                  <w:pPr>
                    <w:adjustRightInd w:val="0"/>
                    <w:snapToGrid w:val="0"/>
                    <w:jc w:val="center"/>
                    <w:rPr>
                      <w:szCs w:val="21"/>
                    </w:rPr>
                  </w:pPr>
                  <w:r>
                    <w:rPr>
                      <w:rFonts w:hint="eastAsia"/>
                      <w:szCs w:val="21"/>
                    </w:rPr>
                    <w:t>/</w:t>
                  </w:r>
                </w:p>
              </w:tc>
              <w:tc>
                <w:tcPr>
                  <w:tcW w:w="537" w:type="pct"/>
                  <w:vAlign w:val="center"/>
                </w:tcPr>
                <w:p>
                  <w:pPr>
                    <w:adjustRightInd w:val="0"/>
                    <w:snapToGrid w:val="0"/>
                    <w:jc w:val="center"/>
                    <w:rPr>
                      <w:rFonts w:hint="default" w:eastAsia="宋体"/>
                      <w:szCs w:val="21"/>
                      <w:lang w:val="en-US" w:eastAsia="zh-CN"/>
                    </w:rPr>
                  </w:pPr>
                  <w:r>
                    <w:rPr>
                      <w:rFonts w:hint="eastAsia"/>
                      <w:szCs w:val="21"/>
                      <w:lang w:val="en-US" w:eastAsia="zh-CN"/>
                    </w:rPr>
                    <w:t>0.79</w:t>
                  </w:r>
                </w:p>
              </w:tc>
              <w:tc>
                <w:tcPr>
                  <w:tcW w:w="518" w:type="pct"/>
                  <w:vAlign w:val="center"/>
                </w:tcPr>
                <w:p>
                  <w:pPr>
                    <w:adjustRightInd w:val="0"/>
                    <w:snapToGrid w:val="0"/>
                    <w:jc w:val="center"/>
                    <w:rPr>
                      <w:szCs w:val="21"/>
                    </w:rPr>
                  </w:pPr>
                  <w:r>
                    <w:rPr>
                      <w:rFonts w:hint="eastAsia"/>
                      <w:szCs w:val="21"/>
                    </w:rPr>
                    <w:t>/</w:t>
                  </w:r>
                </w:p>
              </w:tc>
              <w:tc>
                <w:tcPr>
                  <w:tcW w:w="633" w:type="pct"/>
                  <w:vAlign w:val="center"/>
                </w:tcPr>
                <w:p>
                  <w:pPr>
                    <w:adjustRightInd w:val="0"/>
                    <w:snapToGrid w:val="0"/>
                    <w:jc w:val="center"/>
                    <w:rPr>
                      <w:szCs w:val="21"/>
                    </w:rPr>
                  </w:pPr>
                  <w:r>
                    <w:rPr>
                      <w:rFonts w:hint="eastAsia"/>
                      <w:szCs w:val="21"/>
                    </w:rPr>
                    <w:t>/</w:t>
                  </w:r>
                </w:p>
              </w:tc>
              <w:tc>
                <w:tcPr>
                  <w:tcW w:w="504" w:type="pct"/>
                  <w:vAlign w:val="center"/>
                </w:tcPr>
                <w:p>
                  <w:pPr>
                    <w:adjustRightInd w:val="0"/>
                    <w:snapToGrid w:val="0"/>
                    <w:jc w:val="center"/>
                    <w:rPr>
                      <w:rFonts w:hint="default" w:eastAsia="宋体"/>
                      <w:szCs w:val="21"/>
                      <w:lang w:val="en-US" w:eastAsia="zh-CN"/>
                    </w:rPr>
                  </w:pPr>
                  <w:r>
                    <w:rPr>
                      <w:rFonts w:hint="eastAsia"/>
                      <w:szCs w:val="21"/>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pct"/>
                  <w:gridSpan w:val="2"/>
                  <w:vAlign w:val="center"/>
                </w:tcPr>
                <w:p>
                  <w:pPr>
                    <w:adjustRightInd w:val="0"/>
                    <w:snapToGrid w:val="0"/>
                    <w:jc w:val="center"/>
                    <w:rPr>
                      <w:szCs w:val="21"/>
                    </w:rPr>
                  </w:pPr>
                  <w:r>
                    <w:rPr>
                      <w:rFonts w:hint="eastAsia"/>
                      <w:szCs w:val="21"/>
                    </w:rPr>
                    <w:t>合计</w:t>
                  </w:r>
                </w:p>
              </w:tc>
              <w:tc>
                <w:tcPr>
                  <w:tcW w:w="582" w:type="pct"/>
                  <w:vAlign w:val="center"/>
                </w:tcPr>
                <w:p>
                  <w:pPr>
                    <w:adjustRightInd w:val="0"/>
                    <w:snapToGrid w:val="0"/>
                    <w:jc w:val="center"/>
                    <w:rPr>
                      <w:szCs w:val="21"/>
                    </w:rPr>
                  </w:pPr>
                  <w:r>
                    <w:rPr>
                      <w:rFonts w:hint="eastAsia"/>
                      <w:szCs w:val="21"/>
                    </w:rPr>
                    <w:t>81.6</w:t>
                  </w:r>
                </w:p>
              </w:tc>
              <w:tc>
                <w:tcPr>
                  <w:tcW w:w="551" w:type="pct"/>
                  <w:vAlign w:val="center"/>
                </w:tcPr>
                <w:p>
                  <w:pPr>
                    <w:adjustRightInd w:val="0"/>
                    <w:snapToGrid w:val="0"/>
                    <w:jc w:val="center"/>
                    <w:rPr>
                      <w:szCs w:val="21"/>
                    </w:rPr>
                  </w:pPr>
                  <w:r>
                    <w:rPr>
                      <w:rFonts w:hint="eastAsia"/>
                      <w:szCs w:val="21"/>
                      <w:lang w:val="en-US" w:eastAsia="zh-CN"/>
                    </w:rPr>
                    <w:t>48.25</w:t>
                  </w:r>
                </w:p>
              </w:tc>
              <w:tc>
                <w:tcPr>
                  <w:tcW w:w="537" w:type="pct"/>
                  <w:vAlign w:val="center"/>
                </w:tcPr>
                <w:p>
                  <w:pPr>
                    <w:adjustRightInd w:val="0"/>
                    <w:snapToGrid w:val="0"/>
                    <w:jc w:val="center"/>
                    <w:rPr>
                      <w:szCs w:val="21"/>
                    </w:rPr>
                  </w:pPr>
                  <w:r>
                    <w:rPr>
                      <w:rFonts w:hint="eastAsia"/>
                      <w:szCs w:val="21"/>
                      <w:lang w:val="en-US" w:eastAsia="zh-CN"/>
                    </w:rPr>
                    <w:t>54.39</w:t>
                  </w:r>
                </w:p>
              </w:tc>
              <w:tc>
                <w:tcPr>
                  <w:tcW w:w="518" w:type="pct"/>
                  <w:vAlign w:val="center"/>
                </w:tcPr>
                <w:p>
                  <w:pPr>
                    <w:adjustRightInd w:val="0"/>
                    <w:snapToGrid w:val="0"/>
                    <w:jc w:val="center"/>
                    <w:rPr>
                      <w:szCs w:val="21"/>
                    </w:rPr>
                  </w:pPr>
                  <w:r>
                    <w:rPr>
                      <w:rFonts w:hint="eastAsia"/>
                      <w:szCs w:val="21"/>
                      <w:lang w:val="en-US" w:eastAsia="zh-CN"/>
                    </w:rPr>
                    <w:t>5.36</w:t>
                  </w:r>
                </w:p>
              </w:tc>
              <w:tc>
                <w:tcPr>
                  <w:tcW w:w="633" w:type="pct"/>
                  <w:vAlign w:val="center"/>
                </w:tcPr>
                <w:p>
                  <w:pPr>
                    <w:adjustRightInd w:val="0"/>
                    <w:snapToGrid w:val="0"/>
                    <w:jc w:val="center"/>
                    <w:rPr>
                      <w:szCs w:val="21"/>
                    </w:rPr>
                  </w:pPr>
                  <w:r>
                    <w:rPr>
                      <w:rFonts w:hint="eastAsia"/>
                      <w:szCs w:val="21"/>
                      <w:lang w:val="en-US" w:eastAsia="zh-CN"/>
                    </w:rPr>
                    <w:t>40.2</w:t>
                  </w:r>
                </w:p>
              </w:tc>
              <w:tc>
                <w:tcPr>
                  <w:tcW w:w="504" w:type="pct"/>
                  <w:vAlign w:val="center"/>
                </w:tcPr>
                <w:p>
                  <w:pPr>
                    <w:adjustRightInd w:val="0"/>
                    <w:snapToGrid w:val="0"/>
                    <w:jc w:val="center"/>
                    <w:rPr>
                      <w:szCs w:val="21"/>
                    </w:rPr>
                  </w:pPr>
                  <w:r>
                    <w:rPr>
                      <w:rFonts w:hint="eastAsia"/>
                      <w:szCs w:val="21"/>
                      <w:lang w:val="en-US" w:eastAsia="zh-CN"/>
                    </w:rPr>
                    <w:t>0.16</w:t>
                  </w:r>
                </w:p>
              </w:tc>
            </w:tr>
          </w:tbl>
          <w:p>
            <w:pPr>
              <w:adjustRightInd w:val="0"/>
              <w:snapToGrid w:val="0"/>
              <w:jc w:val="center"/>
              <w:rPr>
                <w:sz w:val="24"/>
              </w:rPr>
            </w:pPr>
            <w:r>
              <w:rPr>
                <w:rFonts w:hint="eastAsia"/>
                <w:b/>
                <w:szCs w:val="21"/>
              </w:rPr>
              <w:t>表4-</w:t>
            </w:r>
            <w:r>
              <w:rPr>
                <w:rFonts w:hint="eastAsia"/>
                <w:b/>
                <w:szCs w:val="21"/>
                <w:lang w:val="en-US" w:eastAsia="zh-CN"/>
              </w:rPr>
              <w:t>8  03#地块</w:t>
            </w:r>
            <w:r>
              <w:rPr>
                <w:rFonts w:hint="eastAsia"/>
                <w:b/>
                <w:szCs w:val="21"/>
              </w:rPr>
              <w:t>生活污水、车库地面冲洗废水污染物产生量估算</w:t>
            </w:r>
          </w:p>
          <w:tbl>
            <w:tblPr>
              <w:tblStyle w:val="1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198"/>
              <w:gridCol w:w="1002"/>
              <w:gridCol w:w="950"/>
              <w:gridCol w:w="954"/>
              <w:gridCol w:w="891"/>
              <w:gridCol w:w="1077"/>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672" w:type="pct"/>
                  <w:gridSpan w:val="2"/>
                  <w:vAlign w:val="center"/>
                </w:tcPr>
                <w:p>
                  <w:pPr>
                    <w:adjustRightInd w:val="0"/>
                    <w:snapToGrid w:val="0"/>
                    <w:jc w:val="center"/>
                    <w:rPr>
                      <w:szCs w:val="21"/>
                    </w:rPr>
                  </w:pPr>
                  <w:r>
                    <w:rPr>
                      <w:rFonts w:hint="eastAsia"/>
                      <w:szCs w:val="21"/>
                    </w:rPr>
                    <w:t>污染物</w:t>
                  </w:r>
                </w:p>
              </w:tc>
              <w:tc>
                <w:tcPr>
                  <w:tcW w:w="579" w:type="pct"/>
                  <w:vAlign w:val="center"/>
                </w:tcPr>
                <w:p>
                  <w:pPr>
                    <w:adjustRightInd w:val="0"/>
                    <w:snapToGrid w:val="0"/>
                    <w:jc w:val="center"/>
                    <w:rPr>
                      <w:szCs w:val="21"/>
                    </w:rPr>
                  </w:pPr>
                  <w:r>
                    <w:rPr>
                      <w:rFonts w:hint="eastAsia"/>
                      <w:szCs w:val="21"/>
                    </w:rPr>
                    <w:t>COD</w:t>
                  </w:r>
                </w:p>
              </w:tc>
              <w:tc>
                <w:tcPr>
                  <w:tcW w:w="549" w:type="pct"/>
                  <w:vAlign w:val="center"/>
                </w:tcPr>
                <w:p>
                  <w:pPr>
                    <w:adjustRightInd w:val="0"/>
                    <w:snapToGrid w:val="0"/>
                    <w:jc w:val="center"/>
                    <w:rPr>
                      <w:szCs w:val="21"/>
                    </w:rPr>
                  </w:pPr>
                  <w:r>
                    <w:rPr>
                      <w:szCs w:val="21"/>
                    </w:rPr>
                    <w:t>BOD</w:t>
                  </w:r>
                  <w:r>
                    <w:rPr>
                      <w:szCs w:val="21"/>
                      <w:vertAlign w:val="subscript"/>
                    </w:rPr>
                    <w:t>5</w:t>
                  </w:r>
                </w:p>
              </w:tc>
              <w:tc>
                <w:tcPr>
                  <w:tcW w:w="551" w:type="pct"/>
                  <w:vAlign w:val="center"/>
                </w:tcPr>
                <w:p>
                  <w:pPr>
                    <w:adjustRightInd w:val="0"/>
                    <w:snapToGrid w:val="0"/>
                    <w:jc w:val="center"/>
                    <w:rPr>
                      <w:szCs w:val="21"/>
                    </w:rPr>
                  </w:pPr>
                  <w:r>
                    <w:rPr>
                      <w:rFonts w:hint="eastAsia"/>
                      <w:szCs w:val="21"/>
                    </w:rPr>
                    <w:t>SS</w:t>
                  </w:r>
                </w:p>
              </w:tc>
              <w:tc>
                <w:tcPr>
                  <w:tcW w:w="515" w:type="pct"/>
                  <w:vAlign w:val="center"/>
                </w:tcPr>
                <w:p>
                  <w:pPr>
                    <w:adjustRightInd w:val="0"/>
                    <w:snapToGrid w:val="0"/>
                    <w:jc w:val="center"/>
                    <w:rPr>
                      <w:szCs w:val="21"/>
                    </w:rPr>
                  </w:pPr>
                  <w:r>
                    <w:rPr>
                      <w:rFonts w:hint="eastAsia"/>
                      <w:szCs w:val="21"/>
                    </w:rPr>
                    <w:t>氨氮</w:t>
                  </w:r>
                </w:p>
              </w:tc>
              <w:tc>
                <w:tcPr>
                  <w:tcW w:w="622" w:type="pct"/>
                  <w:vAlign w:val="center"/>
                </w:tcPr>
                <w:p>
                  <w:pPr>
                    <w:adjustRightInd w:val="0"/>
                    <w:snapToGrid w:val="0"/>
                    <w:jc w:val="center"/>
                    <w:rPr>
                      <w:szCs w:val="21"/>
                    </w:rPr>
                  </w:pPr>
                  <w:r>
                    <w:rPr>
                      <w:rFonts w:hint="eastAsia"/>
                      <w:szCs w:val="21"/>
                    </w:rPr>
                    <w:t>动植物油</w:t>
                  </w:r>
                </w:p>
              </w:tc>
              <w:tc>
                <w:tcPr>
                  <w:tcW w:w="508" w:type="pct"/>
                  <w:vAlign w:val="center"/>
                </w:tcPr>
                <w:p>
                  <w:pPr>
                    <w:adjustRightInd w:val="0"/>
                    <w:snapToGrid w:val="0"/>
                    <w:jc w:val="center"/>
                    <w:rPr>
                      <w:szCs w:val="21"/>
                    </w:rPr>
                  </w:pPr>
                  <w:r>
                    <w:rPr>
                      <w:rFonts w:hint="eastAsia"/>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restart"/>
                  <w:vAlign w:val="center"/>
                </w:tcPr>
                <w:p>
                  <w:pPr>
                    <w:adjustRightInd w:val="0"/>
                    <w:snapToGrid w:val="0"/>
                    <w:jc w:val="center"/>
                    <w:rPr>
                      <w:szCs w:val="21"/>
                    </w:rPr>
                  </w:pPr>
                  <w:r>
                    <w:rPr>
                      <w:rFonts w:hint="eastAsia"/>
                      <w:szCs w:val="21"/>
                    </w:rPr>
                    <w:t>生活污水203393.085</w:t>
                  </w:r>
                  <w:r>
                    <w:rPr>
                      <w:szCs w:val="21"/>
                    </w:rPr>
                    <w:t>m</w:t>
                  </w:r>
                  <w:r>
                    <w:rPr>
                      <w:szCs w:val="21"/>
                      <w:vertAlign w:val="superscript"/>
                    </w:rPr>
                    <w:t>3</w:t>
                  </w:r>
                  <w:r>
                    <w:rPr>
                      <w:szCs w:val="21"/>
                    </w:rPr>
                    <w:t>/</w:t>
                  </w:r>
                  <w:r>
                    <w:rPr>
                      <w:rFonts w:hint="eastAsia"/>
                      <w:szCs w:val="21"/>
                    </w:rPr>
                    <w:t>a</w:t>
                  </w:r>
                </w:p>
              </w:tc>
              <w:tc>
                <w:tcPr>
                  <w:tcW w:w="692"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79" w:type="pct"/>
                  <w:vAlign w:val="center"/>
                </w:tcPr>
                <w:p>
                  <w:pPr>
                    <w:adjustRightInd w:val="0"/>
                    <w:snapToGrid w:val="0"/>
                    <w:jc w:val="center"/>
                    <w:rPr>
                      <w:szCs w:val="21"/>
                    </w:rPr>
                  </w:pPr>
                  <w:r>
                    <w:rPr>
                      <w:rFonts w:hint="eastAsia"/>
                      <w:szCs w:val="21"/>
                    </w:rPr>
                    <w:t>300</w:t>
                  </w:r>
                </w:p>
              </w:tc>
              <w:tc>
                <w:tcPr>
                  <w:tcW w:w="549" w:type="pct"/>
                  <w:vAlign w:val="center"/>
                </w:tcPr>
                <w:p>
                  <w:pPr>
                    <w:adjustRightInd w:val="0"/>
                    <w:snapToGrid w:val="0"/>
                    <w:jc w:val="center"/>
                    <w:rPr>
                      <w:szCs w:val="21"/>
                    </w:rPr>
                  </w:pPr>
                  <w:r>
                    <w:rPr>
                      <w:rFonts w:hint="eastAsia"/>
                      <w:szCs w:val="21"/>
                    </w:rPr>
                    <w:t>180</w:t>
                  </w:r>
                </w:p>
              </w:tc>
              <w:tc>
                <w:tcPr>
                  <w:tcW w:w="551" w:type="pct"/>
                  <w:vAlign w:val="center"/>
                </w:tcPr>
                <w:p>
                  <w:pPr>
                    <w:adjustRightInd w:val="0"/>
                    <w:snapToGrid w:val="0"/>
                    <w:jc w:val="center"/>
                    <w:rPr>
                      <w:szCs w:val="21"/>
                    </w:rPr>
                  </w:pPr>
                  <w:r>
                    <w:rPr>
                      <w:rFonts w:hint="eastAsia"/>
                      <w:szCs w:val="21"/>
                    </w:rPr>
                    <w:t>200</w:t>
                  </w:r>
                </w:p>
              </w:tc>
              <w:tc>
                <w:tcPr>
                  <w:tcW w:w="515" w:type="pct"/>
                  <w:vAlign w:val="center"/>
                </w:tcPr>
                <w:p>
                  <w:pPr>
                    <w:adjustRightInd w:val="0"/>
                    <w:snapToGrid w:val="0"/>
                    <w:jc w:val="center"/>
                    <w:rPr>
                      <w:szCs w:val="21"/>
                    </w:rPr>
                  </w:pPr>
                  <w:r>
                    <w:rPr>
                      <w:rFonts w:hint="eastAsia"/>
                      <w:szCs w:val="21"/>
                    </w:rPr>
                    <w:t>20</w:t>
                  </w:r>
                </w:p>
              </w:tc>
              <w:tc>
                <w:tcPr>
                  <w:tcW w:w="622" w:type="pct"/>
                  <w:vAlign w:val="center"/>
                </w:tcPr>
                <w:p>
                  <w:pPr>
                    <w:adjustRightInd w:val="0"/>
                    <w:snapToGrid w:val="0"/>
                    <w:jc w:val="center"/>
                    <w:rPr>
                      <w:szCs w:val="21"/>
                    </w:rPr>
                  </w:pPr>
                  <w:r>
                    <w:rPr>
                      <w:rFonts w:hint="eastAsia"/>
                      <w:szCs w:val="21"/>
                    </w:rPr>
                    <w:t>150</w:t>
                  </w:r>
                </w:p>
              </w:tc>
              <w:tc>
                <w:tcPr>
                  <w:tcW w:w="508"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continue"/>
                  <w:vAlign w:val="center"/>
                </w:tcPr>
                <w:p>
                  <w:pPr>
                    <w:adjustRightInd w:val="0"/>
                    <w:snapToGrid w:val="0"/>
                    <w:jc w:val="center"/>
                    <w:rPr>
                      <w:szCs w:val="21"/>
                    </w:rPr>
                  </w:pPr>
                </w:p>
              </w:tc>
              <w:tc>
                <w:tcPr>
                  <w:tcW w:w="692"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79" w:type="pct"/>
                  <w:vAlign w:val="center"/>
                </w:tcPr>
                <w:p>
                  <w:pPr>
                    <w:adjustRightInd w:val="0"/>
                    <w:snapToGrid w:val="0"/>
                    <w:jc w:val="center"/>
                    <w:rPr>
                      <w:rFonts w:hint="default" w:eastAsia="宋体"/>
                      <w:szCs w:val="21"/>
                      <w:lang w:val="en-US" w:eastAsia="zh-CN"/>
                    </w:rPr>
                  </w:pPr>
                  <w:r>
                    <w:rPr>
                      <w:rFonts w:hint="eastAsia"/>
                      <w:szCs w:val="21"/>
                      <w:lang w:val="en-US" w:eastAsia="zh-CN"/>
                    </w:rPr>
                    <w:t>61.02</w:t>
                  </w:r>
                </w:p>
              </w:tc>
              <w:tc>
                <w:tcPr>
                  <w:tcW w:w="549" w:type="pct"/>
                  <w:vAlign w:val="center"/>
                </w:tcPr>
                <w:p>
                  <w:pPr>
                    <w:adjustRightInd w:val="0"/>
                    <w:snapToGrid w:val="0"/>
                    <w:jc w:val="center"/>
                    <w:rPr>
                      <w:rFonts w:hint="default" w:eastAsia="宋体"/>
                      <w:szCs w:val="21"/>
                      <w:lang w:val="en-US" w:eastAsia="zh-CN"/>
                    </w:rPr>
                  </w:pPr>
                  <w:r>
                    <w:rPr>
                      <w:rFonts w:hint="eastAsia"/>
                      <w:szCs w:val="21"/>
                      <w:lang w:val="en-US" w:eastAsia="zh-CN"/>
                    </w:rPr>
                    <w:t>36.61</w:t>
                  </w:r>
                </w:p>
              </w:tc>
              <w:tc>
                <w:tcPr>
                  <w:tcW w:w="551" w:type="pct"/>
                  <w:vAlign w:val="center"/>
                </w:tcPr>
                <w:p>
                  <w:pPr>
                    <w:adjustRightInd w:val="0"/>
                    <w:snapToGrid w:val="0"/>
                    <w:jc w:val="center"/>
                    <w:rPr>
                      <w:rFonts w:hint="default" w:eastAsia="宋体"/>
                      <w:szCs w:val="21"/>
                      <w:lang w:val="en-US" w:eastAsia="zh-CN"/>
                    </w:rPr>
                  </w:pPr>
                  <w:r>
                    <w:rPr>
                      <w:rFonts w:hint="eastAsia"/>
                      <w:szCs w:val="21"/>
                      <w:lang w:val="en-US" w:eastAsia="zh-CN"/>
                    </w:rPr>
                    <w:t>40.68</w:t>
                  </w:r>
                </w:p>
              </w:tc>
              <w:tc>
                <w:tcPr>
                  <w:tcW w:w="515" w:type="pct"/>
                  <w:vAlign w:val="center"/>
                </w:tcPr>
                <w:p>
                  <w:pPr>
                    <w:adjustRightInd w:val="0"/>
                    <w:snapToGrid w:val="0"/>
                    <w:jc w:val="center"/>
                    <w:rPr>
                      <w:rFonts w:hint="default" w:eastAsia="宋体"/>
                      <w:szCs w:val="21"/>
                      <w:lang w:val="en-US" w:eastAsia="zh-CN"/>
                    </w:rPr>
                  </w:pPr>
                  <w:r>
                    <w:rPr>
                      <w:rFonts w:hint="eastAsia"/>
                      <w:szCs w:val="21"/>
                      <w:lang w:val="en-US" w:eastAsia="zh-CN"/>
                    </w:rPr>
                    <w:t>4.07</w:t>
                  </w:r>
                </w:p>
              </w:tc>
              <w:tc>
                <w:tcPr>
                  <w:tcW w:w="622" w:type="pct"/>
                  <w:vAlign w:val="center"/>
                </w:tcPr>
                <w:p>
                  <w:pPr>
                    <w:adjustRightInd w:val="0"/>
                    <w:snapToGrid w:val="0"/>
                    <w:jc w:val="center"/>
                    <w:rPr>
                      <w:rFonts w:hint="default" w:eastAsia="宋体"/>
                      <w:szCs w:val="21"/>
                      <w:lang w:val="en-US" w:eastAsia="zh-CN"/>
                    </w:rPr>
                  </w:pPr>
                  <w:r>
                    <w:rPr>
                      <w:rFonts w:hint="eastAsia"/>
                      <w:szCs w:val="21"/>
                      <w:lang w:val="en-US" w:eastAsia="zh-CN"/>
                    </w:rPr>
                    <w:t>30.5</w:t>
                  </w:r>
                </w:p>
              </w:tc>
              <w:tc>
                <w:tcPr>
                  <w:tcW w:w="508"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restart"/>
                  <w:vAlign w:val="center"/>
                </w:tcPr>
                <w:p>
                  <w:pPr>
                    <w:adjustRightInd w:val="0"/>
                    <w:snapToGrid w:val="0"/>
                    <w:jc w:val="center"/>
                    <w:rPr>
                      <w:szCs w:val="21"/>
                    </w:rPr>
                  </w:pPr>
                  <w:r>
                    <w:rPr>
                      <w:rFonts w:hint="eastAsia"/>
                      <w:szCs w:val="21"/>
                    </w:rPr>
                    <w:t>车库地面冲洗废水</w:t>
                  </w:r>
                </w:p>
                <w:p>
                  <w:pPr>
                    <w:adjustRightInd w:val="0"/>
                    <w:snapToGrid w:val="0"/>
                    <w:jc w:val="center"/>
                    <w:rPr>
                      <w:szCs w:val="21"/>
                    </w:rPr>
                  </w:pPr>
                  <w:r>
                    <w:rPr>
                      <w:rFonts w:hint="eastAsia"/>
                      <w:bCs/>
                      <w:kern w:val="24"/>
                      <w:sz w:val="21"/>
                      <w:szCs w:val="21"/>
                    </w:rPr>
                    <w:t>5336.181</w:t>
                  </w:r>
                  <w:r>
                    <w:rPr>
                      <w:szCs w:val="21"/>
                    </w:rPr>
                    <w:t>m</w:t>
                  </w:r>
                  <w:r>
                    <w:rPr>
                      <w:szCs w:val="21"/>
                      <w:vertAlign w:val="superscript"/>
                    </w:rPr>
                    <w:t>3</w:t>
                  </w:r>
                  <w:r>
                    <w:rPr>
                      <w:szCs w:val="21"/>
                    </w:rPr>
                    <w:t>/</w:t>
                  </w:r>
                  <w:r>
                    <w:rPr>
                      <w:rFonts w:hint="eastAsia"/>
                      <w:szCs w:val="21"/>
                    </w:rPr>
                    <w:t>a</w:t>
                  </w:r>
                </w:p>
              </w:tc>
              <w:tc>
                <w:tcPr>
                  <w:tcW w:w="692"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79" w:type="pct"/>
                  <w:vAlign w:val="center"/>
                </w:tcPr>
                <w:p>
                  <w:pPr>
                    <w:adjustRightInd w:val="0"/>
                    <w:snapToGrid w:val="0"/>
                    <w:jc w:val="center"/>
                    <w:rPr>
                      <w:szCs w:val="21"/>
                    </w:rPr>
                  </w:pPr>
                  <w:r>
                    <w:rPr>
                      <w:rFonts w:hint="eastAsia"/>
                      <w:szCs w:val="21"/>
                    </w:rPr>
                    <w:t>150</w:t>
                  </w:r>
                </w:p>
              </w:tc>
              <w:tc>
                <w:tcPr>
                  <w:tcW w:w="549" w:type="pct"/>
                  <w:vAlign w:val="center"/>
                </w:tcPr>
                <w:p>
                  <w:pPr>
                    <w:adjustRightInd w:val="0"/>
                    <w:snapToGrid w:val="0"/>
                    <w:jc w:val="center"/>
                    <w:rPr>
                      <w:szCs w:val="21"/>
                    </w:rPr>
                  </w:pPr>
                  <w:r>
                    <w:rPr>
                      <w:rFonts w:hint="eastAsia"/>
                      <w:szCs w:val="21"/>
                    </w:rPr>
                    <w:t>/</w:t>
                  </w:r>
                </w:p>
              </w:tc>
              <w:tc>
                <w:tcPr>
                  <w:tcW w:w="551" w:type="pct"/>
                  <w:vAlign w:val="center"/>
                </w:tcPr>
                <w:p>
                  <w:pPr>
                    <w:adjustRightInd w:val="0"/>
                    <w:snapToGrid w:val="0"/>
                    <w:jc w:val="center"/>
                    <w:rPr>
                      <w:szCs w:val="21"/>
                    </w:rPr>
                  </w:pPr>
                  <w:r>
                    <w:rPr>
                      <w:rFonts w:hint="eastAsia"/>
                      <w:szCs w:val="21"/>
                    </w:rPr>
                    <w:t>100</w:t>
                  </w:r>
                </w:p>
              </w:tc>
              <w:tc>
                <w:tcPr>
                  <w:tcW w:w="515" w:type="pct"/>
                  <w:vAlign w:val="center"/>
                </w:tcPr>
                <w:p>
                  <w:pPr>
                    <w:adjustRightInd w:val="0"/>
                    <w:snapToGrid w:val="0"/>
                    <w:jc w:val="center"/>
                    <w:rPr>
                      <w:szCs w:val="21"/>
                    </w:rPr>
                  </w:pPr>
                  <w:r>
                    <w:rPr>
                      <w:rFonts w:hint="eastAsia"/>
                      <w:szCs w:val="21"/>
                    </w:rPr>
                    <w:t>/</w:t>
                  </w:r>
                </w:p>
              </w:tc>
              <w:tc>
                <w:tcPr>
                  <w:tcW w:w="622" w:type="pct"/>
                  <w:vAlign w:val="center"/>
                </w:tcPr>
                <w:p>
                  <w:pPr>
                    <w:adjustRightInd w:val="0"/>
                    <w:snapToGrid w:val="0"/>
                    <w:jc w:val="center"/>
                    <w:rPr>
                      <w:szCs w:val="21"/>
                    </w:rPr>
                  </w:pPr>
                  <w:r>
                    <w:rPr>
                      <w:rFonts w:hint="eastAsia"/>
                      <w:szCs w:val="21"/>
                    </w:rPr>
                    <w:t>/</w:t>
                  </w:r>
                </w:p>
              </w:tc>
              <w:tc>
                <w:tcPr>
                  <w:tcW w:w="508"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pct"/>
                  <w:vMerge w:val="continue"/>
                  <w:vAlign w:val="center"/>
                </w:tcPr>
                <w:p>
                  <w:pPr>
                    <w:adjustRightInd w:val="0"/>
                    <w:snapToGrid w:val="0"/>
                    <w:jc w:val="center"/>
                    <w:rPr>
                      <w:szCs w:val="21"/>
                    </w:rPr>
                  </w:pPr>
                </w:p>
              </w:tc>
              <w:tc>
                <w:tcPr>
                  <w:tcW w:w="692"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79" w:type="pct"/>
                  <w:vAlign w:val="center"/>
                </w:tcPr>
                <w:p>
                  <w:pPr>
                    <w:adjustRightInd w:val="0"/>
                    <w:snapToGrid w:val="0"/>
                    <w:jc w:val="center"/>
                    <w:rPr>
                      <w:rFonts w:hint="default" w:eastAsia="宋体"/>
                      <w:szCs w:val="21"/>
                      <w:lang w:val="en-US" w:eastAsia="zh-CN"/>
                    </w:rPr>
                  </w:pPr>
                  <w:r>
                    <w:rPr>
                      <w:rFonts w:hint="eastAsia"/>
                      <w:szCs w:val="21"/>
                      <w:lang w:val="en-US" w:eastAsia="zh-CN"/>
                    </w:rPr>
                    <w:t>0.8</w:t>
                  </w:r>
                </w:p>
              </w:tc>
              <w:tc>
                <w:tcPr>
                  <w:tcW w:w="549" w:type="pct"/>
                  <w:vAlign w:val="center"/>
                </w:tcPr>
                <w:p>
                  <w:pPr>
                    <w:adjustRightInd w:val="0"/>
                    <w:snapToGrid w:val="0"/>
                    <w:jc w:val="center"/>
                    <w:rPr>
                      <w:szCs w:val="21"/>
                    </w:rPr>
                  </w:pPr>
                  <w:r>
                    <w:rPr>
                      <w:rFonts w:hint="eastAsia"/>
                      <w:szCs w:val="21"/>
                    </w:rPr>
                    <w:t>/</w:t>
                  </w:r>
                </w:p>
              </w:tc>
              <w:tc>
                <w:tcPr>
                  <w:tcW w:w="551" w:type="pct"/>
                  <w:vAlign w:val="center"/>
                </w:tcPr>
                <w:p>
                  <w:pPr>
                    <w:adjustRightInd w:val="0"/>
                    <w:snapToGrid w:val="0"/>
                    <w:jc w:val="center"/>
                    <w:rPr>
                      <w:rFonts w:hint="default" w:eastAsia="宋体"/>
                      <w:szCs w:val="21"/>
                      <w:lang w:val="en-US" w:eastAsia="zh-CN"/>
                    </w:rPr>
                  </w:pPr>
                  <w:r>
                    <w:rPr>
                      <w:rFonts w:hint="eastAsia"/>
                      <w:szCs w:val="21"/>
                      <w:lang w:val="en-US" w:eastAsia="zh-CN"/>
                    </w:rPr>
                    <w:t>0.53</w:t>
                  </w:r>
                </w:p>
              </w:tc>
              <w:tc>
                <w:tcPr>
                  <w:tcW w:w="515" w:type="pct"/>
                  <w:vAlign w:val="center"/>
                </w:tcPr>
                <w:p>
                  <w:pPr>
                    <w:adjustRightInd w:val="0"/>
                    <w:snapToGrid w:val="0"/>
                    <w:jc w:val="center"/>
                    <w:rPr>
                      <w:szCs w:val="21"/>
                    </w:rPr>
                  </w:pPr>
                  <w:r>
                    <w:rPr>
                      <w:rFonts w:hint="eastAsia"/>
                      <w:szCs w:val="21"/>
                    </w:rPr>
                    <w:t>/</w:t>
                  </w:r>
                </w:p>
              </w:tc>
              <w:tc>
                <w:tcPr>
                  <w:tcW w:w="622" w:type="pct"/>
                  <w:vAlign w:val="center"/>
                </w:tcPr>
                <w:p>
                  <w:pPr>
                    <w:adjustRightInd w:val="0"/>
                    <w:snapToGrid w:val="0"/>
                    <w:jc w:val="center"/>
                    <w:rPr>
                      <w:szCs w:val="21"/>
                    </w:rPr>
                  </w:pPr>
                  <w:r>
                    <w:rPr>
                      <w:rFonts w:hint="eastAsia"/>
                      <w:szCs w:val="21"/>
                    </w:rPr>
                    <w:t>/</w:t>
                  </w:r>
                </w:p>
              </w:tc>
              <w:tc>
                <w:tcPr>
                  <w:tcW w:w="508" w:type="pct"/>
                  <w:vAlign w:val="center"/>
                </w:tcPr>
                <w:p>
                  <w:pPr>
                    <w:adjustRightInd w:val="0"/>
                    <w:snapToGrid w:val="0"/>
                    <w:jc w:val="center"/>
                    <w:rPr>
                      <w:rFonts w:hint="default" w:eastAsia="宋体"/>
                      <w:szCs w:val="21"/>
                      <w:lang w:val="en-US" w:eastAsia="zh-CN"/>
                    </w:rPr>
                  </w:pPr>
                  <w:r>
                    <w:rPr>
                      <w:rFonts w:hint="eastAsia"/>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2" w:type="pct"/>
                  <w:gridSpan w:val="2"/>
                  <w:vAlign w:val="center"/>
                </w:tcPr>
                <w:p>
                  <w:pPr>
                    <w:adjustRightInd w:val="0"/>
                    <w:snapToGrid w:val="0"/>
                    <w:jc w:val="center"/>
                    <w:rPr>
                      <w:szCs w:val="21"/>
                    </w:rPr>
                  </w:pPr>
                  <w:r>
                    <w:rPr>
                      <w:rFonts w:hint="eastAsia"/>
                      <w:szCs w:val="21"/>
                    </w:rPr>
                    <w:t>合计</w:t>
                  </w:r>
                </w:p>
              </w:tc>
              <w:tc>
                <w:tcPr>
                  <w:tcW w:w="579" w:type="pct"/>
                  <w:vAlign w:val="center"/>
                </w:tcPr>
                <w:p>
                  <w:pPr>
                    <w:adjustRightInd w:val="0"/>
                    <w:snapToGrid w:val="0"/>
                    <w:jc w:val="center"/>
                    <w:rPr>
                      <w:rFonts w:hint="default" w:eastAsia="宋体"/>
                      <w:szCs w:val="21"/>
                      <w:lang w:val="en-US" w:eastAsia="zh-CN"/>
                    </w:rPr>
                  </w:pPr>
                  <w:r>
                    <w:rPr>
                      <w:rFonts w:hint="eastAsia"/>
                      <w:szCs w:val="21"/>
                      <w:lang w:val="en-US" w:eastAsia="zh-CN"/>
                    </w:rPr>
                    <w:t>61.82</w:t>
                  </w:r>
                </w:p>
              </w:tc>
              <w:tc>
                <w:tcPr>
                  <w:tcW w:w="549" w:type="pct"/>
                  <w:vAlign w:val="center"/>
                </w:tcPr>
                <w:p>
                  <w:pPr>
                    <w:adjustRightInd w:val="0"/>
                    <w:snapToGrid w:val="0"/>
                    <w:jc w:val="center"/>
                    <w:rPr>
                      <w:rFonts w:hint="default" w:eastAsia="宋体"/>
                      <w:szCs w:val="21"/>
                      <w:lang w:val="en-US" w:eastAsia="zh-CN"/>
                    </w:rPr>
                  </w:pPr>
                  <w:r>
                    <w:rPr>
                      <w:rFonts w:hint="eastAsia"/>
                      <w:szCs w:val="21"/>
                      <w:lang w:val="en-US" w:eastAsia="zh-CN"/>
                    </w:rPr>
                    <w:t>36.61</w:t>
                  </w:r>
                </w:p>
              </w:tc>
              <w:tc>
                <w:tcPr>
                  <w:tcW w:w="551" w:type="pct"/>
                  <w:vAlign w:val="center"/>
                </w:tcPr>
                <w:p>
                  <w:pPr>
                    <w:adjustRightInd w:val="0"/>
                    <w:snapToGrid w:val="0"/>
                    <w:jc w:val="center"/>
                    <w:rPr>
                      <w:szCs w:val="21"/>
                    </w:rPr>
                  </w:pPr>
                  <w:r>
                    <w:rPr>
                      <w:rFonts w:hint="eastAsia"/>
                      <w:szCs w:val="21"/>
                    </w:rPr>
                    <w:t>41.21</w:t>
                  </w:r>
                </w:p>
              </w:tc>
              <w:tc>
                <w:tcPr>
                  <w:tcW w:w="515" w:type="pct"/>
                  <w:vAlign w:val="center"/>
                </w:tcPr>
                <w:p>
                  <w:pPr>
                    <w:adjustRightInd w:val="0"/>
                    <w:snapToGrid w:val="0"/>
                    <w:jc w:val="center"/>
                    <w:rPr>
                      <w:rFonts w:hint="default" w:eastAsia="宋体"/>
                      <w:szCs w:val="21"/>
                      <w:lang w:val="en-US" w:eastAsia="zh-CN"/>
                    </w:rPr>
                  </w:pPr>
                  <w:r>
                    <w:rPr>
                      <w:rFonts w:hint="eastAsia"/>
                      <w:szCs w:val="21"/>
                      <w:lang w:val="en-US" w:eastAsia="zh-CN"/>
                    </w:rPr>
                    <w:t>4.07</w:t>
                  </w:r>
                </w:p>
              </w:tc>
              <w:tc>
                <w:tcPr>
                  <w:tcW w:w="622" w:type="pct"/>
                  <w:vAlign w:val="center"/>
                </w:tcPr>
                <w:p>
                  <w:pPr>
                    <w:adjustRightInd w:val="0"/>
                    <w:snapToGrid w:val="0"/>
                    <w:jc w:val="center"/>
                    <w:rPr>
                      <w:rFonts w:hint="default" w:eastAsia="宋体"/>
                      <w:szCs w:val="21"/>
                      <w:lang w:val="en-US" w:eastAsia="zh-CN"/>
                    </w:rPr>
                  </w:pPr>
                  <w:r>
                    <w:rPr>
                      <w:rFonts w:hint="eastAsia"/>
                      <w:szCs w:val="21"/>
                      <w:lang w:val="en-US" w:eastAsia="zh-CN"/>
                    </w:rPr>
                    <w:t>30.5</w:t>
                  </w:r>
                </w:p>
              </w:tc>
              <w:tc>
                <w:tcPr>
                  <w:tcW w:w="508" w:type="pct"/>
                  <w:vAlign w:val="center"/>
                </w:tcPr>
                <w:p>
                  <w:pPr>
                    <w:adjustRightInd w:val="0"/>
                    <w:snapToGrid w:val="0"/>
                    <w:jc w:val="center"/>
                    <w:rPr>
                      <w:rFonts w:hint="default" w:eastAsia="宋体"/>
                      <w:szCs w:val="21"/>
                      <w:lang w:val="en-US" w:eastAsia="zh-CN"/>
                    </w:rPr>
                  </w:pPr>
                  <w:r>
                    <w:rPr>
                      <w:rFonts w:hint="eastAsia"/>
                      <w:szCs w:val="21"/>
                      <w:lang w:val="en-US" w:eastAsia="zh-CN"/>
                    </w:rPr>
                    <w:t>0.1</w:t>
                  </w:r>
                </w:p>
              </w:tc>
            </w:tr>
          </w:tbl>
          <w:p>
            <w:pPr>
              <w:adjustRightInd w:val="0"/>
              <w:snapToGrid w:val="0"/>
              <w:jc w:val="center"/>
              <w:rPr>
                <w:sz w:val="24"/>
              </w:rPr>
            </w:pPr>
            <w:r>
              <w:rPr>
                <w:rFonts w:hint="eastAsia"/>
                <w:b/>
                <w:szCs w:val="21"/>
              </w:rPr>
              <w:t>表4-</w:t>
            </w:r>
            <w:r>
              <w:rPr>
                <w:rFonts w:hint="eastAsia"/>
                <w:b/>
                <w:szCs w:val="21"/>
                <w:lang w:val="en-US" w:eastAsia="zh-CN"/>
              </w:rPr>
              <w:t>9  04#地块</w:t>
            </w:r>
            <w:r>
              <w:rPr>
                <w:rFonts w:hint="eastAsia"/>
                <w:b/>
                <w:szCs w:val="21"/>
              </w:rPr>
              <w:t>生活污水、车库地面冲洗废水污染物产生量估算</w:t>
            </w:r>
          </w:p>
          <w:tbl>
            <w:tblPr>
              <w:tblStyle w:val="1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4"/>
              <w:gridCol w:w="1199"/>
              <w:gridCol w:w="993"/>
              <w:gridCol w:w="945"/>
              <w:gridCol w:w="947"/>
              <w:gridCol w:w="883"/>
              <w:gridCol w:w="1090"/>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672" w:type="pct"/>
                  <w:gridSpan w:val="2"/>
                  <w:vAlign w:val="center"/>
                </w:tcPr>
                <w:p>
                  <w:pPr>
                    <w:adjustRightInd w:val="0"/>
                    <w:snapToGrid w:val="0"/>
                    <w:jc w:val="center"/>
                    <w:rPr>
                      <w:szCs w:val="21"/>
                    </w:rPr>
                  </w:pPr>
                  <w:r>
                    <w:rPr>
                      <w:rFonts w:hint="eastAsia"/>
                      <w:szCs w:val="21"/>
                    </w:rPr>
                    <w:t>污染物</w:t>
                  </w:r>
                </w:p>
              </w:tc>
              <w:tc>
                <w:tcPr>
                  <w:tcW w:w="574" w:type="pct"/>
                  <w:vAlign w:val="center"/>
                </w:tcPr>
                <w:p>
                  <w:pPr>
                    <w:adjustRightInd w:val="0"/>
                    <w:snapToGrid w:val="0"/>
                    <w:jc w:val="center"/>
                    <w:rPr>
                      <w:szCs w:val="21"/>
                    </w:rPr>
                  </w:pPr>
                  <w:r>
                    <w:rPr>
                      <w:rFonts w:hint="eastAsia"/>
                      <w:szCs w:val="21"/>
                    </w:rPr>
                    <w:t>COD</w:t>
                  </w:r>
                </w:p>
              </w:tc>
              <w:tc>
                <w:tcPr>
                  <w:tcW w:w="546" w:type="pct"/>
                  <w:vAlign w:val="center"/>
                </w:tcPr>
                <w:p>
                  <w:pPr>
                    <w:adjustRightInd w:val="0"/>
                    <w:snapToGrid w:val="0"/>
                    <w:jc w:val="center"/>
                    <w:rPr>
                      <w:szCs w:val="21"/>
                    </w:rPr>
                  </w:pPr>
                  <w:r>
                    <w:rPr>
                      <w:szCs w:val="21"/>
                    </w:rPr>
                    <w:t>BOD</w:t>
                  </w:r>
                  <w:r>
                    <w:rPr>
                      <w:szCs w:val="21"/>
                      <w:vertAlign w:val="subscript"/>
                    </w:rPr>
                    <w:t>5</w:t>
                  </w:r>
                </w:p>
              </w:tc>
              <w:tc>
                <w:tcPr>
                  <w:tcW w:w="547" w:type="pct"/>
                  <w:vAlign w:val="center"/>
                </w:tcPr>
                <w:p>
                  <w:pPr>
                    <w:adjustRightInd w:val="0"/>
                    <w:snapToGrid w:val="0"/>
                    <w:jc w:val="center"/>
                    <w:rPr>
                      <w:szCs w:val="21"/>
                    </w:rPr>
                  </w:pPr>
                  <w:r>
                    <w:rPr>
                      <w:rFonts w:hint="eastAsia"/>
                      <w:szCs w:val="21"/>
                    </w:rPr>
                    <w:t>SS</w:t>
                  </w:r>
                </w:p>
              </w:tc>
              <w:tc>
                <w:tcPr>
                  <w:tcW w:w="510" w:type="pct"/>
                  <w:vAlign w:val="center"/>
                </w:tcPr>
                <w:p>
                  <w:pPr>
                    <w:adjustRightInd w:val="0"/>
                    <w:snapToGrid w:val="0"/>
                    <w:jc w:val="center"/>
                    <w:rPr>
                      <w:szCs w:val="21"/>
                    </w:rPr>
                  </w:pPr>
                  <w:r>
                    <w:rPr>
                      <w:rFonts w:hint="eastAsia"/>
                      <w:szCs w:val="21"/>
                    </w:rPr>
                    <w:t>氨氮</w:t>
                  </w:r>
                </w:p>
              </w:tc>
              <w:tc>
                <w:tcPr>
                  <w:tcW w:w="630" w:type="pct"/>
                  <w:vAlign w:val="center"/>
                </w:tcPr>
                <w:p>
                  <w:pPr>
                    <w:adjustRightInd w:val="0"/>
                    <w:snapToGrid w:val="0"/>
                    <w:jc w:val="center"/>
                    <w:rPr>
                      <w:szCs w:val="21"/>
                    </w:rPr>
                  </w:pPr>
                  <w:r>
                    <w:rPr>
                      <w:rFonts w:hint="eastAsia"/>
                      <w:szCs w:val="21"/>
                    </w:rPr>
                    <w:t>动植物油</w:t>
                  </w:r>
                </w:p>
              </w:tc>
              <w:tc>
                <w:tcPr>
                  <w:tcW w:w="517" w:type="pct"/>
                  <w:vAlign w:val="center"/>
                </w:tcPr>
                <w:p>
                  <w:pPr>
                    <w:adjustRightInd w:val="0"/>
                    <w:snapToGrid w:val="0"/>
                    <w:jc w:val="center"/>
                    <w:rPr>
                      <w:szCs w:val="21"/>
                    </w:rPr>
                  </w:pPr>
                  <w:r>
                    <w:rPr>
                      <w:rFonts w:hint="eastAsia"/>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pct"/>
                  <w:vMerge w:val="restart"/>
                  <w:vAlign w:val="center"/>
                </w:tcPr>
                <w:p>
                  <w:pPr>
                    <w:adjustRightInd w:val="0"/>
                    <w:snapToGrid w:val="0"/>
                    <w:jc w:val="center"/>
                    <w:rPr>
                      <w:szCs w:val="21"/>
                    </w:rPr>
                  </w:pPr>
                  <w:r>
                    <w:rPr>
                      <w:rFonts w:hint="eastAsia"/>
                      <w:szCs w:val="21"/>
                    </w:rPr>
                    <w:t>生活污水</w:t>
                  </w:r>
                  <w:r>
                    <w:rPr>
                      <w:rFonts w:hint="eastAsia"/>
                    </w:rPr>
                    <w:t>162501.196</w:t>
                  </w:r>
                  <w:r>
                    <w:rPr>
                      <w:szCs w:val="21"/>
                    </w:rPr>
                    <w:t>m</w:t>
                  </w:r>
                  <w:r>
                    <w:rPr>
                      <w:szCs w:val="21"/>
                      <w:vertAlign w:val="superscript"/>
                    </w:rPr>
                    <w:t>3</w:t>
                  </w:r>
                  <w:r>
                    <w:rPr>
                      <w:szCs w:val="21"/>
                    </w:rPr>
                    <w:t>/</w:t>
                  </w:r>
                  <w:r>
                    <w:rPr>
                      <w:rFonts w:hint="eastAsia"/>
                      <w:szCs w:val="21"/>
                    </w:rPr>
                    <w:t>a</w:t>
                  </w:r>
                </w:p>
              </w:tc>
              <w:tc>
                <w:tcPr>
                  <w:tcW w:w="692"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74" w:type="pct"/>
                  <w:vAlign w:val="center"/>
                </w:tcPr>
                <w:p>
                  <w:pPr>
                    <w:adjustRightInd w:val="0"/>
                    <w:snapToGrid w:val="0"/>
                    <w:jc w:val="center"/>
                    <w:rPr>
                      <w:szCs w:val="21"/>
                    </w:rPr>
                  </w:pPr>
                  <w:r>
                    <w:rPr>
                      <w:rFonts w:hint="eastAsia"/>
                      <w:szCs w:val="21"/>
                    </w:rPr>
                    <w:t>300</w:t>
                  </w:r>
                </w:p>
              </w:tc>
              <w:tc>
                <w:tcPr>
                  <w:tcW w:w="546" w:type="pct"/>
                  <w:vAlign w:val="center"/>
                </w:tcPr>
                <w:p>
                  <w:pPr>
                    <w:adjustRightInd w:val="0"/>
                    <w:snapToGrid w:val="0"/>
                    <w:jc w:val="center"/>
                    <w:rPr>
                      <w:szCs w:val="21"/>
                    </w:rPr>
                  </w:pPr>
                  <w:r>
                    <w:rPr>
                      <w:rFonts w:hint="eastAsia"/>
                      <w:szCs w:val="21"/>
                    </w:rPr>
                    <w:t>180</w:t>
                  </w:r>
                </w:p>
              </w:tc>
              <w:tc>
                <w:tcPr>
                  <w:tcW w:w="547" w:type="pct"/>
                  <w:vAlign w:val="center"/>
                </w:tcPr>
                <w:p>
                  <w:pPr>
                    <w:adjustRightInd w:val="0"/>
                    <w:snapToGrid w:val="0"/>
                    <w:jc w:val="center"/>
                    <w:rPr>
                      <w:szCs w:val="21"/>
                    </w:rPr>
                  </w:pPr>
                  <w:r>
                    <w:rPr>
                      <w:rFonts w:hint="eastAsia"/>
                      <w:szCs w:val="21"/>
                    </w:rPr>
                    <w:t>200</w:t>
                  </w:r>
                </w:p>
              </w:tc>
              <w:tc>
                <w:tcPr>
                  <w:tcW w:w="510" w:type="pct"/>
                  <w:vAlign w:val="center"/>
                </w:tcPr>
                <w:p>
                  <w:pPr>
                    <w:adjustRightInd w:val="0"/>
                    <w:snapToGrid w:val="0"/>
                    <w:jc w:val="center"/>
                    <w:rPr>
                      <w:szCs w:val="21"/>
                    </w:rPr>
                  </w:pPr>
                  <w:r>
                    <w:rPr>
                      <w:rFonts w:hint="eastAsia"/>
                      <w:szCs w:val="21"/>
                    </w:rPr>
                    <w:t>20</w:t>
                  </w:r>
                </w:p>
              </w:tc>
              <w:tc>
                <w:tcPr>
                  <w:tcW w:w="630" w:type="pct"/>
                  <w:vAlign w:val="center"/>
                </w:tcPr>
                <w:p>
                  <w:pPr>
                    <w:adjustRightInd w:val="0"/>
                    <w:snapToGrid w:val="0"/>
                    <w:jc w:val="center"/>
                    <w:rPr>
                      <w:szCs w:val="21"/>
                    </w:rPr>
                  </w:pPr>
                  <w:r>
                    <w:rPr>
                      <w:rFonts w:hint="eastAsia"/>
                      <w:szCs w:val="21"/>
                    </w:rPr>
                    <w:t>150</w:t>
                  </w:r>
                </w:p>
              </w:tc>
              <w:tc>
                <w:tcPr>
                  <w:tcW w:w="517"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pct"/>
                  <w:vMerge w:val="continue"/>
                  <w:vAlign w:val="center"/>
                </w:tcPr>
                <w:p>
                  <w:pPr>
                    <w:adjustRightInd w:val="0"/>
                    <w:snapToGrid w:val="0"/>
                    <w:jc w:val="center"/>
                    <w:rPr>
                      <w:szCs w:val="21"/>
                    </w:rPr>
                  </w:pPr>
                </w:p>
              </w:tc>
              <w:tc>
                <w:tcPr>
                  <w:tcW w:w="692"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74" w:type="pct"/>
                  <w:vAlign w:val="center"/>
                </w:tcPr>
                <w:p>
                  <w:pPr>
                    <w:adjustRightInd w:val="0"/>
                    <w:snapToGrid w:val="0"/>
                    <w:jc w:val="center"/>
                    <w:rPr>
                      <w:rFonts w:hint="default" w:eastAsia="宋体"/>
                      <w:szCs w:val="21"/>
                      <w:lang w:val="en-US" w:eastAsia="zh-CN"/>
                    </w:rPr>
                  </w:pPr>
                  <w:r>
                    <w:rPr>
                      <w:rFonts w:hint="eastAsia"/>
                      <w:szCs w:val="21"/>
                      <w:lang w:val="en-US" w:eastAsia="zh-CN"/>
                    </w:rPr>
                    <w:t>48.75</w:t>
                  </w:r>
                </w:p>
              </w:tc>
              <w:tc>
                <w:tcPr>
                  <w:tcW w:w="546" w:type="pct"/>
                  <w:vAlign w:val="center"/>
                </w:tcPr>
                <w:p>
                  <w:pPr>
                    <w:adjustRightInd w:val="0"/>
                    <w:snapToGrid w:val="0"/>
                    <w:jc w:val="center"/>
                    <w:rPr>
                      <w:rFonts w:hint="default" w:eastAsia="宋体"/>
                      <w:szCs w:val="21"/>
                      <w:lang w:val="en-US" w:eastAsia="zh-CN"/>
                    </w:rPr>
                  </w:pPr>
                  <w:r>
                    <w:rPr>
                      <w:rFonts w:hint="eastAsia"/>
                      <w:szCs w:val="21"/>
                      <w:lang w:val="en-US" w:eastAsia="zh-CN"/>
                    </w:rPr>
                    <w:t>29.25</w:t>
                  </w:r>
                </w:p>
              </w:tc>
              <w:tc>
                <w:tcPr>
                  <w:tcW w:w="547" w:type="pct"/>
                  <w:vAlign w:val="center"/>
                </w:tcPr>
                <w:p>
                  <w:pPr>
                    <w:adjustRightInd w:val="0"/>
                    <w:snapToGrid w:val="0"/>
                    <w:jc w:val="center"/>
                    <w:rPr>
                      <w:rFonts w:hint="default" w:eastAsia="宋体"/>
                      <w:szCs w:val="21"/>
                      <w:lang w:val="en-US" w:eastAsia="zh-CN"/>
                    </w:rPr>
                  </w:pPr>
                  <w:r>
                    <w:rPr>
                      <w:rFonts w:hint="eastAsia"/>
                      <w:szCs w:val="21"/>
                      <w:lang w:val="en-US" w:eastAsia="zh-CN"/>
                    </w:rPr>
                    <w:t>32.5</w:t>
                  </w:r>
                </w:p>
              </w:tc>
              <w:tc>
                <w:tcPr>
                  <w:tcW w:w="510" w:type="pct"/>
                  <w:vAlign w:val="center"/>
                </w:tcPr>
                <w:p>
                  <w:pPr>
                    <w:adjustRightInd w:val="0"/>
                    <w:snapToGrid w:val="0"/>
                    <w:jc w:val="center"/>
                    <w:rPr>
                      <w:rFonts w:hint="default" w:eastAsia="宋体"/>
                      <w:szCs w:val="21"/>
                      <w:lang w:val="en-US" w:eastAsia="zh-CN"/>
                    </w:rPr>
                  </w:pPr>
                  <w:r>
                    <w:rPr>
                      <w:rFonts w:hint="eastAsia"/>
                      <w:szCs w:val="21"/>
                      <w:lang w:val="en-US" w:eastAsia="zh-CN"/>
                    </w:rPr>
                    <w:t>3.25</w:t>
                  </w:r>
                </w:p>
              </w:tc>
              <w:tc>
                <w:tcPr>
                  <w:tcW w:w="630" w:type="pct"/>
                  <w:vAlign w:val="center"/>
                </w:tcPr>
                <w:p>
                  <w:pPr>
                    <w:adjustRightInd w:val="0"/>
                    <w:snapToGrid w:val="0"/>
                    <w:jc w:val="center"/>
                    <w:rPr>
                      <w:rFonts w:hint="default" w:eastAsia="宋体"/>
                      <w:szCs w:val="21"/>
                      <w:lang w:val="en-US" w:eastAsia="zh-CN"/>
                    </w:rPr>
                  </w:pPr>
                  <w:r>
                    <w:rPr>
                      <w:rFonts w:hint="eastAsia"/>
                      <w:szCs w:val="21"/>
                      <w:lang w:val="en-US" w:eastAsia="zh-CN"/>
                    </w:rPr>
                    <w:t>24.38</w:t>
                  </w:r>
                </w:p>
              </w:tc>
              <w:tc>
                <w:tcPr>
                  <w:tcW w:w="517"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pct"/>
                  <w:vMerge w:val="restart"/>
                  <w:vAlign w:val="center"/>
                </w:tcPr>
                <w:p>
                  <w:pPr>
                    <w:adjustRightInd w:val="0"/>
                    <w:snapToGrid w:val="0"/>
                    <w:jc w:val="center"/>
                    <w:rPr>
                      <w:szCs w:val="21"/>
                    </w:rPr>
                  </w:pPr>
                  <w:r>
                    <w:rPr>
                      <w:rFonts w:hint="eastAsia"/>
                      <w:szCs w:val="21"/>
                    </w:rPr>
                    <w:t>车库地面冲洗废水</w:t>
                  </w:r>
                </w:p>
                <w:p>
                  <w:pPr>
                    <w:adjustRightInd w:val="0"/>
                    <w:snapToGrid w:val="0"/>
                    <w:jc w:val="center"/>
                    <w:rPr>
                      <w:szCs w:val="21"/>
                    </w:rPr>
                  </w:pPr>
                  <w:r>
                    <w:rPr>
                      <w:rFonts w:hint="eastAsia"/>
                      <w:bCs/>
                      <w:kern w:val="24"/>
                      <w:sz w:val="21"/>
                      <w:szCs w:val="21"/>
                    </w:rPr>
                    <w:t>2897.82</w:t>
                  </w:r>
                  <w:r>
                    <w:rPr>
                      <w:szCs w:val="21"/>
                    </w:rPr>
                    <w:t>m</w:t>
                  </w:r>
                  <w:r>
                    <w:rPr>
                      <w:szCs w:val="21"/>
                      <w:vertAlign w:val="superscript"/>
                    </w:rPr>
                    <w:t>3</w:t>
                  </w:r>
                  <w:r>
                    <w:rPr>
                      <w:szCs w:val="21"/>
                    </w:rPr>
                    <w:t>/</w:t>
                  </w:r>
                  <w:r>
                    <w:rPr>
                      <w:rFonts w:hint="eastAsia"/>
                      <w:szCs w:val="21"/>
                    </w:rPr>
                    <w:t>a</w:t>
                  </w:r>
                </w:p>
              </w:tc>
              <w:tc>
                <w:tcPr>
                  <w:tcW w:w="692" w:type="pct"/>
                  <w:vAlign w:val="center"/>
                </w:tcPr>
                <w:p>
                  <w:pPr>
                    <w:adjustRightInd w:val="0"/>
                    <w:snapToGrid w:val="0"/>
                    <w:jc w:val="center"/>
                    <w:rPr>
                      <w:szCs w:val="21"/>
                    </w:rPr>
                  </w:pPr>
                  <w:r>
                    <w:rPr>
                      <w:rFonts w:hint="eastAsia"/>
                      <w:szCs w:val="21"/>
                    </w:rPr>
                    <w:t>污水浓度</w:t>
                  </w:r>
                </w:p>
                <w:p>
                  <w:pPr>
                    <w:adjustRightInd w:val="0"/>
                    <w:snapToGrid w:val="0"/>
                    <w:jc w:val="center"/>
                    <w:rPr>
                      <w:szCs w:val="21"/>
                    </w:rPr>
                  </w:pPr>
                  <w:r>
                    <w:rPr>
                      <w:rFonts w:hint="eastAsia"/>
                      <w:szCs w:val="21"/>
                    </w:rPr>
                    <w:t>（mg/L）</w:t>
                  </w:r>
                </w:p>
              </w:tc>
              <w:tc>
                <w:tcPr>
                  <w:tcW w:w="574" w:type="pct"/>
                  <w:vAlign w:val="center"/>
                </w:tcPr>
                <w:p>
                  <w:pPr>
                    <w:adjustRightInd w:val="0"/>
                    <w:snapToGrid w:val="0"/>
                    <w:jc w:val="center"/>
                    <w:rPr>
                      <w:szCs w:val="21"/>
                    </w:rPr>
                  </w:pPr>
                  <w:r>
                    <w:rPr>
                      <w:rFonts w:hint="eastAsia"/>
                      <w:szCs w:val="21"/>
                    </w:rPr>
                    <w:t>150</w:t>
                  </w:r>
                </w:p>
              </w:tc>
              <w:tc>
                <w:tcPr>
                  <w:tcW w:w="546" w:type="pct"/>
                  <w:vAlign w:val="center"/>
                </w:tcPr>
                <w:p>
                  <w:pPr>
                    <w:adjustRightInd w:val="0"/>
                    <w:snapToGrid w:val="0"/>
                    <w:jc w:val="center"/>
                    <w:rPr>
                      <w:szCs w:val="21"/>
                    </w:rPr>
                  </w:pPr>
                  <w:r>
                    <w:rPr>
                      <w:rFonts w:hint="eastAsia"/>
                      <w:szCs w:val="21"/>
                    </w:rPr>
                    <w:t>/</w:t>
                  </w:r>
                </w:p>
              </w:tc>
              <w:tc>
                <w:tcPr>
                  <w:tcW w:w="547" w:type="pct"/>
                  <w:vAlign w:val="center"/>
                </w:tcPr>
                <w:p>
                  <w:pPr>
                    <w:adjustRightInd w:val="0"/>
                    <w:snapToGrid w:val="0"/>
                    <w:jc w:val="center"/>
                    <w:rPr>
                      <w:szCs w:val="21"/>
                    </w:rPr>
                  </w:pPr>
                  <w:r>
                    <w:rPr>
                      <w:rFonts w:hint="eastAsia"/>
                      <w:szCs w:val="21"/>
                    </w:rPr>
                    <w:t>100</w:t>
                  </w:r>
                </w:p>
              </w:tc>
              <w:tc>
                <w:tcPr>
                  <w:tcW w:w="510" w:type="pct"/>
                  <w:vAlign w:val="center"/>
                </w:tcPr>
                <w:p>
                  <w:pPr>
                    <w:adjustRightInd w:val="0"/>
                    <w:snapToGrid w:val="0"/>
                    <w:jc w:val="center"/>
                    <w:rPr>
                      <w:szCs w:val="21"/>
                    </w:rPr>
                  </w:pPr>
                  <w:r>
                    <w:rPr>
                      <w:rFonts w:hint="eastAsia"/>
                      <w:szCs w:val="21"/>
                    </w:rPr>
                    <w:t>/</w:t>
                  </w:r>
                </w:p>
              </w:tc>
              <w:tc>
                <w:tcPr>
                  <w:tcW w:w="630" w:type="pct"/>
                  <w:vAlign w:val="center"/>
                </w:tcPr>
                <w:p>
                  <w:pPr>
                    <w:adjustRightInd w:val="0"/>
                    <w:snapToGrid w:val="0"/>
                    <w:jc w:val="center"/>
                    <w:rPr>
                      <w:szCs w:val="21"/>
                    </w:rPr>
                  </w:pPr>
                  <w:r>
                    <w:rPr>
                      <w:rFonts w:hint="eastAsia"/>
                      <w:szCs w:val="21"/>
                    </w:rPr>
                    <w:t>/</w:t>
                  </w:r>
                </w:p>
              </w:tc>
              <w:tc>
                <w:tcPr>
                  <w:tcW w:w="517"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pct"/>
                  <w:vMerge w:val="continue"/>
                  <w:vAlign w:val="center"/>
                </w:tcPr>
                <w:p>
                  <w:pPr>
                    <w:adjustRightInd w:val="0"/>
                    <w:snapToGrid w:val="0"/>
                    <w:jc w:val="center"/>
                    <w:rPr>
                      <w:szCs w:val="21"/>
                    </w:rPr>
                  </w:pPr>
                </w:p>
              </w:tc>
              <w:tc>
                <w:tcPr>
                  <w:tcW w:w="692" w:type="pct"/>
                  <w:vAlign w:val="center"/>
                </w:tcPr>
                <w:p>
                  <w:pPr>
                    <w:adjustRightInd w:val="0"/>
                    <w:snapToGrid w:val="0"/>
                    <w:jc w:val="center"/>
                    <w:rPr>
                      <w:szCs w:val="21"/>
                    </w:rPr>
                  </w:pPr>
                  <w:r>
                    <w:rPr>
                      <w:rFonts w:hint="eastAsia"/>
                      <w:szCs w:val="21"/>
                    </w:rPr>
                    <w:t>产生量</w:t>
                  </w:r>
                </w:p>
                <w:p>
                  <w:pPr>
                    <w:adjustRightInd w:val="0"/>
                    <w:snapToGrid w:val="0"/>
                    <w:jc w:val="center"/>
                    <w:rPr>
                      <w:szCs w:val="21"/>
                    </w:rPr>
                  </w:pPr>
                  <w:r>
                    <w:rPr>
                      <w:rFonts w:hint="eastAsia"/>
                      <w:szCs w:val="21"/>
                    </w:rPr>
                    <w:t>（t/a）</w:t>
                  </w:r>
                </w:p>
              </w:tc>
              <w:tc>
                <w:tcPr>
                  <w:tcW w:w="574" w:type="pct"/>
                  <w:vAlign w:val="center"/>
                </w:tcPr>
                <w:p>
                  <w:pPr>
                    <w:adjustRightInd w:val="0"/>
                    <w:snapToGrid w:val="0"/>
                    <w:jc w:val="center"/>
                    <w:rPr>
                      <w:rFonts w:hint="default" w:eastAsia="宋体"/>
                      <w:szCs w:val="21"/>
                      <w:lang w:val="en-US" w:eastAsia="zh-CN"/>
                    </w:rPr>
                  </w:pPr>
                  <w:r>
                    <w:rPr>
                      <w:rFonts w:hint="eastAsia"/>
                      <w:szCs w:val="21"/>
                      <w:lang w:val="en-US" w:eastAsia="zh-CN"/>
                    </w:rPr>
                    <w:t>0.43</w:t>
                  </w:r>
                </w:p>
              </w:tc>
              <w:tc>
                <w:tcPr>
                  <w:tcW w:w="546" w:type="pct"/>
                  <w:vAlign w:val="center"/>
                </w:tcPr>
                <w:p>
                  <w:pPr>
                    <w:adjustRightInd w:val="0"/>
                    <w:snapToGrid w:val="0"/>
                    <w:jc w:val="center"/>
                    <w:rPr>
                      <w:szCs w:val="21"/>
                    </w:rPr>
                  </w:pPr>
                  <w:r>
                    <w:rPr>
                      <w:rFonts w:hint="eastAsia"/>
                      <w:szCs w:val="21"/>
                    </w:rPr>
                    <w:t>/</w:t>
                  </w:r>
                </w:p>
              </w:tc>
              <w:tc>
                <w:tcPr>
                  <w:tcW w:w="547" w:type="pct"/>
                  <w:vAlign w:val="center"/>
                </w:tcPr>
                <w:p>
                  <w:pPr>
                    <w:adjustRightInd w:val="0"/>
                    <w:snapToGrid w:val="0"/>
                    <w:jc w:val="center"/>
                    <w:rPr>
                      <w:rFonts w:hint="default" w:eastAsia="宋体"/>
                      <w:szCs w:val="21"/>
                      <w:lang w:val="en-US" w:eastAsia="zh-CN"/>
                    </w:rPr>
                  </w:pPr>
                  <w:r>
                    <w:rPr>
                      <w:rFonts w:hint="eastAsia"/>
                      <w:szCs w:val="21"/>
                      <w:lang w:val="en-US" w:eastAsia="zh-CN"/>
                    </w:rPr>
                    <w:t>0.29</w:t>
                  </w:r>
                </w:p>
              </w:tc>
              <w:tc>
                <w:tcPr>
                  <w:tcW w:w="510" w:type="pct"/>
                  <w:vAlign w:val="center"/>
                </w:tcPr>
                <w:p>
                  <w:pPr>
                    <w:adjustRightInd w:val="0"/>
                    <w:snapToGrid w:val="0"/>
                    <w:jc w:val="center"/>
                    <w:rPr>
                      <w:szCs w:val="21"/>
                    </w:rPr>
                  </w:pPr>
                  <w:r>
                    <w:rPr>
                      <w:rFonts w:hint="eastAsia"/>
                      <w:szCs w:val="21"/>
                    </w:rPr>
                    <w:t>/</w:t>
                  </w:r>
                </w:p>
              </w:tc>
              <w:tc>
                <w:tcPr>
                  <w:tcW w:w="630" w:type="pct"/>
                  <w:vAlign w:val="center"/>
                </w:tcPr>
                <w:p>
                  <w:pPr>
                    <w:adjustRightInd w:val="0"/>
                    <w:snapToGrid w:val="0"/>
                    <w:jc w:val="center"/>
                    <w:rPr>
                      <w:szCs w:val="21"/>
                    </w:rPr>
                  </w:pPr>
                  <w:r>
                    <w:rPr>
                      <w:rFonts w:hint="eastAsia"/>
                      <w:szCs w:val="21"/>
                    </w:rPr>
                    <w:t>/</w:t>
                  </w:r>
                </w:p>
              </w:tc>
              <w:tc>
                <w:tcPr>
                  <w:tcW w:w="517" w:type="pct"/>
                  <w:vAlign w:val="center"/>
                </w:tcPr>
                <w:p>
                  <w:pPr>
                    <w:adjustRightInd w:val="0"/>
                    <w:snapToGrid w:val="0"/>
                    <w:jc w:val="center"/>
                    <w:rPr>
                      <w:rFonts w:hint="default" w:eastAsia="宋体"/>
                      <w:szCs w:val="21"/>
                      <w:lang w:val="en-US" w:eastAsia="zh-CN"/>
                    </w:rPr>
                  </w:pPr>
                  <w:r>
                    <w:rPr>
                      <w:rFonts w:hint="eastAsia"/>
                      <w:szCs w:val="21"/>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2" w:type="pct"/>
                  <w:gridSpan w:val="2"/>
                  <w:vAlign w:val="center"/>
                </w:tcPr>
                <w:p>
                  <w:pPr>
                    <w:adjustRightInd w:val="0"/>
                    <w:snapToGrid w:val="0"/>
                    <w:jc w:val="center"/>
                    <w:rPr>
                      <w:szCs w:val="21"/>
                    </w:rPr>
                  </w:pPr>
                  <w:r>
                    <w:rPr>
                      <w:rFonts w:hint="eastAsia"/>
                      <w:szCs w:val="21"/>
                    </w:rPr>
                    <w:t>合计</w:t>
                  </w:r>
                </w:p>
              </w:tc>
              <w:tc>
                <w:tcPr>
                  <w:tcW w:w="574" w:type="pct"/>
                  <w:vAlign w:val="center"/>
                </w:tcPr>
                <w:p>
                  <w:pPr>
                    <w:adjustRightInd w:val="0"/>
                    <w:snapToGrid w:val="0"/>
                    <w:jc w:val="center"/>
                    <w:rPr>
                      <w:szCs w:val="21"/>
                    </w:rPr>
                  </w:pPr>
                  <w:r>
                    <w:rPr>
                      <w:rFonts w:hint="eastAsia"/>
                      <w:szCs w:val="21"/>
                    </w:rPr>
                    <w:t>49.18</w:t>
                  </w:r>
                </w:p>
              </w:tc>
              <w:tc>
                <w:tcPr>
                  <w:tcW w:w="546" w:type="pct"/>
                  <w:vAlign w:val="center"/>
                </w:tcPr>
                <w:p>
                  <w:pPr>
                    <w:adjustRightInd w:val="0"/>
                    <w:snapToGrid w:val="0"/>
                    <w:jc w:val="center"/>
                    <w:rPr>
                      <w:rFonts w:hint="default" w:eastAsia="宋体"/>
                      <w:szCs w:val="21"/>
                      <w:lang w:val="en-US" w:eastAsia="zh-CN"/>
                    </w:rPr>
                  </w:pPr>
                  <w:r>
                    <w:rPr>
                      <w:rFonts w:hint="eastAsia"/>
                      <w:szCs w:val="21"/>
                      <w:lang w:val="en-US" w:eastAsia="zh-CN"/>
                    </w:rPr>
                    <w:t>29.25</w:t>
                  </w:r>
                </w:p>
              </w:tc>
              <w:tc>
                <w:tcPr>
                  <w:tcW w:w="547" w:type="pct"/>
                  <w:vAlign w:val="center"/>
                </w:tcPr>
                <w:p>
                  <w:pPr>
                    <w:adjustRightInd w:val="0"/>
                    <w:snapToGrid w:val="0"/>
                    <w:jc w:val="center"/>
                    <w:rPr>
                      <w:rFonts w:hint="default" w:eastAsia="宋体"/>
                      <w:szCs w:val="21"/>
                      <w:lang w:val="en-US" w:eastAsia="zh-CN"/>
                    </w:rPr>
                  </w:pPr>
                  <w:r>
                    <w:rPr>
                      <w:rFonts w:hint="eastAsia"/>
                      <w:szCs w:val="21"/>
                      <w:lang w:val="en-US" w:eastAsia="zh-CN"/>
                    </w:rPr>
                    <w:t>32.79</w:t>
                  </w:r>
                </w:p>
              </w:tc>
              <w:tc>
                <w:tcPr>
                  <w:tcW w:w="510" w:type="pct"/>
                  <w:vAlign w:val="center"/>
                </w:tcPr>
                <w:p>
                  <w:pPr>
                    <w:adjustRightInd w:val="0"/>
                    <w:snapToGrid w:val="0"/>
                    <w:jc w:val="center"/>
                    <w:rPr>
                      <w:rFonts w:hint="default" w:eastAsia="宋体"/>
                      <w:szCs w:val="21"/>
                      <w:lang w:val="en-US" w:eastAsia="zh-CN"/>
                    </w:rPr>
                  </w:pPr>
                  <w:r>
                    <w:rPr>
                      <w:rFonts w:hint="eastAsia"/>
                      <w:szCs w:val="21"/>
                      <w:lang w:val="en-US" w:eastAsia="zh-CN"/>
                    </w:rPr>
                    <w:t>3.25</w:t>
                  </w:r>
                </w:p>
              </w:tc>
              <w:tc>
                <w:tcPr>
                  <w:tcW w:w="630" w:type="pct"/>
                  <w:vAlign w:val="center"/>
                </w:tcPr>
                <w:p>
                  <w:pPr>
                    <w:adjustRightInd w:val="0"/>
                    <w:snapToGrid w:val="0"/>
                    <w:jc w:val="center"/>
                    <w:rPr>
                      <w:rFonts w:hint="default" w:eastAsia="宋体"/>
                      <w:szCs w:val="21"/>
                      <w:lang w:val="en-US" w:eastAsia="zh-CN"/>
                    </w:rPr>
                  </w:pPr>
                  <w:r>
                    <w:rPr>
                      <w:rFonts w:hint="eastAsia"/>
                      <w:szCs w:val="21"/>
                      <w:lang w:val="en-US" w:eastAsia="zh-CN"/>
                    </w:rPr>
                    <w:t>24.38</w:t>
                  </w:r>
                </w:p>
              </w:tc>
              <w:tc>
                <w:tcPr>
                  <w:tcW w:w="517" w:type="pct"/>
                  <w:vAlign w:val="center"/>
                </w:tcPr>
                <w:p>
                  <w:pPr>
                    <w:adjustRightInd w:val="0"/>
                    <w:snapToGrid w:val="0"/>
                    <w:jc w:val="center"/>
                    <w:rPr>
                      <w:rFonts w:hint="default" w:eastAsia="宋体"/>
                      <w:szCs w:val="21"/>
                      <w:lang w:val="en-US" w:eastAsia="zh-CN"/>
                    </w:rPr>
                  </w:pPr>
                  <w:r>
                    <w:rPr>
                      <w:rFonts w:hint="eastAsia"/>
                      <w:szCs w:val="21"/>
                      <w:lang w:val="en-US" w:eastAsia="zh-CN"/>
                    </w:rPr>
                    <w:t>0.06</w:t>
                  </w:r>
                </w:p>
              </w:tc>
            </w:tr>
          </w:tbl>
          <w:p>
            <w:pPr>
              <w:pStyle w:val="2"/>
              <w:ind w:firstLine="482"/>
              <w:rPr>
                <w:b/>
                <w:bCs/>
              </w:rPr>
            </w:pPr>
            <w:r>
              <w:rPr>
                <w:b/>
                <w:bCs/>
              </w:rPr>
              <w:t>2、废水防治设施分析</w:t>
            </w:r>
          </w:p>
          <w:p>
            <w:pPr>
              <w:spacing w:line="360" w:lineRule="auto"/>
              <w:ind w:firstLine="480"/>
              <w:rPr>
                <w:bCs/>
                <w:kern w:val="24"/>
                <w:sz w:val="24"/>
              </w:rPr>
            </w:pPr>
            <w:r>
              <w:rPr>
                <w:bCs/>
                <w:kern w:val="24"/>
                <w:sz w:val="24"/>
              </w:rPr>
              <w:t>项目产生的</w:t>
            </w:r>
            <w:r>
              <w:rPr>
                <w:rFonts w:hint="eastAsia"/>
                <w:sz w:val="24"/>
              </w:rPr>
              <w:t>地下车库地面冲洗废水</w:t>
            </w:r>
            <w:r>
              <w:rPr>
                <w:bCs/>
                <w:kern w:val="24"/>
                <w:sz w:val="24"/>
              </w:rPr>
              <w:t>经隔油池</w:t>
            </w:r>
            <w:r>
              <w:rPr>
                <w:rFonts w:hint="eastAsia"/>
                <w:bCs/>
                <w:kern w:val="24"/>
                <w:sz w:val="24"/>
              </w:rPr>
              <w:t>预处理后与</w:t>
            </w:r>
            <w:r>
              <w:rPr>
                <w:bCs/>
                <w:kern w:val="24"/>
                <w:sz w:val="24"/>
              </w:rPr>
              <w:t>居民</w:t>
            </w:r>
            <w:r>
              <w:rPr>
                <w:rFonts w:hint="eastAsia"/>
                <w:bCs/>
                <w:kern w:val="24"/>
                <w:sz w:val="24"/>
              </w:rPr>
              <w:t>、</w:t>
            </w:r>
            <w:r>
              <w:rPr>
                <w:bCs/>
                <w:kern w:val="24"/>
                <w:sz w:val="24"/>
              </w:rPr>
              <w:t>商业区生活污水</w:t>
            </w:r>
            <w:r>
              <w:rPr>
                <w:rFonts w:hint="eastAsia"/>
                <w:bCs/>
                <w:kern w:val="24"/>
                <w:sz w:val="24"/>
              </w:rPr>
              <w:t>一起进入</w:t>
            </w:r>
            <w:r>
              <w:rPr>
                <w:bCs/>
                <w:kern w:val="24"/>
                <w:sz w:val="24"/>
              </w:rPr>
              <w:t>化粪池处理</w:t>
            </w:r>
            <w:r>
              <w:rPr>
                <w:rFonts w:hint="eastAsia"/>
                <w:bCs/>
                <w:kern w:val="24"/>
                <w:sz w:val="24"/>
              </w:rPr>
              <w:t>，</w:t>
            </w:r>
            <w:r>
              <w:rPr>
                <w:bCs/>
                <w:kern w:val="24"/>
                <w:sz w:val="24"/>
              </w:rPr>
              <w:t>再排入区域市政污水管网。</w:t>
            </w:r>
          </w:p>
          <w:p>
            <w:pPr>
              <w:pStyle w:val="34"/>
              <w:adjustRightInd w:val="0"/>
              <w:snapToGrid w:val="0"/>
              <w:rPr>
                <w:rFonts w:hAnsi="Times New Roman"/>
              </w:rPr>
            </w:pPr>
            <w:r>
              <w:rPr>
                <w:rFonts w:hint="eastAsia" w:hAnsi="Times New Roman"/>
              </w:rPr>
              <w:t>项目生活污水主要污染物为COD、BOD</w:t>
            </w:r>
            <w:r>
              <w:rPr>
                <w:rFonts w:hint="eastAsia" w:hAnsi="Times New Roman"/>
                <w:vertAlign w:val="subscript"/>
              </w:rPr>
              <w:t>5</w:t>
            </w:r>
            <w:r>
              <w:rPr>
                <w:rFonts w:hint="eastAsia" w:hAnsi="Times New Roman"/>
              </w:rPr>
              <w:t>、SS、NH</w:t>
            </w:r>
            <w:r>
              <w:rPr>
                <w:rFonts w:hint="eastAsia" w:hAnsi="Times New Roman"/>
                <w:vertAlign w:val="subscript"/>
              </w:rPr>
              <w:t>3</w:t>
            </w:r>
            <w:r>
              <w:rPr>
                <w:rFonts w:hint="eastAsia" w:hAnsi="Times New Roman"/>
              </w:rPr>
              <w:t>-N、动植物油等，</w:t>
            </w:r>
            <w:r>
              <w:rPr>
                <w:rFonts w:hAnsi="Times New Roman"/>
              </w:rPr>
              <w:t>化粪池是一种利用沉淀和厌氧发酵的原理，去除生活污水中悬浮性有机物的处理设施，属于初级的过渡性生活处理</w:t>
            </w:r>
            <w:r>
              <w:fldChar w:fldCharType="begin"/>
            </w:r>
            <w:r>
              <w:instrText xml:space="preserve"> HYPERLINK "http://baike.baidu.com/view/31517.htm" \t "_blank" </w:instrText>
            </w:r>
            <w:r>
              <w:fldChar w:fldCharType="separate"/>
            </w:r>
            <w:r>
              <w:rPr>
                <w:rFonts w:hAnsi="Times New Roman"/>
              </w:rPr>
              <w:t>构筑物</w:t>
            </w:r>
            <w:r>
              <w:rPr>
                <w:rFonts w:hAnsi="Times New Roman"/>
              </w:rPr>
              <w:fldChar w:fldCharType="end"/>
            </w:r>
            <w:r>
              <w:rPr>
                <w:rFonts w:hint="eastAsia" w:hAnsi="Times New Roman"/>
              </w:rPr>
              <w:t>，相关资料，</w:t>
            </w:r>
            <w:r>
              <w:t>化粪池对CODcr、SS、BOD</w:t>
            </w:r>
            <w:r>
              <w:rPr>
                <w:vertAlign w:val="subscript"/>
              </w:rPr>
              <w:t>5</w:t>
            </w:r>
            <w:r>
              <w:t>、NH</w:t>
            </w:r>
            <w:r>
              <w:rPr>
                <w:vertAlign w:val="subscript"/>
              </w:rPr>
              <w:t>3</w:t>
            </w:r>
            <w:r>
              <w:t>-N、动植物油的去除率分别为15%、30%、</w:t>
            </w:r>
            <w:r>
              <w:rPr>
                <w:rFonts w:hint="eastAsia"/>
              </w:rPr>
              <w:t>30</w:t>
            </w:r>
            <w:r>
              <w:t>%、3%、75%</w:t>
            </w:r>
            <w:r>
              <w:rPr>
                <w:rFonts w:hint="eastAsia" w:hAnsi="Times New Roman"/>
              </w:rPr>
              <w:t>。</w:t>
            </w:r>
          </w:p>
          <w:p>
            <w:pPr>
              <w:pStyle w:val="2"/>
              <w:ind w:firstLine="480"/>
            </w:pPr>
            <w:r>
              <w:rPr>
                <w:rFonts w:hint="eastAsia"/>
              </w:rPr>
              <w:t>车库地面冲洗废水中主要污染物为COD、SS、石油类等。车库地面冲洗废水先经隔油沉淀池进行处理，隔油沉淀池均</w:t>
            </w:r>
            <w:r>
              <w:t>利用重力作用沉淀去除水中悬浮物的一种</w:t>
            </w:r>
            <w:r>
              <w:rPr>
                <w:rFonts w:hint="eastAsia"/>
              </w:rPr>
              <w:t>处理设施，根据相关资料，隔油沉淀池对石油类除去效率为30%，对SS除去效率为30%。本项目污（废）水预处理前后水质情况见下表。</w:t>
            </w:r>
          </w:p>
          <w:p>
            <w:pPr>
              <w:tabs>
                <w:tab w:val="left" w:pos="2307"/>
              </w:tabs>
              <w:snapToGrid w:val="0"/>
              <w:spacing w:line="276" w:lineRule="auto"/>
              <w:jc w:val="center"/>
              <w:rPr>
                <w:rFonts w:hAnsi="宋体"/>
                <w:b/>
                <w:bCs/>
                <w:kern w:val="28"/>
                <w:szCs w:val="21"/>
              </w:rPr>
            </w:pPr>
            <w:r>
              <w:rPr>
                <w:rFonts w:hint="eastAsia" w:hAnsi="宋体"/>
                <w:b/>
                <w:bCs/>
                <w:kern w:val="28"/>
                <w:szCs w:val="21"/>
              </w:rPr>
              <w:t>表4-</w:t>
            </w:r>
            <w:r>
              <w:rPr>
                <w:rFonts w:hint="eastAsia" w:hAnsi="宋体"/>
                <w:b/>
                <w:bCs/>
                <w:kern w:val="28"/>
                <w:szCs w:val="21"/>
                <w:lang w:val="en-US" w:eastAsia="zh-CN"/>
              </w:rPr>
              <w:t xml:space="preserve">10 </w:t>
            </w:r>
            <w:r>
              <w:rPr>
                <w:rFonts w:hint="eastAsia" w:hAnsi="宋体"/>
                <w:b/>
                <w:bCs/>
                <w:kern w:val="28"/>
                <w:szCs w:val="21"/>
              </w:rPr>
              <w:t xml:space="preserve"> </w:t>
            </w:r>
            <w:r>
              <w:rPr>
                <w:rFonts w:hint="eastAsia" w:hAnsi="宋体"/>
                <w:b/>
                <w:bCs/>
                <w:kern w:val="28"/>
                <w:szCs w:val="21"/>
                <w:lang w:val="en-US" w:eastAsia="zh-CN"/>
              </w:rPr>
              <w:t>02#地块</w:t>
            </w:r>
            <w:r>
              <w:rPr>
                <w:rFonts w:hint="eastAsia" w:hAnsi="宋体"/>
                <w:b/>
                <w:bCs/>
                <w:kern w:val="28"/>
                <w:szCs w:val="21"/>
              </w:rPr>
              <w:t>废水处理前后废水水质一览表</w:t>
            </w:r>
          </w:p>
          <w:tbl>
            <w:tblPr>
              <w:tblStyle w:val="1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1"/>
              <w:gridCol w:w="1211"/>
              <w:gridCol w:w="971"/>
              <w:gridCol w:w="896"/>
              <w:gridCol w:w="941"/>
              <w:gridCol w:w="1011"/>
              <w:gridCol w:w="1095"/>
              <w:gridCol w:w="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9" w:type="pct"/>
                  <w:gridSpan w:val="2"/>
                  <w:vAlign w:val="center"/>
                </w:tcPr>
                <w:p>
                  <w:pPr>
                    <w:adjustRightInd w:val="0"/>
                    <w:snapToGrid w:val="0"/>
                    <w:jc w:val="center"/>
                    <w:rPr>
                      <w:szCs w:val="21"/>
                    </w:rPr>
                  </w:pPr>
                  <w:r>
                    <w:rPr>
                      <w:rFonts w:hAnsi="宋体"/>
                      <w:szCs w:val="21"/>
                    </w:rPr>
                    <w:t>项目</w:t>
                  </w:r>
                </w:p>
              </w:tc>
              <w:tc>
                <w:tcPr>
                  <w:tcW w:w="561" w:type="pct"/>
                  <w:vAlign w:val="center"/>
                </w:tcPr>
                <w:p>
                  <w:pPr>
                    <w:adjustRightInd w:val="0"/>
                    <w:snapToGrid w:val="0"/>
                    <w:jc w:val="center"/>
                    <w:rPr>
                      <w:szCs w:val="21"/>
                    </w:rPr>
                  </w:pPr>
                  <w:r>
                    <w:rPr>
                      <w:szCs w:val="21"/>
                    </w:rPr>
                    <w:t>COD</w:t>
                  </w:r>
                </w:p>
              </w:tc>
              <w:tc>
                <w:tcPr>
                  <w:tcW w:w="518" w:type="pct"/>
                  <w:vAlign w:val="center"/>
                </w:tcPr>
                <w:p>
                  <w:pPr>
                    <w:adjustRightInd w:val="0"/>
                    <w:snapToGrid w:val="0"/>
                    <w:jc w:val="center"/>
                    <w:rPr>
                      <w:szCs w:val="21"/>
                    </w:rPr>
                  </w:pPr>
                  <w:r>
                    <w:rPr>
                      <w:szCs w:val="21"/>
                    </w:rPr>
                    <w:t>BOD</w:t>
                  </w:r>
                  <w:r>
                    <w:rPr>
                      <w:szCs w:val="21"/>
                      <w:vertAlign w:val="subscript"/>
                    </w:rPr>
                    <w:t>5</w:t>
                  </w:r>
                </w:p>
              </w:tc>
              <w:tc>
                <w:tcPr>
                  <w:tcW w:w="544" w:type="pct"/>
                  <w:vAlign w:val="center"/>
                </w:tcPr>
                <w:p>
                  <w:pPr>
                    <w:adjustRightInd w:val="0"/>
                    <w:snapToGrid w:val="0"/>
                    <w:jc w:val="center"/>
                    <w:rPr>
                      <w:szCs w:val="21"/>
                    </w:rPr>
                  </w:pPr>
                  <w:r>
                    <w:rPr>
                      <w:szCs w:val="21"/>
                    </w:rPr>
                    <w:t>SS</w:t>
                  </w:r>
                </w:p>
              </w:tc>
              <w:tc>
                <w:tcPr>
                  <w:tcW w:w="584" w:type="pct"/>
                  <w:vAlign w:val="center"/>
                </w:tcPr>
                <w:p>
                  <w:pPr>
                    <w:adjustRightInd w:val="0"/>
                    <w:snapToGrid w:val="0"/>
                    <w:jc w:val="center"/>
                    <w:rPr>
                      <w:szCs w:val="21"/>
                    </w:rPr>
                  </w:pPr>
                  <w:r>
                    <w:rPr>
                      <w:szCs w:val="21"/>
                    </w:rPr>
                    <w:t>NH</w:t>
                  </w:r>
                  <w:r>
                    <w:rPr>
                      <w:szCs w:val="21"/>
                      <w:vertAlign w:val="subscript"/>
                    </w:rPr>
                    <w:t>3</w:t>
                  </w:r>
                  <w:r>
                    <w:rPr>
                      <w:szCs w:val="21"/>
                    </w:rPr>
                    <w:t>-N</w:t>
                  </w:r>
                </w:p>
              </w:tc>
              <w:tc>
                <w:tcPr>
                  <w:tcW w:w="633" w:type="pct"/>
                  <w:vAlign w:val="center"/>
                </w:tcPr>
                <w:p>
                  <w:pPr>
                    <w:adjustRightInd w:val="0"/>
                    <w:snapToGrid w:val="0"/>
                    <w:jc w:val="center"/>
                    <w:rPr>
                      <w:szCs w:val="21"/>
                    </w:rPr>
                  </w:pPr>
                  <w:r>
                    <w:rPr>
                      <w:szCs w:val="21"/>
                    </w:rPr>
                    <w:t>动植物油</w:t>
                  </w:r>
                </w:p>
              </w:tc>
              <w:tc>
                <w:tcPr>
                  <w:tcW w:w="468" w:type="pct"/>
                  <w:vAlign w:val="center"/>
                </w:tcPr>
                <w:p>
                  <w:pPr>
                    <w:adjustRightInd w:val="0"/>
                    <w:snapToGrid w:val="0"/>
                    <w:jc w:val="center"/>
                    <w:rPr>
                      <w:szCs w:val="21"/>
                    </w:rPr>
                  </w:pPr>
                  <w:r>
                    <w:rPr>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szCs w:val="21"/>
                    </w:rPr>
                    <w:t>生活污水</w:t>
                  </w:r>
                </w:p>
              </w:tc>
              <w:tc>
                <w:tcPr>
                  <w:tcW w:w="700" w:type="pct"/>
                  <w:vAlign w:val="center"/>
                </w:tcPr>
                <w:p>
                  <w:pPr>
                    <w:adjustRightInd w:val="0"/>
                    <w:snapToGrid w:val="0"/>
                    <w:jc w:val="center"/>
                    <w:rPr>
                      <w:rFonts w:hAnsi="宋体"/>
                      <w:szCs w:val="21"/>
                    </w:rPr>
                  </w:pPr>
                  <w:r>
                    <w:rPr>
                      <w:rFonts w:hint="eastAsia" w:hAnsi="宋体"/>
                      <w:szCs w:val="21"/>
                    </w:rPr>
                    <w:t>产生浓度（</w:t>
                  </w:r>
                  <w:r>
                    <w:rPr>
                      <w:szCs w:val="21"/>
                    </w:rPr>
                    <w:t>mg/L</w:t>
                  </w:r>
                  <w:r>
                    <w:rPr>
                      <w:rFonts w:hint="eastAsia"/>
                      <w:szCs w:val="21"/>
                    </w:rPr>
                    <w:t>）</w:t>
                  </w:r>
                </w:p>
              </w:tc>
              <w:tc>
                <w:tcPr>
                  <w:tcW w:w="561" w:type="pct"/>
                  <w:vAlign w:val="center"/>
                </w:tcPr>
                <w:p>
                  <w:pPr>
                    <w:adjustRightInd w:val="0"/>
                    <w:snapToGrid w:val="0"/>
                    <w:jc w:val="center"/>
                    <w:rPr>
                      <w:szCs w:val="21"/>
                    </w:rPr>
                  </w:pPr>
                  <w:r>
                    <w:rPr>
                      <w:rFonts w:hint="eastAsia"/>
                      <w:szCs w:val="21"/>
                    </w:rPr>
                    <w:t>300</w:t>
                  </w:r>
                </w:p>
              </w:tc>
              <w:tc>
                <w:tcPr>
                  <w:tcW w:w="518" w:type="pct"/>
                  <w:vAlign w:val="center"/>
                </w:tcPr>
                <w:p>
                  <w:pPr>
                    <w:adjustRightInd w:val="0"/>
                    <w:snapToGrid w:val="0"/>
                    <w:jc w:val="center"/>
                    <w:rPr>
                      <w:szCs w:val="21"/>
                    </w:rPr>
                  </w:pPr>
                  <w:r>
                    <w:rPr>
                      <w:rFonts w:hint="eastAsia"/>
                      <w:szCs w:val="21"/>
                    </w:rPr>
                    <w:t>180</w:t>
                  </w:r>
                </w:p>
              </w:tc>
              <w:tc>
                <w:tcPr>
                  <w:tcW w:w="544" w:type="pct"/>
                  <w:vAlign w:val="center"/>
                </w:tcPr>
                <w:p>
                  <w:pPr>
                    <w:adjustRightInd w:val="0"/>
                    <w:snapToGrid w:val="0"/>
                    <w:jc w:val="center"/>
                    <w:rPr>
                      <w:szCs w:val="21"/>
                    </w:rPr>
                  </w:pPr>
                  <w:r>
                    <w:rPr>
                      <w:rFonts w:hint="eastAsia"/>
                      <w:szCs w:val="21"/>
                    </w:rPr>
                    <w:t>200</w:t>
                  </w:r>
                </w:p>
              </w:tc>
              <w:tc>
                <w:tcPr>
                  <w:tcW w:w="584" w:type="pct"/>
                  <w:vAlign w:val="center"/>
                </w:tcPr>
                <w:p>
                  <w:pPr>
                    <w:adjustRightInd w:val="0"/>
                    <w:snapToGrid w:val="0"/>
                    <w:jc w:val="center"/>
                    <w:rPr>
                      <w:szCs w:val="21"/>
                    </w:rPr>
                  </w:pPr>
                  <w:r>
                    <w:rPr>
                      <w:rFonts w:hint="eastAsia"/>
                      <w:szCs w:val="21"/>
                    </w:rPr>
                    <w:t>20</w:t>
                  </w:r>
                </w:p>
              </w:tc>
              <w:tc>
                <w:tcPr>
                  <w:tcW w:w="633" w:type="pct"/>
                  <w:vAlign w:val="center"/>
                </w:tcPr>
                <w:p>
                  <w:pPr>
                    <w:adjustRightInd w:val="0"/>
                    <w:snapToGrid w:val="0"/>
                    <w:jc w:val="center"/>
                    <w:rPr>
                      <w:szCs w:val="21"/>
                    </w:rPr>
                  </w:pPr>
                  <w:r>
                    <w:rPr>
                      <w:rFonts w:hint="eastAsia"/>
                      <w:szCs w:val="21"/>
                    </w:rPr>
                    <w:t>150</w:t>
                  </w:r>
                </w:p>
              </w:tc>
              <w:tc>
                <w:tcPr>
                  <w:tcW w:w="468"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9" w:type="pct"/>
                  <w:gridSpan w:val="2"/>
                  <w:vAlign w:val="center"/>
                </w:tcPr>
                <w:p>
                  <w:pPr>
                    <w:adjustRightInd w:val="0"/>
                    <w:snapToGrid w:val="0"/>
                    <w:jc w:val="center"/>
                    <w:rPr>
                      <w:rFonts w:hAnsi="宋体"/>
                      <w:szCs w:val="21"/>
                    </w:rPr>
                  </w:pPr>
                  <w:r>
                    <w:rPr>
                      <w:rFonts w:hint="eastAsia" w:hAnsi="宋体"/>
                      <w:szCs w:val="21"/>
                    </w:rPr>
                    <w:t>化粪池处理效率（%）</w:t>
                  </w:r>
                </w:p>
              </w:tc>
              <w:tc>
                <w:tcPr>
                  <w:tcW w:w="561" w:type="pct"/>
                  <w:vAlign w:val="center"/>
                </w:tcPr>
                <w:p>
                  <w:pPr>
                    <w:adjustRightInd w:val="0"/>
                    <w:snapToGrid w:val="0"/>
                    <w:jc w:val="center"/>
                    <w:rPr>
                      <w:szCs w:val="21"/>
                    </w:rPr>
                  </w:pPr>
                  <w:r>
                    <w:rPr>
                      <w:rFonts w:hint="eastAsia"/>
                      <w:szCs w:val="21"/>
                    </w:rPr>
                    <w:t>15</w:t>
                  </w:r>
                </w:p>
              </w:tc>
              <w:tc>
                <w:tcPr>
                  <w:tcW w:w="518" w:type="pct"/>
                  <w:vAlign w:val="center"/>
                </w:tcPr>
                <w:p>
                  <w:pPr>
                    <w:adjustRightInd w:val="0"/>
                    <w:snapToGrid w:val="0"/>
                    <w:jc w:val="center"/>
                    <w:rPr>
                      <w:szCs w:val="21"/>
                    </w:rPr>
                  </w:pPr>
                  <w:r>
                    <w:rPr>
                      <w:rFonts w:hint="eastAsia"/>
                      <w:szCs w:val="21"/>
                    </w:rPr>
                    <w:t>30</w:t>
                  </w:r>
                </w:p>
              </w:tc>
              <w:tc>
                <w:tcPr>
                  <w:tcW w:w="544" w:type="pct"/>
                  <w:vAlign w:val="center"/>
                </w:tcPr>
                <w:p>
                  <w:pPr>
                    <w:adjustRightInd w:val="0"/>
                    <w:snapToGrid w:val="0"/>
                    <w:jc w:val="center"/>
                    <w:rPr>
                      <w:szCs w:val="21"/>
                    </w:rPr>
                  </w:pPr>
                  <w:r>
                    <w:rPr>
                      <w:rFonts w:hint="eastAsia"/>
                      <w:szCs w:val="21"/>
                    </w:rPr>
                    <w:t>30</w:t>
                  </w:r>
                </w:p>
              </w:tc>
              <w:tc>
                <w:tcPr>
                  <w:tcW w:w="584" w:type="pct"/>
                  <w:vAlign w:val="center"/>
                </w:tcPr>
                <w:p>
                  <w:pPr>
                    <w:adjustRightInd w:val="0"/>
                    <w:snapToGrid w:val="0"/>
                    <w:jc w:val="center"/>
                    <w:rPr>
                      <w:szCs w:val="21"/>
                    </w:rPr>
                  </w:pPr>
                  <w:r>
                    <w:rPr>
                      <w:rFonts w:hint="eastAsia"/>
                      <w:szCs w:val="21"/>
                    </w:rPr>
                    <w:t>3</w:t>
                  </w:r>
                </w:p>
              </w:tc>
              <w:tc>
                <w:tcPr>
                  <w:tcW w:w="633" w:type="pct"/>
                  <w:vAlign w:val="center"/>
                </w:tcPr>
                <w:p>
                  <w:pPr>
                    <w:adjustRightInd w:val="0"/>
                    <w:snapToGrid w:val="0"/>
                    <w:jc w:val="center"/>
                    <w:rPr>
                      <w:szCs w:val="21"/>
                    </w:rPr>
                  </w:pPr>
                  <w:r>
                    <w:rPr>
                      <w:rFonts w:hint="eastAsia"/>
                      <w:szCs w:val="21"/>
                    </w:rPr>
                    <w:t>75</w:t>
                  </w:r>
                </w:p>
              </w:tc>
              <w:tc>
                <w:tcPr>
                  <w:tcW w:w="468"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b/>
                      <w:bCs w:val="0"/>
                      <w:szCs w:val="21"/>
                    </w:rPr>
                  </w:pPr>
                  <w:r>
                    <w:rPr>
                      <w:rFonts w:hint="eastAsia" w:hAnsi="宋体"/>
                      <w:b/>
                      <w:bCs w:val="0"/>
                      <w:szCs w:val="21"/>
                    </w:rPr>
                    <w:t>预处理后</w:t>
                  </w:r>
                </w:p>
                <w:p>
                  <w:pPr>
                    <w:adjustRightInd w:val="0"/>
                    <w:snapToGrid w:val="0"/>
                    <w:jc w:val="center"/>
                    <w:rPr>
                      <w:rFonts w:hAnsi="宋体"/>
                      <w:b/>
                      <w:bCs w:val="0"/>
                      <w:szCs w:val="21"/>
                    </w:rPr>
                  </w:pPr>
                  <w:r>
                    <w:rPr>
                      <w:rFonts w:hint="eastAsia" w:hAnsi="宋体"/>
                      <w:b/>
                      <w:bCs w:val="0"/>
                      <w:szCs w:val="21"/>
                    </w:rPr>
                    <w:t>生活污水</w:t>
                  </w:r>
                </w:p>
              </w:tc>
              <w:tc>
                <w:tcPr>
                  <w:tcW w:w="700" w:type="pct"/>
                  <w:vAlign w:val="center"/>
                </w:tcPr>
                <w:p>
                  <w:pPr>
                    <w:adjustRightInd w:val="0"/>
                    <w:snapToGrid w:val="0"/>
                    <w:jc w:val="center"/>
                    <w:rPr>
                      <w:b/>
                      <w:bCs w:val="0"/>
                      <w:szCs w:val="21"/>
                    </w:rPr>
                  </w:pPr>
                  <w:r>
                    <w:rPr>
                      <w:rFonts w:hint="eastAsia" w:hAnsi="宋体"/>
                      <w:b/>
                      <w:bCs w:val="0"/>
                      <w:szCs w:val="21"/>
                    </w:rPr>
                    <w:t>排放浓度（</w:t>
                  </w:r>
                  <w:r>
                    <w:rPr>
                      <w:b/>
                      <w:bCs w:val="0"/>
                      <w:szCs w:val="21"/>
                    </w:rPr>
                    <w:t>mg/L</w:t>
                  </w:r>
                  <w:r>
                    <w:rPr>
                      <w:rFonts w:hint="eastAsia" w:hAnsi="宋体"/>
                      <w:b/>
                      <w:bCs w:val="0"/>
                      <w:szCs w:val="21"/>
                    </w:rPr>
                    <w:t>）</w:t>
                  </w:r>
                </w:p>
              </w:tc>
              <w:tc>
                <w:tcPr>
                  <w:tcW w:w="561" w:type="pct"/>
                  <w:vAlign w:val="center"/>
                </w:tcPr>
                <w:p>
                  <w:pPr>
                    <w:adjustRightInd w:val="0"/>
                    <w:snapToGrid w:val="0"/>
                    <w:jc w:val="center"/>
                    <w:rPr>
                      <w:b/>
                      <w:bCs w:val="0"/>
                      <w:szCs w:val="21"/>
                    </w:rPr>
                  </w:pPr>
                  <w:r>
                    <w:rPr>
                      <w:rFonts w:hint="eastAsia"/>
                      <w:b/>
                      <w:bCs w:val="0"/>
                      <w:szCs w:val="21"/>
                    </w:rPr>
                    <w:t>255</w:t>
                  </w:r>
                </w:p>
              </w:tc>
              <w:tc>
                <w:tcPr>
                  <w:tcW w:w="518" w:type="pct"/>
                  <w:vAlign w:val="center"/>
                </w:tcPr>
                <w:p>
                  <w:pPr>
                    <w:adjustRightInd w:val="0"/>
                    <w:snapToGrid w:val="0"/>
                    <w:jc w:val="center"/>
                    <w:rPr>
                      <w:b/>
                      <w:bCs w:val="0"/>
                      <w:szCs w:val="21"/>
                    </w:rPr>
                  </w:pPr>
                  <w:r>
                    <w:rPr>
                      <w:rFonts w:hint="eastAsia"/>
                      <w:b/>
                      <w:bCs w:val="0"/>
                      <w:szCs w:val="21"/>
                    </w:rPr>
                    <w:t>126</w:t>
                  </w:r>
                </w:p>
              </w:tc>
              <w:tc>
                <w:tcPr>
                  <w:tcW w:w="544" w:type="pct"/>
                  <w:vAlign w:val="center"/>
                </w:tcPr>
                <w:p>
                  <w:pPr>
                    <w:adjustRightInd w:val="0"/>
                    <w:snapToGrid w:val="0"/>
                    <w:jc w:val="center"/>
                    <w:rPr>
                      <w:b/>
                      <w:bCs w:val="0"/>
                      <w:szCs w:val="21"/>
                    </w:rPr>
                  </w:pPr>
                  <w:r>
                    <w:rPr>
                      <w:rFonts w:hint="eastAsia"/>
                      <w:b/>
                      <w:bCs w:val="0"/>
                      <w:szCs w:val="21"/>
                    </w:rPr>
                    <w:t>140</w:t>
                  </w:r>
                </w:p>
              </w:tc>
              <w:tc>
                <w:tcPr>
                  <w:tcW w:w="584" w:type="pct"/>
                  <w:vAlign w:val="center"/>
                </w:tcPr>
                <w:p>
                  <w:pPr>
                    <w:adjustRightInd w:val="0"/>
                    <w:snapToGrid w:val="0"/>
                    <w:jc w:val="center"/>
                    <w:rPr>
                      <w:b/>
                      <w:bCs w:val="0"/>
                      <w:szCs w:val="21"/>
                    </w:rPr>
                  </w:pPr>
                  <w:r>
                    <w:rPr>
                      <w:rFonts w:hint="eastAsia"/>
                      <w:b/>
                      <w:bCs w:val="0"/>
                      <w:szCs w:val="21"/>
                    </w:rPr>
                    <w:t>19.4</w:t>
                  </w:r>
                </w:p>
              </w:tc>
              <w:tc>
                <w:tcPr>
                  <w:tcW w:w="633" w:type="pct"/>
                  <w:vAlign w:val="center"/>
                </w:tcPr>
                <w:p>
                  <w:pPr>
                    <w:adjustRightInd w:val="0"/>
                    <w:snapToGrid w:val="0"/>
                    <w:jc w:val="center"/>
                    <w:rPr>
                      <w:b/>
                      <w:bCs w:val="0"/>
                      <w:szCs w:val="21"/>
                    </w:rPr>
                  </w:pPr>
                  <w:r>
                    <w:rPr>
                      <w:rFonts w:hint="eastAsia"/>
                      <w:b/>
                      <w:bCs w:val="0"/>
                      <w:szCs w:val="21"/>
                    </w:rPr>
                    <w:t>37.5</w:t>
                  </w:r>
                </w:p>
              </w:tc>
              <w:tc>
                <w:tcPr>
                  <w:tcW w:w="468" w:type="pct"/>
                  <w:vAlign w:val="center"/>
                </w:tcPr>
                <w:p>
                  <w:pPr>
                    <w:adjustRightInd w:val="0"/>
                    <w:snapToGrid w:val="0"/>
                    <w:jc w:val="center"/>
                    <w:rPr>
                      <w:b/>
                      <w:szCs w:val="21"/>
                    </w:rPr>
                  </w:pPr>
                  <w:r>
                    <w:rPr>
                      <w:rFonts w:hint="eastAsia"/>
                      <w:b/>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hAnsi="宋体"/>
                      <w:szCs w:val="21"/>
                    </w:rPr>
                    <w:t>车库地面清洗废水</w:t>
                  </w:r>
                </w:p>
              </w:tc>
              <w:tc>
                <w:tcPr>
                  <w:tcW w:w="700" w:type="pct"/>
                  <w:vAlign w:val="center"/>
                </w:tcPr>
                <w:p>
                  <w:pPr>
                    <w:adjustRightInd w:val="0"/>
                    <w:snapToGrid w:val="0"/>
                    <w:jc w:val="center"/>
                    <w:rPr>
                      <w:szCs w:val="21"/>
                    </w:rPr>
                  </w:pPr>
                  <w:r>
                    <w:rPr>
                      <w:rFonts w:hint="eastAsia" w:hAnsi="宋体"/>
                      <w:szCs w:val="21"/>
                    </w:rPr>
                    <w:t>产生浓度（</w:t>
                  </w:r>
                  <w:r>
                    <w:rPr>
                      <w:szCs w:val="21"/>
                    </w:rPr>
                    <w:t>mg/L</w:t>
                  </w:r>
                  <w:r>
                    <w:rPr>
                      <w:rFonts w:hint="eastAsia" w:hAnsi="宋体"/>
                      <w:szCs w:val="21"/>
                    </w:rPr>
                    <w:t>）</w:t>
                  </w:r>
                </w:p>
              </w:tc>
              <w:tc>
                <w:tcPr>
                  <w:tcW w:w="561" w:type="pct"/>
                  <w:vAlign w:val="center"/>
                </w:tcPr>
                <w:p>
                  <w:pPr>
                    <w:adjustRightInd w:val="0"/>
                    <w:snapToGrid w:val="0"/>
                    <w:jc w:val="center"/>
                    <w:rPr>
                      <w:szCs w:val="21"/>
                    </w:rPr>
                  </w:pPr>
                  <w:r>
                    <w:rPr>
                      <w:rFonts w:hint="eastAsia"/>
                      <w:szCs w:val="21"/>
                    </w:rPr>
                    <w:t>150</w:t>
                  </w:r>
                </w:p>
              </w:tc>
              <w:tc>
                <w:tcPr>
                  <w:tcW w:w="518" w:type="pct"/>
                  <w:vAlign w:val="center"/>
                </w:tcPr>
                <w:p>
                  <w:pPr>
                    <w:adjustRightInd w:val="0"/>
                    <w:snapToGrid w:val="0"/>
                    <w:jc w:val="center"/>
                    <w:rPr>
                      <w:szCs w:val="21"/>
                    </w:rPr>
                  </w:pPr>
                  <w:r>
                    <w:rPr>
                      <w:rFonts w:hint="eastAsia"/>
                      <w:szCs w:val="21"/>
                    </w:rPr>
                    <w:t>/</w:t>
                  </w:r>
                </w:p>
              </w:tc>
              <w:tc>
                <w:tcPr>
                  <w:tcW w:w="544" w:type="pct"/>
                  <w:vAlign w:val="center"/>
                </w:tcPr>
                <w:p>
                  <w:pPr>
                    <w:adjustRightInd w:val="0"/>
                    <w:snapToGrid w:val="0"/>
                    <w:jc w:val="center"/>
                    <w:rPr>
                      <w:szCs w:val="21"/>
                    </w:rPr>
                  </w:pPr>
                  <w:r>
                    <w:rPr>
                      <w:rFonts w:hint="eastAsia"/>
                      <w:szCs w:val="21"/>
                    </w:rPr>
                    <w:t>100</w:t>
                  </w:r>
                </w:p>
              </w:tc>
              <w:tc>
                <w:tcPr>
                  <w:tcW w:w="584" w:type="pct"/>
                  <w:vAlign w:val="center"/>
                </w:tcPr>
                <w:p>
                  <w:pPr>
                    <w:adjustRightInd w:val="0"/>
                    <w:snapToGrid w:val="0"/>
                    <w:jc w:val="center"/>
                    <w:rPr>
                      <w:szCs w:val="21"/>
                    </w:rPr>
                  </w:pPr>
                  <w:r>
                    <w:rPr>
                      <w:rFonts w:hint="eastAsia"/>
                      <w:szCs w:val="21"/>
                    </w:rPr>
                    <w:t>/</w:t>
                  </w:r>
                </w:p>
              </w:tc>
              <w:tc>
                <w:tcPr>
                  <w:tcW w:w="633" w:type="pct"/>
                  <w:vAlign w:val="center"/>
                </w:tcPr>
                <w:p>
                  <w:pPr>
                    <w:adjustRightInd w:val="0"/>
                    <w:snapToGrid w:val="0"/>
                    <w:jc w:val="center"/>
                    <w:rPr>
                      <w:szCs w:val="21"/>
                    </w:rPr>
                  </w:pPr>
                  <w:r>
                    <w:rPr>
                      <w:rFonts w:hint="eastAsia"/>
                      <w:szCs w:val="21"/>
                    </w:rPr>
                    <w:t>/</w:t>
                  </w:r>
                </w:p>
              </w:tc>
              <w:tc>
                <w:tcPr>
                  <w:tcW w:w="468"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9" w:type="pct"/>
                  <w:gridSpan w:val="2"/>
                  <w:vAlign w:val="center"/>
                </w:tcPr>
                <w:p>
                  <w:pPr>
                    <w:adjustRightInd w:val="0"/>
                    <w:snapToGrid w:val="0"/>
                    <w:jc w:val="center"/>
                    <w:rPr>
                      <w:rFonts w:hAnsi="宋体"/>
                      <w:szCs w:val="21"/>
                    </w:rPr>
                  </w:pPr>
                  <w:r>
                    <w:rPr>
                      <w:rFonts w:hint="eastAsia" w:hAnsi="宋体"/>
                      <w:szCs w:val="21"/>
                    </w:rPr>
                    <w:t>隔油沉淀池处理效率（%）</w:t>
                  </w:r>
                </w:p>
              </w:tc>
              <w:tc>
                <w:tcPr>
                  <w:tcW w:w="561" w:type="pct"/>
                  <w:vAlign w:val="center"/>
                </w:tcPr>
                <w:p>
                  <w:pPr>
                    <w:adjustRightInd w:val="0"/>
                    <w:snapToGrid w:val="0"/>
                    <w:jc w:val="center"/>
                    <w:rPr>
                      <w:szCs w:val="21"/>
                    </w:rPr>
                  </w:pPr>
                  <w:r>
                    <w:rPr>
                      <w:rFonts w:hint="eastAsia"/>
                      <w:szCs w:val="21"/>
                    </w:rPr>
                    <w:t>0</w:t>
                  </w:r>
                </w:p>
              </w:tc>
              <w:tc>
                <w:tcPr>
                  <w:tcW w:w="518" w:type="pct"/>
                  <w:vAlign w:val="center"/>
                </w:tcPr>
                <w:p>
                  <w:pPr>
                    <w:adjustRightInd w:val="0"/>
                    <w:snapToGrid w:val="0"/>
                    <w:jc w:val="center"/>
                    <w:rPr>
                      <w:szCs w:val="21"/>
                    </w:rPr>
                  </w:pPr>
                  <w:r>
                    <w:rPr>
                      <w:rFonts w:hint="eastAsia"/>
                      <w:szCs w:val="21"/>
                    </w:rPr>
                    <w:t>/</w:t>
                  </w:r>
                </w:p>
              </w:tc>
              <w:tc>
                <w:tcPr>
                  <w:tcW w:w="544" w:type="pct"/>
                  <w:vAlign w:val="center"/>
                </w:tcPr>
                <w:p>
                  <w:pPr>
                    <w:adjustRightInd w:val="0"/>
                    <w:snapToGrid w:val="0"/>
                    <w:jc w:val="center"/>
                    <w:rPr>
                      <w:szCs w:val="21"/>
                    </w:rPr>
                  </w:pPr>
                  <w:r>
                    <w:rPr>
                      <w:rFonts w:hint="eastAsia"/>
                      <w:szCs w:val="21"/>
                    </w:rPr>
                    <w:t>30</w:t>
                  </w:r>
                </w:p>
              </w:tc>
              <w:tc>
                <w:tcPr>
                  <w:tcW w:w="584" w:type="pct"/>
                  <w:vAlign w:val="center"/>
                </w:tcPr>
                <w:p>
                  <w:pPr>
                    <w:adjustRightInd w:val="0"/>
                    <w:snapToGrid w:val="0"/>
                    <w:jc w:val="center"/>
                    <w:rPr>
                      <w:szCs w:val="21"/>
                    </w:rPr>
                  </w:pPr>
                  <w:r>
                    <w:rPr>
                      <w:rFonts w:hint="eastAsia"/>
                      <w:szCs w:val="21"/>
                    </w:rPr>
                    <w:t>/</w:t>
                  </w:r>
                </w:p>
              </w:tc>
              <w:tc>
                <w:tcPr>
                  <w:tcW w:w="633" w:type="pct"/>
                  <w:vAlign w:val="center"/>
                </w:tcPr>
                <w:p>
                  <w:pPr>
                    <w:adjustRightInd w:val="0"/>
                    <w:snapToGrid w:val="0"/>
                    <w:jc w:val="center"/>
                    <w:rPr>
                      <w:szCs w:val="21"/>
                    </w:rPr>
                  </w:pPr>
                  <w:r>
                    <w:rPr>
                      <w:rFonts w:hint="eastAsia"/>
                      <w:szCs w:val="21"/>
                    </w:rPr>
                    <w:t>/</w:t>
                  </w:r>
                </w:p>
              </w:tc>
              <w:tc>
                <w:tcPr>
                  <w:tcW w:w="468" w:type="pct"/>
                  <w:vAlign w:val="center"/>
                </w:tcPr>
                <w:p>
                  <w:pPr>
                    <w:adjustRightInd w:val="0"/>
                    <w:snapToGrid w:val="0"/>
                    <w:jc w:val="center"/>
                    <w:rPr>
                      <w:szCs w:val="21"/>
                    </w:rPr>
                  </w:pPr>
                  <w:r>
                    <w:rPr>
                      <w:rFonts w:hint="eastAsia"/>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预处理后清洗废水</w:t>
                  </w:r>
                </w:p>
              </w:tc>
              <w:tc>
                <w:tcPr>
                  <w:tcW w:w="700" w:type="pct"/>
                  <w:vAlign w:val="center"/>
                </w:tcPr>
                <w:p>
                  <w:pPr>
                    <w:adjustRightInd w:val="0"/>
                    <w:snapToGrid w:val="0"/>
                    <w:jc w:val="center"/>
                    <w:rPr>
                      <w:szCs w:val="21"/>
                    </w:rPr>
                  </w:pPr>
                  <w:r>
                    <w:rPr>
                      <w:rFonts w:hint="eastAsia" w:hAnsi="宋体"/>
                      <w:szCs w:val="21"/>
                    </w:rPr>
                    <w:t>排放浓度（</w:t>
                  </w:r>
                  <w:r>
                    <w:rPr>
                      <w:szCs w:val="21"/>
                    </w:rPr>
                    <w:t>mg/L</w:t>
                  </w:r>
                  <w:r>
                    <w:rPr>
                      <w:rFonts w:hint="eastAsia" w:hAnsi="宋体"/>
                      <w:szCs w:val="21"/>
                    </w:rPr>
                    <w:t>）</w:t>
                  </w:r>
                </w:p>
              </w:tc>
              <w:tc>
                <w:tcPr>
                  <w:tcW w:w="561" w:type="pct"/>
                  <w:vAlign w:val="center"/>
                </w:tcPr>
                <w:p>
                  <w:pPr>
                    <w:adjustRightInd w:val="0"/>
                    <w:snapToGrid w:val="0"/>
                    <w:jc w:val="center"/>
                    <w:rPr>
                      <w:szCs w:val="21"/>
                    </w:rPr>
                  </w:pPr>
                  <w:r>
                    <w:rPr>
                      <w:rFonts w:hint="eastAsia"/>
                      <w:szCs w:val="21"/>
                    </w:rPr>
                    <w:t>150</w:t>
                  </w:r>
                </w:p>
              </w:tc>
              <w:tc>
                <w:tcPr>
                  <w:tcW w:w="518" w:type="pct"/>
                  <w:vAlign w:val="center"/>
                </w:tcPr>
                <w:p>
                  <w:pPr>
                    <w:adjustRightInd w:val="0"/>
                    <w:snapToGrid w:val="0"/>
                    <w:jc w:val="center"/>
                    <w:rPr>
                      <w:szCs w:val="21"/>
                    </w:rPr>
                  </w:pPr>
                  <w:r>
                    <w:rPr>
                      <w:rFonts w:hint="eastAsia"/>
                      <w:szCs w:val="21"/>
                    </w:rPr>
                    <w:t>/</w:t>
                  </w:r>
                </w:p>
              </w:tc>
              <w:tc>
                <w:tcPr>
                  <w:tcW w:w="544" w:type="pct"/>
                  <w:vAlign w:val="center"/>
                </w:tcPr>
                <w:p>
                  <w:pPr>
                    <w:adjustRightInd w:val="0"/>
                    <w:snapToGrid w:val="0"/>
                    <w:jc w:val="center"/>
                    <w:rPr>
                      <w:szCs w:val="21"/>
                    </w:rPr>
                  </w:pPr>
                  <w:r>
                    <w:rPr>
                      <w:rFonts w:hint="eastAsia"/>
                      <w:szCs w:val="21"/>
                    </w:rPr>
                    <w:t>70</w:t>
                  </w:r>
                </w:p>
              </w:tc>
              <w:tc>
                <w:tcPr>
                  <w:tcW w:w="584" w:type="pct"/>
                  <w:vAlign w:val="center"/>
                </w:tcPr>
                <w:p>
                  <w:pPr>
                    <w:adjustRightInd w:val="0"/>
                    <w:snapToGrid w:val="0"/>
                    <w:jc w:val="center"/>
                    <w:rPr>
                      <w:szCs w:val="21"/>
                    </w:rPr>
                  </w:pPr>
                  <w:r>
                    <w:rPr>
                      <w:rFonts w:hint="eastAsia"/>
                      <w:szCs w:val="21"/>
                    </w:rPr>
                    <w:t>/</w:t>
                  </w:r>
                </w:p>
              </w:tc>
              <w:tc>
                <w:tcPr>
                  <w:tcW w:w="633" w:type="pct"/>
                  <w:vAlign w:val="center"/>
                </w:tcPr>
                <w:p>
                  <w:pPr>
                    <w:adjustRightInd w:val="0"/>
                    <w:snapToGrid w:val="0"/>
                    <w:jc w:val="center"/>
                    <w:rPr>
                      <w:szCs w:val="21"/>
                    </w:rPr>
                  </w:pPr>
                  <w:r>
                    <w:rPr>
                      <w:rFonts w:hint="eastAsia"/>
                      <w:szCs w:val="21"/>
                    </w:rPr>
                    <w:t>/</w:t>
                  </w:r>
                </w:p>
              </w:tc>
              <w:tc>
                <w:tcPr>
                  <w:tcW w:w="468" w:type="pct"/>
                  <w:vAlign w:val="center"/>
                </w:tcPr>
                <w:p>
                  <w:pPr>
                    <w:adjustRightInd w:val="0"/>
                    <w:snapToGrid w:val="0"/>
                    <w:jc w:val="center"/>
                    <w:rPr>
                      <w:szCs w:val="21"/>
                    </w:rPr>
                  </w:pPr>
                  <w:r>
                    <w:rPr>
                      <w:rFonts w:hint="eastAsia"/>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b/>
                      <w:szCs w:val="21"/>
                    </w:rPr>
                  </w:pPr>
                  <w:r>
                    <w:rPr>
                      <w:rFonts w:hAnsi="宋体"/>
                      <w:b/>
                      <w:szCs w:val="21"/>
                    </w:rPr>
                    <w:t>混合后污、废水</w:t>
                  </w:r>
                </w:p>
              </w:tc>
              <w:tc>
                <w:tcPr>
                  <w:tcW w:w="700" w:type="pct"/>
                  <w:vAlign w:val="center"/>
                </w:tcPr>
                <w:p>
                  <w:pPr>
                    <w:adjustRightInd w:val="0"/>
                    <w:snapToGrid w:val="0"/>
                    <w:jc w:val="center"/>
                    <w:rPr>
                      <w:rFonts w:hAnsi="宋体"/>
                      <w:b/>
                      <w:szCs w:val="21"/>
                    </w:rPr>
                  </w:pPr>
                  <w:r>
                    <w:rPr>
                      <w:rFonts w:hint="eastAsia" w:hAnsi="宋体"/>
                      <w:b/>
                      <w:szCs w:val="21"/>
                    </w:rPr>
                    <w:t>排放浓度（</w:t>
                  </w:r>
                  <w:r>
                    <w:rPr>
                      <w:b/>
                      <w:szCs w:val="21"/>
                    </w:rPr>
                    <w:t>mg/L</w:t>
                  </w:r>
                  <w:r>
                    <w:rPr>
                      <w:rFonts w:hint="eastAsia" w:hAnsi="宋体"/>
                      <w:b/>
                      <w:szCs w:val="21"/>
                    </w:rPr>
                    <w:t>）</w:t>
                  </w:r>
                </w:p>
              </w:tc>
              <w:tc>
                <w:tcPr>
                  <w:tcW w:w="561" w:type="pct"/>
                  <w:vAlign w:val="center"/>
                </w:tcPr>
                <w:p>
                  <w:pPr>
                    <w:adjustRightInd w:val="0"/>
                    <w:snapToGrid w:val="0"/>
                    <w:jc w:val="center"/>
                    <w:rPr>
                      <w:rFonts w:hint="default" w:eastAsia="宋体"/>
                      <w:b/>
                      <w:szCs w:val="21"/>
                      <w:lang w:val="en-US" w:eastAsia="zh-CN"/>
                    </w:rPr>
                  </w:pPr>
                  <w:r>
                    <w:rPr>
                      <w:rFonts w:hint="eastAsia"/>
                      <w:b/>
                      <w:szCs w:val="21"/>
                      <w:lang w:val="en-US" w:eastAsia="zh-CN"/>
                    </w:rPr>
                    <w:t>252</w:t>
                  </w:r>
                </w:p>
              </w:tc>
              <w:tc>
                <w:tcPr>
                  <w:tcW w:w="518" w:type="pct"/>
                  <w:vAlign w:val="center"/>
                </w:tcPr>
                <w:p>
                  <w:pPr>
                    <w:adjustRightInd w:val="0"/>
                    <w:snapToGrid w:val="0"/>
                    <w:jc w:val="center"/>
                    <w:rPr>
                      <w:rFonts w:hint="default" w:eastAsia="宋体"/>
                      <w:b/>
                      <w:szCs w:val="21"/>
                      <w:lang w:val="en-US" w:eastAsia="zh-CN"/>
                    </w:rPr>
                  </w:pPr>
                  <w:r>
                    <w:rPr>
                      <w:rFonts w:hint="eastAsia"/>
                      <w:b/>
                      <w:szCs w:val="21"/>
                      <w:lang w:val="en-US" w:eastAsia="zh-CN"/>
                    </w:rPr>
                    <w:t>122.39</w:t>
                  </w:r>
                </w:p>
              </w:tc>
              <w:tc>
                <w:tcPr>
                  <w:tcW w:w="544" w:type="pct"/>
                  <w:vAlign w:val="center"/>
                </w:tcPr>
                <w:p>
                  <w:pPr>
                    <w:adjustRightInd w:val="0"/>
                    <w:snapToGrid w:val="0"/>
                    <w:jc w:val="center"/>
                    <w:rPr>
                      <w:rFonts w:hint="default" w:eastAsia="宋体"/>
                      <w:b/>
                      <w:szCs w:val="21"/>
                      <w:lang w:val="en-US" w:eastAsia="zh-CN"/>
                    </w:rPr>
                  </w:pPr>
                  <w:r>
                    <w:rPr>
                      <w:rFonts w:hint="eastAsia"/>
                      <w:b/>
                      <w:szCs w:val="21"/>
                      <w:lang w:val="en-US" w:eastAsia="zh-CN"/>
                    </w:rPr>
                    <w:t>138</w:t>
                  </w:r>
                </w:p>
              </w:tc>
              <w:tc>
                <w:tcPr>
                  <w:tcW w:w="584" w:type="pct"/>
                  <w:vAlign w:val="center"/>
                </w:tcPr>
                <w:p>
                  <w:pPr>
                    <w:adjustRightInd w:val="0"/>
                    <w:snapToGrid w:val="0"/>
                    <w:jc w:val="center"/>
                    <w:rPr>
                      <w:rFonts w:hint="default" w:eastAsia="宋体"/>
                      <w:b/>
                      <w:szCs w:val="21"/>
                      <w:lang w:val="en-US" w:eastAsia="zh-CN"/>
                    </w:rPr>
                  </w:pPr>
                  <w:r>
                    <w:rPr>
                      <w:rFonts w:hint="eastAsia"/>
                      <w:b/>
                      <w:szCs w:val="21"/>
                      <w:lang w:val="en-US" w:eastAsia="zh-CN"/>
                    </w:rPr>
                    <w:t>18.84</w:t>
                  </w:r>
                </w:p>
              </w:tc>
              <w:tc>
                <w:tcPr>
                  <w:tcW w:w="633" w:type="pct"/>
                  <w:vAlign w:val="center"/>
                </w:tcPr>
                <w:p>
                  <w:pPr>
                    <w:adjustRightInd w:val="0"/>
                    <w:snapToGrid w:val="0"/>
                    <w:jc w:val="center"/>
                    <w:rPr>
                      <w:rFonts w:hint="default" w:eastAsia="宋体"/>
                      <w:b/>
                      <w:szCs w:val="21"/>
                      <w:lang w:val="en-US" w:eastAsia="zh-CN"/>
                    </w:rPr>
                  </w:pPr>
                  <w:r>
                    <w:rPr>
                      <w:rFonts w:hint="eastAsia"/>
                      <w:b/>
                      <w:szCs w:val="21"/>
                      <w:lang w:val="en-US" w:eastAsia="zh-CN"/>
                    </w:rPr>
                    <w:t>36.43</w:t>
                  </w:r>
                </w:p>
              </w:tc>
              <w:tc>
                <w:tcPr>
                  <w:tcW w:w="468" w:type="pct"/>
                  <w:vAlign w:val="center"/>
                </w:tcPr>
                <w:p>
                  <w:pPr>
                    <w:adjustRightInd w:val="0"/>
                    <w:snapToGrid w:val="0"/>
                    <w:jc w:val="center"/>
                    <w:rPr>
                      <w:rFonts w:hint="default" w:eastAsia="宋体"/>
                      <w:b/>
                      <w:szCs w:val="21"/>
                      <w:lang w:val="en-US" w:eastAsia="zh-CN"/>
                    </w:rPr>
                  </w:pPr>
                  <w:r>
                    <w:rPr>
                      <w:rFonts w:hint="eastAsia"/>
                      <w:b/>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混合后污、废水排放量：275950.059</w:t>
                  </w:r>
                  <w:r>
                    <w:rPr>
                      <w:szCs w:val="21"/>
                    </w:rPr>
                    <w:t>m</w:t>
                  </w:r>
                  <w:r>
                    <w:rPr>
                      <w:szCs w:val="21"/>
                      <w:vertAlign w:val="superscript"/>
                    </w:rPr>
                    <w:t>3</w:t>
                  </w:r>
                  <w:r>
                    <w:rPr>
                      <w:szCs w:val="21"/>
                    </w:rPr>
                    <w:t>/</w:t>
                  </w:r>
                  <w:r>
                    <w:rPr>
                      <w:rFonts w:hint="eastAsia"/>
                      <w:szCs w:val="21"/>
                    </w:rPr>
                    <w:t>a</w:t>
                  </w:r>
                </w:p>
              </w:tc>
              <w:tc>
                <w:tcPr>
                  <w:tcW w:w="700" w:type="pct"/>
                  <w:vAlign w:val="center"/>
                </w:tcPr>
                <w:p>
                  <w:pPr>
                    <w:adjustRightInd w:val="0"/>
                    <w:snapToGrid w:val="0"/>
                    <w:jc w:val="center"/>
                    <w:rPr>
                      <w:rFonts w:hAnsi="宋体"/>
                      <w:szCs w:val="21"/>
                    </w:rPr>
                  </w:pPr>
                  <w:r>
                    <w:rPr>
                      <w:rFonts w:hint="eastAsia" w:hAnsi="宋体"/>
                      <w:szCs w:val="21"/>
                    </w:rPr>
                    <w:t>混合后污、废水污染物排放量</w:t>
                  </w:r>
                  <w:r>
                    <w:rPr>
                      <w:rFonts w:hint="eastAsia"/>
                      <w:szCs w:val="21"/>
                    </w:rPr>
                    <w:t>（t/a）</w:t>
                  </w:r>
                </w:p>
              </w:tc>
              <w:tc>
                <w:tcPr>
                  <w:tcW w:w="561" w:type="pct"/>
                  <w:vAlign w:val="center"/>
                </w:tcPr>
                <w:p>
                  <w:pPr>
                    <w:adjustRightInd w:val="0"/>
                    <w:snapToGrid w:val="0"/>
                    <w:jc w:val="center"/>
                    <w:rPr>
                      <w:rFonts w:hint="default" w:eastAsia="宋体"/>
                      <w:szCs w:val="21"/>
                      <w:lang w:val="en-US" w:eastAsia="zh-CN"/>
                    </w:rPr>
                  </w:pPr>
                  <w:r>
                    <w:rPr>
                      <w:rFonts w:hint="eastAsia"/>
                      <w:szCs w:val="21"/>
                      <w:lang w:val="en-US" w:eastAsia="zh-CN"/>
                    </w:rPr>
                    <w:t>69.54</w:t>
                  </w:r>
                </w:p>
              </w:tc>
              <w:tc>
                <w:tcPr>
                  <w:tcW w:w="518" w:type="pct"/>
                  <w:vAlign w:val="center"/>
                </w:tcPr>
                <w:p>
                  <w:pPr>
                    <w:adjustRightInd w:val="0"/>
                    <w:snapToGrid w:val="0"/>
                    <w:jc w:val="center"/>
                    <w:rPr>
                      <w:rFonts w:hint="default" w:eastAsia="宋体"/>
                      <w:szCs w:val="21"/>
                      <w:lang w:val="en-US" w:eastAsia="zh-CN"/>
                    </w:rPr>
                  </w:pPr>
                  <w:r>
                    <w:rPr>
                      <w:rFonts w:hint="eastAsia"/>
                      <w:szCs w:val="21"/>
                      <w:lang w:val="en-US" w:eastAsia="zh-CN"/>
                    </w:rPr>
                    <w:t>33.77</w:t>
                  </w:r>
                </w:p>
              </w:tc>
              <w:tc>
                <w:tcPr>
                  <w:tcW w:w="544" w:type="pct"/>
                  <w:vAlign w:val="center"/>
                </w:tcPr>
                <w:p>
                  <w:pPr>
                    <w:adjustRightInd w:val="0"/>
                    <w:snapToGrid w:val="0"/>
                    <w:jc w:val="center"/>
                    <w:rPr>
                      <w:rFonts w:hint="default" w:eastAsia="宋体"/>
                      <w:szCs w:val="21"/>
                      <w:lang w:val="en-US" w:eastAsia="zh-CN"/>
                    </w:rPr>
                  </w:pPr>
                  <w:r>
                    <w:rPr>
                      <w:rFonts w:hint="eastAsia"/>
                      <w:szCs w:val="21"/>
                      <w:lang w:val="en-US" w:eastAsia="zh-CN"/>
                    </w:rPr>
                    <w:t>38.08</w:t>
                  </w:r>
                </w:p>
              </w:tc>
              <w:tc>
                <w:tcPr>
                  <w:tcW w:w="584" w:type="pct"/>
                  <w:vAlign w:val="center"/>
                </w:tcPr>
                <w:p>
                  <w:pPr>
                    <w:adjustRightInd w:val="0"/>
                    <w:snapToGrid w:val="0"/>
                    <w:jc w:val="center"/>
                    <w:rPr>
                      <w:rFonts w:hint="default" w:eastAsia="宋体"/>
                      <w:szCs w:val="21"/>
                      <w:lang w:val="en-US" w:eastAsia="zh-CN"/>
                    </w:rPr>
                  </w:pPr>
                  <w:r>
                    <w:rPr>
                      <w:rFonts w:hint="eastAsia"/>
                      <w:szCs w:val="21"/>
                      <w:lang w:val="en-US" w:eastAsia="zh-CN"/>
                    </w:rPr>
                    <w:t>5.2</w:t>
                  </w:r>
                </w:p>
              </w:tc>
              <w:tc>
                <w:tcPr>
                  <w:tcW w:w="633" w:type="pct"/>
                  <w:vAlign w:val="center"/>
                </w:tcPr>
                <w:p>
                  <w:pPr>
                    <w:adjustRightInd w:val="0"/>
                    <w:snapToGrid w:val="0"/>
                    <w:jc w:val="center"/>
                    <w:rPr>
                      <w:rFonts w:hint="default" w:eastAsia="宋体"/>
                      <w:szCs w:val="21"/>
                      <w:lang w:val="en-US" w:eastAsia="zh-CN"/>
                    </w:rPr>
                  </w:pPr>
                  <w:r>
                    <w:rPr>
                      <w:rFonts w:hint="eastAsia"/>
                      <w:szCs w:val="21"/>
                      <w:lang w:val="en-US" w:eastAsia="zh-CN"/>
                    </w:rPr>
                    <w:t>10.05</w:t>
                  </w:r>
                </w:p>
              </w:tc>
              <w:tc>
                <w:tcPr>
                  <w:tcW w:w="468" w:type="pct"/>
                  <w:vAlign w:val="center"/>
                </w:tcPr>
                <w:p>
                  <w:pPr>
                    <w:adjustRightInd w:val="0"/>
                    <w:snapToGrid w:val="0"/>
                    <w:jc w:val="center"/>
                    <w:rPr>
                      <w:rFonts w:hint="default" w:eastAsia="宋体"/>
                      <w:szCs w:val="21"/>
                      <w:lang w:val="en-US" w:eastAsia="zh-CN"/>
                    </w:rPr>
                  </w:pPr>
                  <w:r>
                    <w:rPr>
                      <w:rFonts w:hint="eastAsia"/>
                      <w:szCs w:val="21"/>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9" w:type="pct"/>
                  <w:gridSpan w:val="2"/>
                  <w:vAlign w:val="center"/>
                </w:tcPr>
                <w:p>
                  <w:pPr>
                    <w:adjustRightInd w:val="0"/>
                    <w:snapToGrid w:val="0"/>
                    <w:jc w:val="center"/>
                    <w:rPr>
                      <w:rFonts w:hAnsi="宋体"/>
                      <w:szCs w:val="21"/>
                    </w:rPr>
                  </w:pPr>
                  <w:r>
                    <w:rPr>
                      <w:rFonts w:hint="eastAsia" w:hAnsi="宋体"/>
                      <w:szCs w:val="21"/>
                    </w:rPr>
                    <w:t>本项目执行《污水综合排放标准》（GB8978-1996）中三级标准</w:t>
                  </w:r>
                </w:p>
                <w:p>
                  <w:pPr>
                    <w:adjustRightInd w:val="0"/>
                    <w:snapToGrid w:val="0"/>
                    <w:jc w:val="center"/>
                    <w:rPr>
                      <w:rFonts w:hAnsi="宋体"/>
                      <w:szCs w:val="21"/>
                    </w:rPr>
                  </w:pPr>
                  <w:r>
                    <w:rPr>
                      <w:rFonts w:hint="eastAsia" w:hAnsi="宋体"/>
                      <w:szCs w:val="21"/>
                    </w:rPr>
                    <w:t>（并满足岳阳市马壕污水处理厂进水水质标准）</w:t>
                  </w:r>
                </w:p>
              </w:tc>
              <w:tc>
                <w:tcPr>
                  <w:tcW w:w="561" w:type="pct"/>
                  <w:vAlign w:val="center"/>
                </w:tcPr>
                <w:p>
                  <w:pPr>
                    <w:adjustRightInd w:val="0"/>
                    <w:snapToGrid w:val="0"/>
                    <w:jc w:val="center"/>
                    <w:rPr>
                      <w:szCs w:val="21"/>
                    </w:rPr>
                  </w:pPr>
                  <w:r>
                    <w:rPr>
                      <w:rFonts w:hint="eastAsia"/>
                      <w:szCs w:val="21"/>
                    </w:rPr>
                    <w:t>500</w:t>
                  </w:r>
                </w:p>
              </w:tc>
              <w:tc>
                <w:tcPr>
                  <w:tcW w:w="518" w:type="pct"/>
                  <w:vAlign w:val="center"/>
                </w:tcPr>
                <w:p>
                  <w:pPr>
                    <w:adjustRightInd w:val="0"/>
                    <w:snapToGrid w:val="0"/>
                    <w:jc w:val="center"/>
                    <w:rPr>
                      <w:szCs w:val="21"/>
                    </w:rPr>
                  </w:pPr>
                  <w:r>
                    <w:rPr>
                      <w:rFonts w:hint="eastAsia"/>
                      <w:szCs w:val="21"/>
                    </w:rPr>
                    <w:t>130</w:t>
                  </w:r>
                </w:p>
              </w:tc>
              <w:tc>
                <w:tcPr>
                  <w:tcW w:w="544" w:type="pct"/>
                  <w:vAlign w:val="center"/>
                </w:tcPr>
                <w:p>
                  <w:pPr>
                    <w:adjustRightInd w:val="0"/>
                    <w:snapToGrid w:val="0"/>
                    <w:jc w:val="center"/>
                    <w:rPr>
                      <w:szCs w:val="21"/>
                    </w:rPr>
                  </w:pPr>
                  <w:r>
                    <w:rPr>
                      <w:rFonts w:hint="eastAsia"/>
                      <w:szCs w:val="21"/>
                    </w:rPr>
                    <w:t>200</w:t>
                  </w:r>
                </w:p>
              </w:tc>
              <w:tc>
                <w:tcPr>
                  <w:tcW w:w="584" w:type="pct"/>
                  <w:vAlign w:val="center"/>
                </w:tcPr>
                <w:p>
                  <w:pPr>
                    <w:adjustRightInd w:val="0"/>
                    <w:snapToGrid w:val="0"/>
                    <w:jc w:val="center"/>
                    <w:rPr>
                      <w:szCs w:val="21"/>
                    </w:rPr>
                  </w:pPr>
                  <w:r>
                    <w:rPr>
                      <w:rFonts w:hint="eastAsia"/>
                      <w:szCs w:val="21"/>
                    </w:rPr>
                    <w:t>25</w:t>
                  </w:r>
                </w:p>
              </w:tc>
              <w:tc>
                <w:tcPr>
                  <w:tcW w:w="633" w:type="pct"/>
                  <w:vAlign w:val="center"/>
                </w:tcPr>
                <w:p>
                  <w:pPr>
                    <w:adjustRightInd w:val="0"/>
                    <w:snapToGrid w:val="0"/>
                    <w:jc w:val="center"/>
                    <w:rPr>
                      <w:szCs w:val="21"/>
                    </w:rPr>
                  </w:pPr>
                  <w:r>
                    <w:rPr>
                      <w:rFonts w:hint="eastAsia"/>
                      <w:szCs w:val="21"/>
                    </w:rPr>
                    <w:t>100</w:t>
                  </w:r>
                </w:p>
              </w:tc>
              <w:tc>
                <w:tcPr>
                  <w:tcW w:w="468" w:type="pct"/>
                  <w:vAlign w:val="center"/>
                </w:tcPr>
                <w:p>
                  <w:pPr>
                    <w:adjustRightInd w:val="0"/>
                    <w:snapToGrid w:val="0"/>
                    <w:jc w:val="center"/>
                    <w:rPr>
                      <w:szCs w:val="21"/>
                    </w:rPr>
                  </w:pPr>
                  <w:r>
                    <w:rPr>
                      <w:rFonts w:hint="eastAsia"/>
                      <w:szCs w:val="21"/>
                    </w:rPr>
                    <w:t>30</w:t>
                  </w:r>
                </w:p>
              </w:tc>
            </w:tr>
          </w:tbl>
          <w:p>
            <w:pPr>
              <w:tabs>
                <w:tab w:val="left" w:pos="2307"/>
              </w:tabs>
              <w:snapToGrid w:val="0"/>
              <w:spacing w:line="276" w:lineRule="auto"/>
              <w:jc w:val="center"/>
              <w:rPr>
                <w:rFonts w:hAnsi="宋体"/>
                <w:b/>
                <w:bCs/>
                <w:kern w:val="28"/>
                <w:szCs w:val="21"/>
              </w:rPr>
            </w:pPr>
            <w:r>
              <w:rPr>
                <w:rFonts w:hint="eastAsia" w:hAnsi="宋体"/>
                <w:b/>
                <w:bCs/>
                <w:kern w:val="28"/>
                <w:szCs w:val="21"/>
              </w:rPr>
              <w:t>表4-</w:t>
            </w:r>
            <w:r>
              <w:rPr>
                <w:rFonts w:hint="eastAsia" w:hAnsi="宋体"/>
                <w:b/>
                <w:bCs/>
                <w:kern w:val="28"/>
                <w:szCs w:val="21"/>
                <w:lang w:val="en-US" w:eastAsia="zh-CN"/>
              </w:rPr>
              <w:t xml:space="preserve">11 </w:t>
            </w:r>
            <w:r>
              <w:rPr>
                <w:rFonts w:hint="eastAsia" w:hAnsi="宋体"/>
                <w:b/>
                <w:bCs/>
                <w:kern w:val="28"/>
                <w:szCs w:val="21"/>
              </w:rPr>
              <w:t xml:space="preserve"> </w:t>
            </w:r>
            <w:r>
              <w:rPr>
                <w:rFonts w:hint="eastAsia" w:hAnsi="宋体"/>
                <w:b/>
                <w:bCs/>
                <w:kern w:val="28"/>
                <w:szCs w:val="21"/>
                <w:lang w:val="en-US" w:eastAsia="zh-CN"/>
              </w:rPr>
              <w:t>03#地块</w:t>
            </w:r>
            <w:r>
              <w:rPr>
                <w:rFonts w:hint="eastAsia" w:hAnsi="宋体"/>
                <w:b/>
                <w:bCs/>
                <w:kern w:val="28"/>
                <w:szCs w:val="21"/>
              </w:rPr>
              <w:t>废水处理前后废水水质一览表</w:t>
            </w:r>
          </w:p>
          <w:tbl>
            <w:tblPr>
              <w:tblStyle w:val="18"/>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1"/>
              <w:gridCol w:w="1209"/>
              <w:gridCol w:w="981"/>
              <w:gridCol w:w="889"/>
              <w:gridCol w:w="984"/>
              <w:gridCol w:w="988"/>
              <w:gridCol w:w="1036"/>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szCs w:val="21"/>
                    </w:rPr>
                  </w:pPr>
                  <w:r>
                    <w:rPr>
                      <w:rFonts w:hAnsi="宋体"/>
                      <w:szCs w:val="21"/>
                    </w:rPr>
                    <w:t>项目</w:t>
                  </w:r>
                </w:p>
              </w:tc>
              <w:tc>
                <w:tcPr>
                  <w:tcW w:w="567" w:type="pct"/>
                  <w:vAlign w:val="center"/>
                </w:tcPr>
                <w:p>
                  <w:pPr>
                    <w:adjustRightInd w:val="0"/>
                    <w:snapToGrid w:val="0"/>
                    <w:jc w:val="center"/>
                    <w:rPr>
                      <w:szCs w:val="21"/>
                    </w:rPr>
                  </w:pPr>
                  <w:r>
                    <w:rPr>
                      <w:szCs w:val="21"/>
                    </w:rPr>
                    <w:t>COD</w:t>
                  </w:r>
                </w:p>
              </w:tc>
              <w:tc>
                <w:tcPr>
                  <w:tcW w:w="514" w:type="pct"/>
                  <w:vAlign w:val="center"/>
                </w:tcPr>
                <w:p>
                  <w:pPr>
                    <w:adjustRightInd w:val="0"/>
                    <w:snapToGrid w:val="0"/>
                    <w:jc w:val="center"/>
                    <w:rPr>
                      <w:szCs w:val="21"/>
                    </w:rPr>
                  </w:pPr>
                  <w:r>
                    <w:rPr>
                      <w:szCs w:val="21"/>
                    </w:rPr>
                    <w:t>BOD</w:t>
                  </w:r>
                  <w:r>
                    <w:rPr>
                      <w:szCs w:val="21"/>
                      <w:vertAlign w:val="subscript"/>
                    </w:rPr>
                    <w:t>5</w:t>
                  </w:r>
                </w:p>
              </w:tc>
              <w:tc>
                <w:tcPr>
                  <w:tcW w:w="569" w:type="pct"/>
                  <w:vAlign w:val="center"/>
                </w:tcPr>
                <w:p>
                  <w:pPr>
                    <w:adjustRightInd w:val="0"/>
                    <w:snapToGrid w:val="0"/>
                    <w:jc w:val="center"/>
                    <w:rPr>
                      <w:szCs w:val="21"/>
                    </w:rPr>
                  </w:pPr>
                  <w:r>
                    <w:rPr>
                      <w:szCs w:val="21"/>
                    </w:rPr>
                    <w:t>SS</w:t>
                  </w:r>
                </w:p>
              </w:tc>
              <w:tc>
                <w:tcPr>
                  <w:tcW w:w="571" w:type="pct"/>
                  <w:vAlign w:val="center"/>
                </w:tcPr>
                <w:p>
                  <w:pPr>
                    <w:adjustRightInd w:val="0"/>
                    <w:snapToGrid w:val="0"/>
                    <w:jc w:val="center"/>
                    <w:rPr>
                      <w:szCs w:val="21"/>
                    </w:rPr>
                  </w:pPr>
                  <w:r>
                    <w:rPr>
                      <w:szCs w:val="21"/>
                    </w:rPr>
                    <w:t>NH</w:t>
                  </w:r>
                  <w:r>
                    <w:rPr>
                      <w:szCs w:val="21"/>
                      <w:vertAlign w:val="subscript"/>
                    </w:rPr>
                    <w:t>3</w:t>
                  </w:r>
                  <w:r>
                    <w:rPr>
                      <w:szCs w:val="21"/>
                    </w:rPr>
                    <w:t>-N</w:t>
                  </w:r>
                </w:p>
              </w:tc>
              <w:tc>
                <w:tcPr>
                  <w:tcW w:w="599" w:type="pct"/>
                  <w:vAlign w:val="center"/>
                </w:tcPr>
                <w:p>
                  <w:pPr>
                    <w:adjustRightInd w:val="0"/>
                    <w:snapToGrid w:val="0"/>
                    <w:jc w:val="center"/>
                    <w:rPr>
                      <w:szCs w:val="21"/>
                    </w:rPr>
                  </w:pPr>
                  <w:r>
                    <w:rPr>
                      <w:szCs w:val="21"/>
                    </w:rPr>
                    <w:t>动植物油</w:t>
                  </w:r>
                </w:p>
              </w:tc>
              <w:tc>
                <w:tcPr>
                  <w:tcW w:w="489" w:type="pct"/>
                  <w:vAlign w:val="center"/>
                </w:tcPr>
                <w:p>
                  <w:pPr>
                    <w:adjustRightInd w:val="0"/>
                    <w:snapToGrid w:val="0"/>
                    <w:jc w:val="center"/>
                    <w:rPr>
                      <w:szCs w:val="21"/>
                    </w:rPr>
                  </w:pPr>
                  <w:r>
                    <w:rPr>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szCs w:val="21"/>
                    </w:rPr>
                    <w:t>生活污水</w:t>
                  </w:r>
                </w:p>
              </w:tc>
              <w:tc>
                <w:tcPr>
                  <w:tcW w:w="698" w:type="pct"/>
                  <w:vAlign w:val="center"/>
                </w:tcPr>
                <w:p>
                  <w:pPr>
                    <w:adjustRightInd w:val="0"/>
                    <w:snapToGrid w:val="0"/>
                    <w:jc w:val="center"/>
                    <w:rPr>
                      <w:rFonts w:hAnsi="宋体"/>
                      <w:szCs w:val="21"/>
                    </w:rPr>
                  </w:pPr>
                  <w:r>
                    <w:rPr>
                      <w:rFonts w:hint="eastAsia" w:hAnsi="宋体"/>
                      <w:szCs w:val="21"/>
                    </w:rPr>
                    <w:t>产生浓度（</w:t>
                  </w:r>
                  <w:r>
                    <w:rPr>
                      <w:szCs w:val="21"/>
                    </w:rPr>
                    <w:t>mg/L</w:t>
                  </w:r>
                  <w:r>
                    <w:rPr>
                      <w:rFonts w:hint="eastAsia"/>
                      <w:szCs w:val="21"/>
                    </w:rPr>
                    <w:t>）</w:t>
                  </w:r>
                </w:p>
              </w:tc>
              <w:tc>
                <w:tcPr>
                  <w:tcW w:w="567" w:type="pct"/>
                  <w:vAlign w:val="center"/>
                </w:tcPr>
                <w:p>
                  <w:pPr>
                    <w:adjustRightInd w:val="0"/>
                    <w:snapToGrid w:val="0"/>
                    <w:jc w:val="center"/>
                    <w:rPr>
                      <w:szCs w:val="21"/>
                    </w:rPr>
                  </w:pPr>
                  <w:r>
                    <w:rPr>
                      <w:rFonts w:hint="eastAsia"/>
                      <w:szCs w:val="21"/>
                    </w:rPr>
                    <w:t>300</w:t>
                  </w:r>
                </w:p>
              </w:tc>
              <w:tc>
                <w:tcPr>
                  <w:tcW w:w="514" w:type="pct"/>
                  <w:vAlign w:val="center"/>
                </w:tcPr>
                <w:p>
                  <w:pPr>
                    <w:adjustRightInd w:val="0"/>
                    <w:snapToGrid w:val="0"/>
                    <w:jc w:val="center"/>
                    <w:rPr>
                      <w:szCs w:val="21"/>
                    </w:rPr>
                  </w:pPr>
                  <w:r>
                    <w:rPr>
                      <w:rFonts w:hint="eastAsia"/>
                      <w:szCs w:val="21"/>
                    </w:rPr>
                    <w:t>180</w:t>
                  </w:r>
                </w:p>
              </w:tc>
              <w:tc>
                <w:tcPr>
                  <w:tcW w:w="569" w:type="pct"/>
                  <w:vAlign w:val="center"/>
                </w:tcPr>
                <w:p>
                  <w:pPr>
                    <w:adjustRightInd w:val="0"/>
                    <w:snapToGrid w:val="0"/>
                    <w:jc w:val="center"/>
                    <w:rPr>
                      <w:szCs w:val="21"/>
                    </w:rPr>
                  </w:pPr>
                  <w:r>
                    <w:rPr>
                      <w:rFonts w:hint="eastAsia"/>
                      <w:szCs w:val="21"/>
                    </w:rPr>
                    <w:t>200</w:t>
                  </w:r>
                </w:p>
              </w:tc>
              <w:tc>
                <w:tcPr>
                  <w:tcW w:w="571" w:type="pct"/>
                  <w:vAlign w:val="center"/>
                </w:tcPr>
                <w:p>
                  <w:pPr>
                    <w:adjustRightInd w:val="0"/>
                    <w:snapToGrid w:val="0"/>
                    <w:jc w:val="center"/>
                    <w:rPr>
                      <w:szCs w:val="21"/>
                    </w:rPr>
                  </w:pPr>
                  <w:r>
                    <w:rPr>
                      <w:rFonts w:hint="eastAsia"/>
                      <w:szCs w:val="21"/>
                    </w:rPr>
                    <w:t>20</w:t>
                  </w:r>
                </w:p>
              </w:tc>
              <w:tc>
                <w:tcPr>
                  <w:tcW w:w="599" w:type="pct"/>
                  <w:vAlign w:val="center"/>
                </w:tcPr>
                <w:p>
                  <w:pPr>
                    <w:adjustRightInd w:val="0"/>
                    <w:snapToGrid w:val="0"/>
                    <w:jc w:val="center"/>
                    <w:rPr>
                      <w:szCs w:val="21"/>
                    </w:rPr>
                  </w:pPr>
                  <w:r>
                    <w:rPr>
                      <w:rFonts w:hint="eastAsia"/>
                      <w:szCs w:val="21"/>
                    </w:rPr>
                    <w:t>150</w:t>
                  </w:r>
                </w:p>
              </w:tc>
              <w:tc>
                <w:tcPr>
                  <w:tcW w:w="489"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化粪池处理效率（%）</w:t>
                  </w:r>
                </w:p>
              </w:tc>
              <w:tc>
                <w:tcPr>
                  <w:tcW w:w="567" w:type="pct"/>
                  <w:vAlign w:val="center"/>
                </w:tcPr>
                <w:p>
                  <w:pPr>
                    <w:adjustRightInd w:val="0"/>
                    <w:snapToGrid w:val="0"/>
                    <w:jc w:val="center"/>
                    <w:rPr>
                      <w:szCs w:val="21"/>
                    </w:rPr>
                  </w:pPr>
                  <w:r>
                    <w:rPr>
                      <w:rFonts w:hint="eastAsia"/>
                      <w:szCs w:val="21"/>
                    </w:rPr>
                    <w:t>15</w:t>
                  </w:r>
                </w:p>
              </w:tc>
              <w:tc>
                <w:tcPr>
                  <w:tcW w:w="514" w:type="pct"/>
                  <w:vAlign w:val="center"/>
                </w:tcPr>
                <w:p>
                  <w:pPr>
                    <w:adjustRightInd w:val="0"/>
                    <w:snapToGrid w:val="0"/>
                    <w:jc w:val="center"/>
                    <w:rPr>
                      <w:szCs w:val="21"/>
                    </w:rPr>
                  </w:pPr>
                  <w:r>
                    <w:rPr>
                      <w:rFonts w:hint="eastAsia"/>
                      <w:szCs w:val="21"/>
                    </w:rPr>
                    <w:t>30</w:t>
                  </w:r>
                </w:p>
              </w:tc>
              <w:tc>
                <w:tcPr>
                  <w:tcW w:w="569" w:type="pct"/>
                  <w:vAlign w:val="center"/>
                </w:tcPr>
                <w:p>
                  <w:pPr>
                    <w:adjustRightInd w:val="0"/>
                    <w:snapToGrid w:val="0"/>
                    <w:jc w:val="center"/>
                    <w:rPr>
                      <w:szCs w:val="21"/>
                    </w:rPr>
                  </w:pPr>
                  <w:r>
                    <w:rPr>
                      <w:rFonts w:hint="eastAsia"/>
                      <w:szCs w:val="21"/>
                    </w:rPr>
                    <w:t>30</w:t>
                  </w:r>
                </w:p>
              </w:tc>
              <w:tc>
                <w:tcPr>
                  <w:tcW w:w="571" w:type="pct"/>
                  <w:vAlign w:val="center"/>
                </w:tcPr>
                <w:p>
                  <w:pPr>
                    <w:adjustRightInd w:val="0"/>
                    <w:snapToGrid w:val="0"/>
                    <w:jc w:val="center"/>
                    <w:rPr>
                      <w:szCs w:val="21"/>
                    </w:rPr>
                  </w:pPr>
                  <w:r>
                    <w:rPr>
                      <w:rFonts w:hint="eastAsia"/>
                      <w:szCs w:val="21"/>
                    </w:rPr>
                    <w:t>3</w:t>
                  </w:r>
                </w:p>
              </w:tc>
              <w:tc>
                <w:tcPr>
                  <w:tcW w:w="599" w:type="pct"/>
                  <w:vAlign w:val="center"/>
                </w:tcPr>
                <w:p>
                  <w:pPr>
                    <w:adjustRightInd w:val="0"/>
                    <w:snapToGrid w:val="0"/>
                    <w:jc w:val="center"/>
                    <w:rPr>
                      <w:szCs w:val="21"/>
                    </w:rPr>
                  </w:pPr>
                  <w:r>
                    <w:rPr>
                      <w:rFonts w:hint="eastAsia"/>
                      <w:szCs w:val="21"/>
                    </w:rPr>
                    <w:t>75</w:t>
                  </w:r>
                </w:p>
              </w:tc>
              <w:tc>
                <w:tcPr>
                  <w:tcW w:w="489"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b/>
                      <w:bCs w:val="0"/>
                      <w:szCs w:val="21"/>
                    </w:rPr>
                  </w:pPr>
                  <w:r>
                    <w:rPr>
                      <w:rFonts w:hint="eastAsia" w:hAnsi="宋体"/>
                      <w:b/>
                      <w:bCs w:val="0"/>
                      <w:szCs w:val="21"/>
                    </w:rPr>
                    <w:t>预处理后</w:t>
                  </w:r>
                </w:p>
                <w:p>
                  <w:pPr>
                    <w:adjustRightInd w:val="0"/>
                    <w:snapToGrid w:val="0"/>
                    <w:jc w:val="center"/>
                    <w:rPr>
                      <w:rFonts w:hAnsi="宋体"/>
                      <w:b/>
                      <w:bCs w:val="0"/>
                      <w:szCs w:val="21"/>
                    </w:rPr>
                  </w:pPr>
                  <w:r>
                    <w:rPr>
                      <w:rFonts w:hint="eastAsia" w:hAnsi="宋体"/>
                      <w:b/>
                      <w:bCs w:val="0"/>
                      <w:szCs w:val="21"/>
                    </w:rPr>
                    <w:t>生活污水</w:t>
                  </w:r>
                </w:p>
              </w:tc>
              <w:tc>
                <w:tcPr>
                  <w:tcW w:w="698" w:type="pct"/>
                  <w:vAlign w:val="center"/>
                </w:tcPr>
                <w:p>
                  <w:pPr>
                    <w:adjustRightInd w:val="0"/>
                    <w:snapToGrid w:val="0"/>
                    <w:jc w:val="center"/>
                    <w:rPr>
                      <w:b/>
                      <w:bCs w:val="0"/>
                      <w:szCs w:val="21"/>
                    </w:rPr>
                  </w:pPr>
                  <w:r>
                    <w:rPr>
                      <w:rFonts w:hint="eastAsia" w:hAnsi="宋体"/>
                      <w:b/>
                      <w:bCs w:val="0"/>
                      <w:szCs w:val="21"/>
                    </w:rPr>
                    <w:t>排放浓度（</w:t>
                  </w:r>
                  <w:r>
                    <w:rPr>
                      <w:b/>
                      <w:bCs w:val="0"/>
                      <w:szCs w:val="21"/>
                    </w:rPr>
                    <w:t>mg/L</w:t>
                  </w:r>
                  <w:r>
                    <w:rPr>
                      <w:rFonts w:hint="eastAsia" w:hAnsi="宋体"/>
                      <w:b/>
                      <w:bCs w:val="0"/>
                      <w:szCs w:val="21"/>
                    </w:rPr>
                    <w:t>）</w:t>
                  </w:r>
                </w:p>
              </w:tc>
              <w:tc>
                <w:tcPr>
                  <w:tcW w:w="567" w:type="pct"/>
                  <w:vAlign w:val="center"/>
                </w:tcPr>
                <w:p>
                  <w:pPr>
                    <w:adjustRightInd w:val="0"/>
                    <w:snapToGrid w:val="0"/>
                    <w:jc w:val="center"/>
                    <w:rPr>
                      <w:b/>
                      <w:bCs w:val="0"/>
                      <w:szCs w:val="21"/>
                    </w:rPr>
                  </w:pPr>
                  <w:r>
                    <w:rPr>
                      <w:rFonts w:hint="eastAsia"/>
                      <w:b/>
                      <w:bCs w:val="0"/>
                      <w:szCs w:val="21"/>
                    </w:rPr>
                    <w:t>255</w:t>
                  </w:r>
                </w:p>
              </w:tc>
              <w:tc>
                <w:tcPr>
                  <w:tcW w:w="514" w:type="pct"/>
                  <w:vAlign w:val="center"/>
                </w:tcPr>
                <w:p>
                  <w:pPr>
                    <w:adjustRightInd w:val="0"/>
                    <w:snapToGrid w:val="0"/>
                    <w:jc w:val="center"/>
                    <w:rPr>
                      <w:b/>
                      <w:bCs w:val="0"/>
                      <w:szCs w:val="21"/>
                    </w:rPr>
                  </w:pPr>
                  <w:r>
                    <w:rPr>
                      <w:rFonts w:hint="eastAsia"/>
                      <w:b/>
                      <w:bCs w:val="0"/>
                      <w:szCs w:val="21"/>
                    </w:rPr>
                    <w:t>126</w:t>
                  </w:r>
                </w:p>
              </w:tc>
              <w:tc>
                <w:tcPr>
                  <w:tcW w:w="569" w:type="pct"/>
                  <w:vAlign w:val="center"/>
                </w:tcPr>
                <w:p>
                  <w:pPr>
                    <w:adjustRightInd w:val="0"/>
                    <w:snapToGrid w:val="0"/>
                    <w:jc w:val="center"/>
                    <w:rPr>
                      <w:b/>
                      <w:bCs w:val="0"/>
                      <w:szCs w:val="21"/>
                    </w:rPr>
                  </w:pPr>
                  <w:r>
                    <w:rPr>
                      <w:rFonts w:hint="eastAsia"/>
                      <w:b/>
                      <w:bCs w:val="0"/>
                      <w:szCs w:val="21"/>
                    </w:rPr>
                    <w:t>140</w:t>
                  </w:r>
                </w:p>
              </w:tc>
              <w:tc>
                <w:tcPr>
                  <w:tcW w:w="571" w:type="pct"/>
                  <w:vAlign w:val="center"/>
                </w:tcPr>
                <w:p>
                  <w:pPr>
                    <w:adjustRightInd w:val="0"/>
                    <w:snapToGrid w:val="0"/>
                    <w:jc w:val="center"/>
                    <w:rPr>
                      <w:b/>
                      <w:bCs w:val="0"/>
                      <w:szCs w:val="21"/>
                    </w:rPr>
                  </w:pPr>
                  <w:r>
                    <w:rPr>
                      <w:rFonts w:hint="eastAsia"/>
                      <w:b/>
                      <w:bCs w:val="0"/>
                      <w:szCs w:val="21"/>
                    </w:rPr>
                    <w:t>19.4</w:t>
                  </w:r>
                </w:p>
              </w:tc>
              <w:tc>
                <w:tcPr>
                  <w:tcW w:w="599" w:type="pct"/>
                  <w:vAlign w:val="center"/>
                </w:tcPr>
                <w:p>
                  <w:pPr>
                    <w:adjustRightInd w:val="0"/>
                    <w:snapToGrid w:val="0"/>
                    <w:jc w:val="center"/>
                    <w:rPr>
                      <w:b/>
                      <w:bCs w:val="0"/>
                      <w:szCs w:val="21"/>
                    </w:rPr>
                  </w:pPr>
                  <w:r>
                    <w:rPr>
                      <w:rFonts w:hint="eastAsia"/>
                      <w:b/>
                      <w:bCs w:val="0"/>
                      <w:szCs w:val="21"/>
                    </w:rPr>
                    <w:t>37.5</w:t>
                  </w:r>
                </w:p>
              </w:tc>
              <w:tc>
                <w:tcPr>
                  <w:tcW w:w="489" w:type="pct"/>
                  <w:vAlign w:val="center"/>
                </w:tcPr>
                <w:p>
                  <w:pPr>
                    <w:adjustRightInd w:val="0"/>
                    <w:snapToGrid w:val="0"/>
                    <w:jc w:val="center"/>
                    <w:rPr>
                      <w:b/>
                      <w:szCs w:val="21"/>
                    </w:rPr>
                  </w:pPr>
                  <w:r>
                    <w:rPr>
                      <w:rFonts w:hint="eastAsia"/>
                      <w:b/>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hAnsi="宋体"/>
                      <w:szCs w:val="21"/>
                    </w:rPr>
                    <w:t>车库地面清洗废水</w:t>
                  </w:r>
                </w:p>
              </w:tc>
              <w:tc>
                <w:tcPr>
                  <w:tcW w:w="698" w:type="pct"/>
                  <w:vAlign w:val="center"/>
                </w:tcPr>
                <w:p>
                  <w:pPr>
                    <w:adjustRightInd w:val="0"/>
                    <w:snapToGrid w:val="0"/>
                    <w:jc w:val="center"/>
                    <w:rPr>
                      <w:szCs w:val="21"/>
                    </w:rPr>
                  </w:pPr>
                  <w:r>
                    <w:rPr>
                      <w:rFonts w:hint="eastAsia" w:hAnsi="宋体"/>
                      <w:szCs w:val="21"/>
                    </w:rPr>
                    <w:t>产生浓度（</w:t>
                  </w:r>
                  <w:r>
                    <w:rPr>
                      <w:szCs w:val="21"/>
                    </w:rPr>
                    <w:t>mg/L</w:t>
                  </w:r>
                  <w:r>
                    <w:rPr>
                      <w:rFonts w:hint="eastAsia" w:hAnsi="宋体"/>
                      <w:szCs w:val="21"/>
                    </w:rPr>
                    <w:t>）</w:t>
                  </w:r>
                </w:p>
              </w:tc>
              <w:tc>
                <w:tcPr>
                  <w:tcW w:w="567" w:type="pct"/>
                  <w:vAlign w:val="center"/>
                </w:tcPr>
                <w:p>
                  <w:pPr>
                    <w:adjustRightInd w:val="0"/>
                    <w:snapToGrid w:val="0"/>
                    <w:jc w:val="center"/>
                    <w:rPr>
                      <w:szCs w:val="21"/>
                    </w:rPr>
                  </w:pPr>
                  <w:r>
                    <w:rPr>
                      <w:rFonts w:hint="eastAsia"/>
                      <w:szCs w:val="21"/>
                    </w:rPr>
                    <w:t>150</w:t>
                  </w:r>
                </w:p>
              </w:tc>
              <w:tc>
                <w:tcPr>
                  <w:tcW w:w="514" w:type="pct"/>
                  <w:vAlign w:val="center"/>
                </w:tcPr>
                <w:p>
                  <w:pPr>
                    <w:adjustRightInd w:val="0"/>
                    <w:snapToGrid w:val="0"/>
                    <w:jc w:val="center"/>
                    <w:rPr>
                      <w:szCs w:val="21"/>
                    </w:rPr>
                  </w:pPr>
                  <w:r>
                    <w:rPr>
                      <w:rFonts w:hint="eastAsia"/>
                      <w:szCs w:val="21"/>
                    </w:rPr>
                    <w:t>/</w:t>
                  </w:r>
                </w:p>
              </w:tc>
              <w:tc>
                <w:tcPr>
                  <w:tcW w:w="569" w:type="pct"/>
                  <w:vAlign w:val="center"/>
                </w:tcPr>
                <w:p>
                  <w:pPr>
                    <w:adjustRightInd w:val="0"/>
                    <w:snapToGrid w:val="0"/>
                    <w:jc w:val="center"/>
                    <w:rPr>
                      <w:szCs w:val="21"/>
                    </w:rPr>
                  </w:pPr>
                  <w:r>
                    <w:rPr>
                      <w:rFonts w:hint="eastAsia"/>
                      <w:szCs w:val="21"/>
                    </w:rPr>
                    <w:t>100</w:t>
                  </w:r>
                </w:p>
              </w:tc>
              <w:tc>
                <w:tcPr>
                  <w:tcW w:w="571" w:type="pct"/>
                  <w:vAlign w:val="center"/>
                </w:tcPr>
                <w:p>
                  <w:pPr>
                    <w:adjustRightInd w:val="0"/>
                    <w:snapToGrid w:val="0"/>
                    <w:jc w:val="center"/>
                    <w:rPr>
                      <w:szCs w:val="21"/>
                    </w:rPr>
                  </w:pPr>
                  <w:r>
                    <w:rPr>
                      <w:rFonts w:hint="eastAsia"/>
                      <w:szCs w:val="21"/>
                    </w:rPr>
                    <w:t>/</w:t>
                  </w:r>
                </w:p>
              </w:tc>
              <w:tc>
                <w:tcPr>
                  <w:tcW w:w="599" w:type="pct"/>
                  <w:vAlign w:val="center"/>
                </w:tcPr>
                <w:p>
                  <w:pPr>
                    <w:adjustRightInd w:val="0"/>
                    <w:snapToGrid w:val="0"/>
                    <w:jc w:val="center"/>
                    <w:rPr>
                      <w:szCs w:val="21"/>
                    </w:rPr>
                  </w:pPr>
                  <w:r>
                    <w:rPr>
                      <w:rFonts w:hint="eastAsia"/>
                      <w:szCs w:val="21"/>
                    </w:rPr>
                    <w:t>/</w:t>
                  </w:r>
                </w:p>
              </w:tc>
              <w:tc>
                <w:tcPr>
                  <w:tcW w:w="489"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隔油沉淀池处理效率（%）</w:t>
                  </w:r>
                </w:p>
              </w:tc>
              <w:tc>
                <w:tcPr>
                  <w:tcW w:w="567" w:type="pct"/>
                  <w:vAlign w:val="center"/>
                </w:tcPr>
                <w:p>
                  <w:pPr>
                    <w:adjustRightInd w:val="0"/>
                    <w:snapToGrid w:val="0"/>
                    <w:jc w:val="center"/>
                    <w:rPr>
                      <w:szCs w:val="21"/>
                    </w:rPr>
                  </w:pPr>
                  <w:r>
                    <w:rPr>
                      <w:rFonts w:hint="eastAsia"/>
                      <w:szCs w:val="21"/>
                    </w:rPr>
                    <w:t>0</w:t>
                  </w:r>
                </w:p>
              </w:tc>
              <w:tc>
                <w:tcPr>
                  <w:tcW w:w="514" w:type="pct"/>
                  <w:vAlign w:val="center"/>
                </w:tcPr>
                <w:p>
                  <w:pPr>
                    <w:adjustRightInd w:val="0"/>
                    <w:snapToGrid w:val="0"/>
                    <w:jc w:val="center"/>
                    <w:rPr>
                      <w:szCs w:val="21"/>
                    </w:rPr>
                  </w:pPr>
                  <w:r>
                    <w:rPr>
                      <w:rFonts w:hint="eastAsia"/>
                      <w:szCs w:val="21"/>
                    </w:rPr>
                    <w:t>/</w:t>
                  </w:r>
                </w:p>
              </w:tc>
              <w:tc>
                <w:tcPr>
                  <w:tcW w:w="569" w:type="pct"/>
                  <w:vAlign w:val="center"/>
                </w:tcPr>
                <w:p>
                  <w:pPr>
                    <w:adjustRightInd w:val="0"/>
                    <w:snapToGrid w:val="0"/>
                    <w:jc w:val="center"/>
                    <w:rPr>
                      <w:szCs w:val="21"/>
                    </w:rPr>
                  </w:pPr>
                  <w:r>
                    <w:rPr>
                      <w:rFonts w:hint="eastAsia"/>
                      <w:szCs w:val="21"/>
                    </w:rPr>
                    <w:t>30</w:t>
                  </w:r>
                </w:p>
              </w:tc>
              <w:tc>
                <w:tcPr>
                  <w:tcW w:w="571" w:type="pct"/>
                  <w:vAlign w:val="center"/>
                </w:tcPr>
                <w:p>
                  <w:pPr>
                    <w:adjustRightInd w:val="0"/>
                    <w:snapToGrid w:val="0"/>
                    <w:jc w:val="center"/>
                    <w:rPr>
                      <w:szCs w:val="21"/>
                    </w:rPr>
                  </w:pPr>
                  <w:r>
                    <w:rPr>
                      <w:rFonts w:hint="eastAsia"/>
                      <w:szCs w:val="21"/>
                    </w:rPr>
                    <w:t>/</w:t>
                  </w:r>
                </w:p>
              </w:tc>
              <w:tc>
                <w:tcPr>
                  <w:tcW w:w="599" w:type="pct"/>
                  <w:vAlign w:val="center"/>
                </w:tcPr>
                <w:p>
                  <w:pPr>
                    <w:adjustRightInd w:val="0"/>
                    <w:snapToGrid w:val="0"/>
                    <w:jc w:val="center"/>
                    <w:rPr>
                      <w:szCs w:val="21"/>
                    </w:rPr>
                  </w:pPr>
                  <w:r>
                    <w:rPr>
                      <w:rFonts w:hint="eastAsia"/>
                      <w:szCs w:val="21"/>
                    </w:rPr>
                    <w:t>/</w:t>
                  </w:r>
                </w:p>
              </w:tc>
              <w:tc>
                <w:tcPr>
                  <w:tcW w:w="489" w:type="pct"/>
                  <w:vAlign w:val="center"/>
                </w:tcPr>
                <w:p>
                  <w:pPr>
                    <w:adjustRightInd w:val="0"/>
                    <w:snapToGrid w:val="0"/>
                    <w:jc w:val="center"/>
                    <w:rPr>
                      <w:szCs w:val="21"/>
                    </w:rPr>
                  </w:pPr>
                  <w:r>
                    <w:rPr>
                      <w:rFonts w:hint="eastAsia"/>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预处理后清洗废水</w:t>
                  </w:r>
                </w:p>
              </w:tc>
              <w:tc>
                <w:tcPr>
                  <w:tcW w:w="698" w:type="pct"/>
                  <w:vAlign w:val="center"/>
                </w:tcPr>
                <w:p>
                  <w:pPr>
                    <w:adjustRightInd w:val="0"/>
                    <w:snapToGrid w:val="0"/>
                    <w:jc w:val="center"/>
                    <w:rPr>
                      <w:szCs w:val="21"/>
                    </w:rPr>
                  </w:pPr>
                  <w:r>
                    <w:rPr>
                      <w:rFonts w:hint="eastAsia" w:hAnsi="宋体"/>
                      <w:szCs w:val="21"/>
                    </w:rPr>
                    <w:t>排放浓度（</w:t>
                  </w:r>
                  <w:r>
                    <w:rPr>
                      <w:szCs w:val="21"/>
                    </w:rPr>
                    <w:t>mg/L</w:t>
                  </w:r>
                  <w:r>
                    <w:rPr>
                      <w:rFonts w:hint="eastAsia" w:hAnsi="宋体"/>
                      <w:szCs w:val="21"/>
                    </w:rPr>
                    <w:t>）</w:t>
                  </w:r>
                </w:p>
              </w:tc>
              <w:tc>
                <w:tcPr>
                  <w:tcW w:w="567" w:type="pct"/>
                  <w:vAlign w:val="center"/>
                </w:tcPr>
                <w:p>
                  <w:pPr>
                    <w:adjustRightInd w:val="0"/>
                    <w:snapToGrid w:val="0"/>
                    <w:jc w:val="center"/>
                    <w:rPr>
                      <w:szCs w:val="21"/>
                    </w:rPr>
                  </w:pPr>
                  <w:r>
                    <w:rPr>
                      <w:rFonts w:hint="eastAsia"/>
                      <w:szCs w:val="21"/>
                    </w:rPr>
                    <w:t>150</w:t>
                  </w:r>
                </w:p>
              </w:tc>
              <w:tc>
                <w:tcPr>
                  <w:tcW w:w="514" w:type="pct"/>
                  <w:vAlign w:val="center"/>
                </w:tcPr>
                <w:p>
                  <w:pPr>
                    <w:adjustRightInd w:val="0"/>
                    <w:snapToGrid w:val="0"/>
                    <w:jc w:val="center"/>
                    <w:rPr>
                      <w:szCs w:val="21"/>
                    </w:rPr>
                  </w:pPr>
                  <w:r>
                    <w:rPr>
                      <w:rFonts w:hint="eastAsia"/>
                      <w:szCs w:val="21"/>
                    </w:rPr>
                    <w:t>/</w:t>
                  </w:r>
                </w:p>
              </w:tc>
              <w:tc>
                <w:tcPr>
                  <w:tcW w:w="569" w:type="pct"/>
                  <w:vAlign w:val="center"/>
                </w:tcPr>
                <w:p>
                  <w:pPr>
                    <w:adjustRightInd w:val="0"/>
                    <w:snapToGrid w:val="0"/>
                    <w:jc w:val="center"/>
                    <w:rPr>
                      <w:szCs w:val="21"/>
                    </w:rPr>
                  </w:pPr>
                  <w:r>
                    <w:rPr>
                      <w:rFonts w:hint="eastAsia"/>
                      <w:szCs w:val="21"/>
                    </w:rPr>
                    <w:t>70</w:t>
                  </w:r>
                </w:p>
              </w:tc>
              <w:tc>
                <w:tcPr>
                  <w:tcW w:w="571" w:type="pct"/>
                  <w:vAlign w:val="center"/>
                </w:tcPr>
                <w:p>
                  <w:pPr>
                    <w:adjustRightInd w:val="0"/>
                    <w:snapToGrid w:val="0"/>
                    <w:jc w:val="center"/>
                    <w:rPr>
                      <w:szCs w:val="21"/>
                    </w:rPr>
                  </w:pPr>
                  <w:r>
                    <w:rPr>
                      <w:rFonts w:hint="eastAsia"/>
                      <w:szCs w:val="21"/>
                    </w:rPr>
                    <w:t>/</w:t>
                  </w:r>
                </w:p>
              </w:tc>
              <w:tc>
                <w:tcPr>
                  <w:tcW w:w="599" w:type="pct"/>
                  <w:vAlign w:val="center"/>
                </w:tcPr>
                <w:p>
                  <w:pPr>
                    <w:adjustRightInd w:val="0"/>
                    <w:snapToGrid w:val="0"/>
                    <w:jc w:val="center"/>
                    <w:rPr>
                      <w:szCs w:val="21"/>
                    </w:rPr>
                  </w:pPr>
                  <w:r>
                    <w:rPr>
                      <w:rFonts w:hint="eastAsia"/>
                      <w:szCs w:val="21"/>
                    </w:rPr>
                    <w:t>/</w:t>
                  </w:r>
                </w:p>
              </w:tc>
              <w:tc>
                <w:tcPr>
                  <w:tcW w:w="489" w:type="pct"/>
                  <w:vAlign w:val="center"/>
                </w:tcPr>
                <w:p>
                  <w:pPr>
                    <w:adjustRightInd w:val="0"/>
                    <w:snapToGrid w:val="0"/>
                    <w:jc w:val="center"/>
                    <w:rPr>
                      <w:szCs w:val="21"/>
                    </w:rPr>
                  </w:pPr>
                  <w:r>
                    <w:rPr>
                      <w:rFonts w:hint="eastAsia"/>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b/>
                      <w:szCs w:val="21"/>
                    </w:rPr>
                  </w:pPr>
                  <w:r>
                    <w:rPr>
                      <w:rFonts w:hAnsi="宋体"/>
                      <w:b/>
                      <w:szCs w:val="21"/>
                    </w:rPr>
                    <w:t>混合后污、废水</w:t>
                  </w:r>
                </w:p>
              </w:tc>
              <w:tc>
                <w:tcPr>
                  <w:tcW w:w="698" w:type="pct"/>
                  <w:vAlign w:val="center"/>
                </w:tcPr>
                <w:p>
                  <w:pPr>
                    <w:adjustRightInd w:val="0"/>
                    <w:snapToGrid w:val="0"/>
                    <w:jc w:val="center"/>
                    <w:rPr>
                      <w:rFonts w:hAnsi="宋体"/>
                      <w:b/>
                      <w:szCs w:val="21"/>
                    </w:rPr>
                  </w:pPr>
                  <w:r>
                    <w:rPr>
                      <w:rFonts w:hint="eastAsia" w:hAnsi="宋体"/>
                      <w:b/>
                      <w:szCs w:val="21"/>
                    </w:rPr>
                    <w:t>排放浓度（</w:t>
                  </w:r>
                  <w:r>
                    <w:rPr>
                      <w:b/>
                      <w:szCs w:val="21"/>
                    </w:rPr>
                    <w:t>mg/L</w:t>
                  </w:r>
                  <w:r>
                    <w:rPr>
                      <w:rFonts w:hint="eastAsia" w:hAnsi="宋体"/>
                      <w:b/>
                      <w:szCs w:val="21"/>
                    </w:rPr>
                    <w:t>）</w:t>
                  </w:r>
                </w:p>
              </w:tc>
              <w:tc>
                <w:tcPr>
                  <w:tcW w:w="567" w:type="pct"/>
                  <w:vAlign w:val="center"/>
                </w:tcPr>
                <w:p>
                  <w:pPr>
                    <w:adjustRightInd w:val="0"/>
                    <w:snapToGrid w:val="0"/>
                    <w:jc w:val="center"/>
                    <w:rPr>
                      <w:rFonts w:hint="default" w:eastAsia="宋体"/>
                      <w:b/>
                      <w:szCs w:val="21"/>
                      <w:lang w:val="en-US" w:eastAsia="zh-CN"/>
                    </w:rPr>
                  </w:pPr>
                  <w:r>
                    <w:rPr>
                      <w:rFonts w:hint="eastAsia"/>
                      <w:b/>
                      <w:szCs w:val="21"/>
                      <w:lang w:val="en-US" w:eastAsia="zh-CN"/>
                    </w:rPr>
                    <w:t>252.32</w:t>
                  </w:r>
                </w:p>
              </w:tc>
              <w:tc>
                <w:tcPr>
                  <w:tcW w:w="514" w:type="pct"/>
                  <w:vAlign w:val="center"/>
                </w:tcPr>
                <w:p>
                  <w:pPr>
                    <w:adjustRightInd w:val="0"/>
                    <w:snapToGrid w:val="0"/>
                    <w:jc w:val="center"/>
                    <w:rPr>
                      <w:rFonts w:hint="default" w:eastAsia="宋体"/>
                      <w:b/>
                      <w:szCs w:val="21"/>
                      <w:lang w:val="en-US" w:eastAsia="zh-CN"/>
                    </w:rPr>
                  </w:pPr>
                  <w:r>
                    <w:rPr>
                      <w:rFonts w:hint="eastAsia"/>
                      <w:b/>
                      <w:szCs w:val="21"/>
                      <w:lang w:val="en-US" w:eastAsia="zh-CN"/>
                    </w:rPr>
                    <w:t>122.78</w:t>
                  </w:r>
                </w:p>
              </w:tc>
              <w:tc>
                <w:tcPr>
                  <w:tcW w:w="569" w:type="pct"/>
                  <w:vAlign w:val="center"/>
                </w:tcPr>
                <w:p>
                  <w:pPr>
                    <w:adjustRightInd w:val="0"/>
                    <w:snapToGrid w:val="0"/>
                    <w:jc w:val="center"/>
                    <w:rPr>
                      <w:rFonts w:hint="default" w:eastAsia="宋体"/>
                      <w:b/>
                      <w:szCs w:val="21"/>
                      <w:lang w:val="en-US" w:eastAsia="zh-CN"/>
                    </w:rPr>
                  </w:pPr>
                  <w:r>
                    <w:rPr>
                      <w:rFonts w:hint="eastAsia"/>
                      <w:b/>
                      <w:szCs w:val="21"/>
                      <w:lang w:val="en-US" w:eastAsia="zh-CN"/>
                    </w:rPr>
                    <w:t>138.21</w:t>
                  </w:r>
                </w:p>
              </w:tc>
              <w:tc>
                <w:tcPr>
                  <w:tcW w:w="571" w:type="pct"/>
                  <w:vAlign w:val="center"/>
                </w:tcPr>
                <w:p>
                  <w:pPr>
                    <w:adjustRightInd w:val="0"/>
                    <w:snapToGrid w:val="0"/>
                    <w:jc w:val="center"/>
                    <w:rPr>
                      <w:rFonts w:hint="default" w:eastAsia="宋体"/>
                      <w:b/>
                      <w:szCs w:val="21"/>
                      <w:lang w:val="en-US" w:eastAsia="zh-CN"/>
                    </w:rPr>
                  </w:pPr>
                  <w:r>
                    <w:rPr>
                      <w:rFonts w:hint="eastAsia"/>
                      <w:b/>
                      <w:szCs w:val="21"/>
                      <w:lang w:val="en-US" w:eastAsia="zh-CN"/>
                    </w:rPr>
                    <w:t>18.9</w:t>
                  </w:r>
                </w:p>
              </w:tc>
              <w:tc>
                <w:tcPr>
                  <w:tcW w:w="599" w:type="pct"/>
                  <w:vAlign w:val="center"/>
                </w:tcPr>
                <w:p>
                  <w:pPr>
                    <w:adjustRightInd w:val="0"/>
                    <w:snapToGrid w:val="0"/>
                    <w:jc w:val="center"/>
                    <w:rPr>
                      <w:rFonts w:hint="default" w:eastAsia="宋体"/>
                      <w:b/>
                      <w:szCs w:val="21"/>
                      <w:lang w:val="en-US" w:eastAsia="zh-CN"/>
                    </w:rPr>
                  </w:pPr>
                  <w:r>
                    <w:rPr>
                      <w:rFonts w:hint="eastAsia"/>
                      <w:b/>
                      <w:szCs w:val="21"/>
                      <w:lang w:val="en-US" w:eastAsia="zh-CN"/>
                    </w:rPr>
                    <w:t>36.54</w:t>
                  </w:r>
                </w:p>
              </w:tc>
              <w:tc>
                <w:tcPr>
                  <w:tcW w:w="489" w:type="pct"/>
                  <w:vAlign w:val="center"/>
                </w:tcPr>
                <w:p>
                  <w:pPr>
                    <w:adjustRightInd w:val="0"/>
                    <w:snapToGrid w:val="0"/>
                    <w:jc w:val="center"/>
                    <w:rPr>
                      <w:rFonts w:hint="default" w:eastAsia="宋体"/>
                      <w:b/>
                      <w:szCs w:val="21"/>
                      <w:lang w:val="en-US" w:eastAsia="zh-CN"/>
                    </w:rPr>
                  </w:pPr>
                  <w:r>
                    <w:rPr>
                      <w:rFonts w:hint="eastAsia"/>
                      <w:b/>
                      <w:szCs w:val="21"/>
                      <w:lang w:val="en-US" w:eastAsia="zh-CN"/>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混合后污、废水排放量：208729.266</w:t>
                  </w:r>
                  <w:r>
                    <w:rPr>
                      <w:szCs w:val="21"/>
                    </w:rPr>
                    <w:t>m</w:t>
                  </w:r>
                  <w:r>
                    <w:rPr>
                      <w:szCs w:val="21"/>
                      <w:vertAlign w:val="superscript"/>
                    </w:rPr>
                    <w:t>3</w:t>
                  </w:r>
                  <w:r>
                    <w:rPr>
                      <w:szCs w:val="21"/>
                    </w:rPr>
                    <w:t>/</w:t>
                  </w:r>
                  <w:r>
                    <w:rPr>
                      <w:rFonts w:hint="eastAsia"/>
                      <w:szCs w:val="21"/>
                    </w:rPr>
                    <w:t>a</w:t>
                  </w:r>
                </w:p>
              </w:tc>
              <w:tc>
                <w:tcPr>
                  <w:tcW w:w="698" w:type="pct"/>
                  <w:vAlign w:val="center"/>
                </w:tcPr>
                <w:p>
                  <w:pPr>
                    <w:adjustRightInd w:val="0"/>
                    <w:snapToGrid w:val="0"/>
                    <w:jc w:val="center"/>
                    <w:rPr>
                      <w:rFonts w:hAnsi="宋体"/>
                      <w:szCs w:val="21"/>
                    </w:rPr>
                  </w:pPr>
                  <w:r>
                    <w:rPr>
                      <w:rFonts w:hint="eastAsia" w:hAnsi="宋体"/>
                      <w:szCs w:val="21"/>
                    </w:rPr>
                    <w:t>混合后污、废水污染物排放量</w:t>
                  </w:r>
                  <w:r>
                    <w:rPr>
                      <w:rFonts w:hint="eastAsia"/>
                      <w:szCs w:val="21"/>
                    </w:rPr>
                    <w:t>（t/a）</w:t>
                  </w:r>
                </w:p>
              </w:tc>
              <w:tc>
                <w:tcPr>
                  <w:tcW w:w="567" w:type="pct"/>
                  <w:vAlign w:val="center"/>
                </w:tcPr>
                <w:p>
                  <w:pPr>
                    <w:adjustRightInd w:val="0"/>
                    <w:snapToGrid w:val="0"/>
                    <w:jc w:val="center"/>
                    <w:rPr>
                      <w:rFonts w:hint="default" w:eastAsia="宋体"/>
                      <w:szCs w:val="21"/>
                      <w:lang w:val="en-US" w:eastAsia="zh-CN"/>
                    </w:rPr>
                  </w:pPr>
                  <w:r>
                    <w:rPr>
                      <w:rFonts w:hint="eastAsia"/>
                      <w:szCs w:val="21"/>
                      <w:lang w:val="en-US" w:eastAsia="zh-CN"/>
                    </w:rPr>
                    <w:t>52.67</w:t>
                  </w:r>
                </w:p>
              </w:tc>
              <w:tc>
                <w:tcPr>
                  <w:tcW w:w="514" w:type="pct"/>
                  <w:vAlign w:val="center"/>
                </w:tcPr>
                <w:p>
                  <w:pPr>
                    <w:adjustRightInd w:val="0"/>
                    <w:snapToGrid w:val="0"/>
                    <w:jc w:val="center"/>
                    <w:rPr>
                      <w:rFonts w:hint="default" w:eastAsia="宋体"/>
                      <w:szCs w:val="21"/>
                      <w:lang w:val="en-US" w:eastAsia="zh-CN"/>
                    </w:rPr>
                  </w:pPr>
                  <w:r>
                    <w:rPr>
                      <w:rFonts w:hint="eastAsia"/>
                      <w:szCs w:val="21"/>
                      <w:lang w:val="en-US" w:eastAsia="zh-CN"/>
                    </w:rPr>
                    <w:t>25.63</w:t>
                  </w:r>
                </w:p>
              </w:tc>
              <w:tc>
                <w:tcPr>
                  <w:tcW w:w="569" w:type="pct"/>
                  <w:vAlign w:val="center"/>
                </w:tcPr>
                <w:p>
                  <w:pPr>
                    <w:adjustRightInd w:val="0"/>
                    <w:snapToGrid w:val="0"/>
                    <w:jc w:val="center"/>
                    <w:rPr>
                      <w:rFonts w:hint="default" w:eastAsia="宋体"/>
                      <w:szCs w:val="21"/>
                      <w:lang w:val="en-US" w:eastAsia="zh-CN"/>
                    </w:rPr>
                  </w:pPr>
                  <w:r>
                    <w:rPr>
                      <w:rFonts w:hint="eastAsia"/>
                      <w:szCs w:val="21"/>
                      <w:lang w:val="en-US" w:eastAsia="zh-CN"/>
                    </w:rPr>
                    <w:t>28.85</w:t>
                  </w:r>
                </w:p>
              </w:tc>
              <w:tc>
                <w:tcPr>
                  <w:tcW w:w="571" w:type="pct"/>
                  <w:vAlign w:val="center"/>
                </w:tcPr>
                <w:p>
                  <w:pPr>
                    <w:adjustRightInd w:val="0"/>
                    <w:snapToGrid w:val="0"/>
                    <w:jc w:val="center"/>
                    <w:rPr>
                      <w:rFonts w:hint="default" w:eastAsia="宋体"/>
                      <w:szCs w:val="21"/>
                      <w:lang w:val="en-US" w:eastAsia="zh-CN"/>
                    </w:rPr>
                  </w:pPr>
                  <w:r>
                    <w:rPr>
                      <w:rFonts w:hint="eastAsia"/>
                      <w:szCs w:val="21"/>
                      <w:lang w:val="en-US" w:eastAsia="zh-CN"/>
                    </w:rPr>
                    <w:t>3.94</w:t>
                  </w:r>
                </w:p>
              </w:tc>
              <w:tc>
                <w:tcPr>
                  <w:tcW w:w="599" w:type="pct"/>
                  <w:vAlign w:val="center"/>
                </w:tcPr>
                <w:p>
                  <w:pPr>
                    <w:adjustRightInd w:val="0"/>
                    <w:snapToGrid w:val="0"/>
                    <w:jc w:val="center"/>
                    <w:rPr>
                      <w:rFonts w:hint="default" w:eastAsia="宋体"/>
                      <w:szCs w:val="21"/>
                      <w:lang w:val="en-US" w:eastAsia="zh-CN"/>
                    </w:rPr>
                  </w:pPr>
                  <w:r>
                    <w:rPr>
                      <w:rFonts w:hint="eastAsia"/>
                      <w:szCs w:val="21"/>
                      <w:lang w:val="en-US" w:eastAsia="zh-CN"/>
                    </w:rPr>
                    <w:t>7.63</w:t>
                  </w:r>
                </w:p>
              </w:tc>
              <w:tc>
                <w:tcPr>
                  <w:tcW w:w="489" w:type="pct"/>
                  <w:vAlign w:val="center"/>
                </w:tcPr>
                <w:p>
                  <w:pPr>
                    <w:adjustRightInd w:val="0"/>
                    <w:snapToGrid w:val="0"/>
                    <w:jc w:val="center"/>
                    <w:rPr>
                      <w:rFonts w:hint="default" w:eastAsia="宋体"/>
                      <w:szCs w:val="21"/>
                      <w:lang w:val="en-US" w:eastAsia="zh-CN"/>
                    </w:rPr>
                  </w:pPr>
                  <w:r>
                    <w:rPr>
                      <w:rFonts w:hint="eastAsia"/>
                      <w:szCs w:val="21"/>
                      <w:lang w:val="en-US"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本项目执行《污水综合排放标准》（GB8978-1996）中三级标准</w:t>
                  </w:r>
                </w:p>
                <w:p>
                  <w:pPr>
                    <w:adjustRightInd w:val="0"/>
                    <w:snapToGrid w:val="0"/>
                    <w:jc w:val="center"/>
                    <w:rPr>
                      <w:rFonts w:hAnsi="宋体"/>
                      <w:szCs w:val="21"/>
                    </w:rPr>
                  </w:pPr>
                  <w:r>
                    <w:rPr>
                      <w:rFonts w:hint="eastAsia" w:hAnsi="宋体"/>
                      <w:szCs w:val="21"/>
                    </w:rPr>
                    <w:t>（并满足岳阳市马壕污水处理厂进水水质标准）</w:t>
                  </w:r>
                </w:p>
              </w:tc>
              <w:tc>
                <w:tcPr>
                  <w:tcW w:w="567" w:type="pct"/>
                  <w:vAlign w:val="center"/>
                </w:tcPr>
                <w:p>
                  <w:pPr>
                    <w:adjustRightInd w:val="0"/>
                    <w:snapToGrid w:val="0"/>
                    <w:jc w:val="center"/>
                    <w:rPr>
                      <w:szCs w:val="21"/>
                    </w:rPr>
                  </w:pPr>
                  <w:r>
                    <w:rPr>
                      <w:rFonts w:hint="eastAsia"/>
                      <w:szCs w:val="21"/>
                    </w:rPr>
                    <w:t>500</w:t>
                  </w:r>
                </w:p>
              </w:tc>
              <w:tc>
                <w:tcPr>
                  <w:tcW w:w="514" w:type="pct"/>
                  <w:vAlign w:val="center"/>
                </w:tcPr>
                <w:p>
                  <w:pPr>
                    <w:adjustRightInd w:val="0"/>
                    <w:snapToGrid w:val="0"/>
                    <w:jc w:val="center"/>
                    <w:rPr>
                      <w:szCs w:val="21"/>
                    </w:rPr>
                  </w:pPr>
                  <w:r>
                    <w:rPr>
                      <w:rFonts w:hint="eastAsia"/>
                      <w:szCs w:val="21"/>
                    </w:rPr>
                    <w:t>130</w:t>
                  </w:r>
                </w:p>
              </w:tc>
              <w:tc>
                <w:tcPr>
                  <w:tcW w:w="569" w:type="pct"/>
                  <w:vAlign w:val="center"/>
                </w:tcPr>
                <w:p>
                  <w:pPr>
                    <w:adjustRightInd w:val="0"/>
                    <w:snapToGrid w:val="0"/>
                    <w:jc w:val="center"/>
                    <w:rPr>
                      <w:szCs w:val="21"/>
                    </w:rPr>
                  </w:pPr>
                  <w:r>
                    <w:rPr>
                      <w:rFonts w:hint="eastAsia"/>
                      <w:szCs w:val="21"/>
                    </w:rPr>
                    <w:t>200</w:t>
                  </w:r>
                </w:p>
              </w:tc>
              <w:tc>
                <w:tcPr>
                  <w:tcW w:w="571" w:type="pct"/>
                  <w:vAlign w:val="center"/>
                </w:tcPr>
                <w:p>
                  <w:pPr>
                    <w:adjustRightInd w:val="0"/>
                    <w:snapToGrid w:val="0"/>
                    <w:jc w:val="center"/>
                    <w:rPr>
                      <w:szCs w:val="21"/>
                    </w:rPr>
                  </w:pPr>
                  <w:r>
                    <w:rPr>
                      <w:rFonts w:hint="eastAsia"/>
                      <w:szCs w:val="21"/>
                    </w:rPr>
                    <w:t>25</w:t>
                  </w:r>
                </w:p>
              </w:tc>
              <w:tc>
                <w:tcPr>
                  <w:tcW w:w="599" w:type="pct"/>
                  <w:vAlign w:val="center"/>
                </w:tcPr>
                <w:p>
                  <w:pPr>
                    <w:adjustRightInd w:val="0"/>
                    <w:snapToGrid w:val="0"/>
                    <w:jc w:val="center"/>
                    <w:rPr>
                      <w:szCs w:val="21"/>
                    </w:rPr>
                  </w:pPr>
                  <w:r>
                    <w:rPr>
                      <w:rFonts w:hint="eastAsia"/>
                      <w:szCs w:val="21"/>
                    </w:rPr>
                    <w:t>100</w:t>
                  </w:r>
                </w:p>
              </w:tc>
              <w:tc>
                <w:tcPr>
                  <w:tcW w:w="489" w:type="pct"/>
                  <w:vAlign w:val="center"/>
                </w:tcPr>
                <w:p>
                  <w:pPr>
                    <w:adjustRightInd w:val="0"/>
                    <w:snapToGrid w:val="0"/>
                    <w:jc w:val="center"/>
                    <w:rPr>
                      <w:szCs w:val="21"/>
                    </w:rPr>
                  </w:pPr>
                  <w:r>
                    <w:rPr>
                      <w:rFonts w:hint="eastAsia"/>
                      <w:szCs w:val="21"/>
                    </w:rPr>
                    <w:t>30</w:t>
                  </w:r>
                </w:p>
              </w:tc>
            </w:tr>
          </w:tbl>
          <w:p>
            <w:pPr>
              <w:tabs>
                <w:tab w:val="left" w:pos="2307"/>
              </w:tabs>
              <w:snapToGrid w:val="0"/>
              <w:spacing w:line="276" w:lineRule="auto"/>
              <w:jc w:val="center"/>
              <w:rPr>
                <w:rFonts w:hAnsi="宋体"/>
                <w:b/>
                <w:bCs/>
                <w:kern w:val="28"/>
                <w:szCs w:val="21"/>
              </w:rPr>
            </w:pPr>
            <w:r>
              <w:rPr>
                <w:rFonts w:hint="eastAsia" w:hAnsi="宋体"/>
                <w:b/>
                <w:bCs/>
                <w:kern w:val="28"/>
                <w:szCs w:val="21"/>
              </w:rPr>
              <w:t>表4-</w:t>
            </w:r>
            <w:r>
              <w:rPr>
                <w:rFonts w:hint="eastAsia" w:hAnsi="宋体"/>
                <w:b/>
                <w:bCs/>
                <w:kern w:val="28"/>
                <w:szCs w:val="21"/>
                <w:lang w:val="en-US" w:eastAsia="zh-CN"/>
              </w:rPr>
              <w:t xml:space="preserve">12 </w:t>
            </w:r>
            <w:r>
              <w:rPr>
                <w:rFonts w:hint="eastAsia" w:hAnsi="宋体"/>
                <w:b/>
                <w:bCs/>
                <w:kern w:val="28"/>
                <w:szCs w:val="21"/>
              </w:rPr>
              <w:t xml:space="preserve"> </w:t>
            </w:r>
            <w:r>
              <w:rPr>
                <w:rFonts w:hint="eastAsia" w:hAnsi="宋体"/>
                <w:b/>
                <w:bCs/>
                <w:kern w:val="28"/>
                <w:szCs w:val="21"/>
                <w:lang w:val="en-US" w:eastAsia="zh-CN"/>
              </w:rPr>
              <w:t>04#地块</w:t>
            </w:r>
            <w:r>
              <w:rPr>
                <w:rFonts w:hint="eastAsia" w:hAnsi="宋体"/>
                <w:b/>
                <w:bCs/>
                <w:kern w:val="28"/>
                <w:szCs w:val="21"/>
              </w:rPr>
              <w:t>废水处理前后废水水质一览表</w:t>
            </w:r>
          </w:p>
          <w:tbl>
            <w:tblPr>
              <w:tblStyle w:val="18"/>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1209"/>
              <w:gridCol w:w="988"/>
              <w:gridCol w:w="891"/>
              <w:gridCol w:w="991"/>
              <w:gridCol w:w="993"/>
              <w:gridCol w:w="1050"/>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szCs w:val="21"/>
                    </w:rPr>
                  </w:pPr>
                  <w:r>
                    <w:rPr>
                      <w:rFonts w:hAnsi="宋体"/>
                      <w:szCs w:val="21"/>
                    </w:rPr>
                    <w:t>项目</w:t>
                  </w:r>
                </w:p>
              </w:tc>
              <w:tc>
                <w:tcPr>
                  <w:tcW w:w="571" w:type="pct"/>
                  <w:vAlign w:val="center"/>
                </w:tcPr>
                <w:p>
                  <w:pPr>
                    <w:adjustRightInd w:val="0"/>
                    <w:snapToGrid w:val="0"/>
                    <w:jc w:val="center"/>
                    <w:rPr>
                      <w:szCs w:val="21"/>
                    </w:rPr>
                  </w:pPr>
                  <w:r>
                    <w:rPr>
                      <w:szCs w:val="21"/>
                    </w:rPr>
                    <w:t>COD</w:t>
                  </w:r>
                </w:p>
              </w:tc>
              <w:tc>
                <w:tcPr>
                  <w:tcW w:w="515" w:type="pct"/>
                  <w:vAlign w:val="center"/>
                </w:tcPr>
                <w:p>
                  <w:pPr>
                    <w:adjustRightInd w:val="0"/>
                    <w:snapToGrid w:val="0"/>
                    <w:jc w:val="center"/>
                    <w:rPr>
                      <w:szCs w:val="21"/>
                    </w:rPr>
                  </w:pPr>
                  <w:r>
                    <w:rPr>
                      <w:szCs w:val="21"/>
                    </w:rPr>
                    <w:t>BOD</w:t>
                  </w:r>
                  <w:r>
                    <w:rPr>
                      <w:szCs w:val="21"/>
                      <w:vertAlign w:val="subscript"/>
                    </w:rPr>
                    <w:t>5</w:t>
                  </w:r>
                </w:p>
              </w:tc>
              <w:tc>
                <w:tcPr>
                  <w:tcW w:w="573" w:type="pct"/>
                  <w:vAlign w:val="center"/>
                </w:tcPr>
                <w:p>
                  <w:pPr>
                    <w:adjustRightInd w:val="0"/>
                    <w:snapToGrid w:val="0"/>
                    <w:jc w:val="center"/>
                    <w:rPr>
                      <w:szCs w:val="21"/>
                    </w:rPr>
                  </w:pPr>
                  <w:r>
                    <w:rPr>
                      <w:szCs w:val="21"/>
                    </w:rPr>
                    <w:t>SS</w:t>
                  </w:r>
                </w:p>
              </w:tc>
              <w:tc>
                <w:tcPr>
                  <w:tcW w:w="574" w:type="pct"/>
                  <w:vAlign w:val="center"/>
                </w:tcPr>
                <w:p>
                  <w:pPr>
                    <w:adjustRightInd w:val="0"/>
                    <w:snapToGrid w:val="0"/>
                    <w:jc w:val="center"/>
                    <w:rPr>
                      <w:szCs w:val="21"/>
                    </w:rPr>
                  </w:pPr>
                  <w:r>
                    <w:rPr>
                      <w:szCs w:val="21"/>
                    </w:rPr>
                    <w:t>NH</w:t>
                  </w:r>
                  <w:r>
                    <w:rPr>
                      <w:szCs w:val="21"/>
                      <w:vertAlign w:val="subscript"/>
                    </w:rPr>
                    <w:t>3</w:t>
                  </w:r>
                  <w:r>
                    <w:rPr>
                      <w:szCs w:val="21"/>
                    </w:rPr>
                    <w:t>-N</w:t>
                  </w:r>
                </w:p>
              </w:tc>
              <w:tc>
                <w:tcPr>
                  <w:tcW w:w="607" w:type="pct"/>
                  <w:vAlign w:val="center"/>
                </w:tcPr>
                <w:p>
                  <w:pPr>
                    <w:adjustRightInd w:val="0"/>
                    <w:snapToGrid w:val="0"/>
                    <w:jc w:val="center"/>
                    <w:rPr>
                      <w:szCs w:val="21"/>
                    </w:rPr>
                  </w:pPr>
                  <w:r>
                    <w:rPr>
                      <w:szCs w:val="21"/>
                    </w:rPr>
                    <w:t>动植物油</w:t>
                  </w:r>
                </w:p>
              </w:tc>
              <w:tc>
                <w:tcPr>
                  <w:tcW w:w="470" w:type="pct"/>
                  <w:vAlign w:val="center"/>
                </w:tcPr>
                <w:p>
                  <w:pPr>
                    <w:adjustRightInd w:val="0"/>
                    <w:snapToGrid w:val="0"/>
                    <w:jc w:val="center"/>
                    <w:rPr>
                      <w:szCs w:val="21"/>
                    </w:rPr>
                  </w:pPr>
                  <w:r>
                    <w:rPr>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szCs w:val="21"/>
                    </w:rPr>
                    <w:t>生活污水</w:t>
                  </w:r>
                </w:p>
              </w:tc>
              <w:tc>
                <w:tcPr>
                  <w:tcW w:w="698" w:type="pct"/>
                  <w:vAlign w:val="center"/>
                </w:tcPr>
                <w:p>
                  <w:pPr>
                    <w:adjustRightInd w:val="0"/>
                    <w:snapToGrid w:val="0"/>
                    <w:jc w:val="center"/>
                    <w:rPr>
                      <w:rFonts w:hAnsi="宋体"/>
                      <w:szCs w:val="21"/>
                    </w:rPr>
                  </w:pPr>
                  <w:r>
                    <w:rPr>
                      <w:rFonts w:hint="eastAsia" w:hAnsi="宋体"/>
                      <w:szCs w:val="21"/>
                    </w:rPr>
                    <w:t>产生浓度（</w:t>
                  </w:r>
                  <w:r>
                    <w:rPr>
                      <w:szCs w:val="21"/>
                    </w:rPr>
                    <w:t>mg/L</w:t>
                  </w:r>
                  <w:r>
                    <w:rPr>
                      <w:rFonts w:hint="eastAsia"/>
                      <w:szCs w:val="21"/>
                    </w:rPr>
                    <w:t>）</w:t>
                  </w:r>
                </w:p>
              </w:tc>
              <w:tc>
                <w:tcPr>
                  <w:tcW w:w="571" w:type="pct"/>
                  <w:vAlign w:val="center"/>
                </w:tcPr>
                <w:p>
                  <w:pPr>
                    <w:adjustRightInd w:val="0"/>
                    <w:snapToGrid w:val="0"/>
                    <w:jc w:val="center"/>
                    <w:rPr>
                      <w:szCs w:val="21"/>
                    </w:rPr>
                  </w:pPr>
                  <w:r>
                    <w:rPr>
                      <w:rFonts w:hint="eastAsia"/>
                      <w:szCs w:val="21"/>
                    </w:rPr>
                    <w:t>300</w:t>
                  </w:r>
                </w:p>
              </w:tc>
              <w:tc>
                <w:tcPr>
                  <w:tcW w:w="515" w:type="pct"/>
                  <w:vAlign w:val="center"/>
                </w:tcPr>
                <w:p>
                  <w:pPr>
                    <w:adjustRightInd w:val="0"/>
                    <w:snapToGrid w:val="0"/>
                    <w:jc w:val="center"/>
                    <w:rPr>
                      <w:szCs w:val="21"/>
                    </w:rPr>
                  </w:pPr>
                  <w:r>
                    <w:rPr>
                      <w:rFonts w:hint="eastAsia"/>
                      <w:szCs w:val="21"/>
                    </w:rPr>
                    <w:t>180</w:t>
                  </w:r>
                </w:p>
              </w:tc>
              <w:tc>
                <w:tcPr>
                  <w:tcW w:w="573" w:type="pct"/>
                  <w:vAlign w:val="center"/>
                </w:tcPr>
                <w:p>
                  <w:pPr>
                    <w:adjustRightInd w:val="0"/>
                    <w:snapToGrid w:val="0"/>
                    <w:jc w:val="center"/>
                    <w:rPr>
                      <w:szCs w:val="21"/>
                    </w:rPr>
                  </w:pPr>
                  <w:r>
                    <w:rPr>
                      <w:rFonts w:hint="eastAsia"/>
                      <w:szCs w:val="21"/>
                    </w:rPr>
                    <w:t>200</w:t>
                  </w:r>
                </w:p>
              </w:tc>
              <w:tc>
                <w:tcPr>
                  <w:tcW w:w="574" w:type="pct"/>
                  <w:vAlign w:val="center"/>
                </w:tcPr>
                <w:p>
                  <w:pPr>
                    <w:adjustRightInd w:val="0"/>
                    <w:snapToGrid w:val="0"/>
                    <w:jc w:val="center"/>
                    <w:rPr>
                      <w:szCs w:val="21"/>
                    </w:rPr>
                  </w:pPr>
                  <w:r>
                    <w:rPr>
                      <w:rFonts w:hint="eastAsia"/>
                      <w:szCs w:val="21"/>
                    </w:rPr>
                    <w:t>20</w:t>
                  </w:r>
                </w:p>
              </w:tc>
              <w:tc>
                <w:tcPr>
                  <w:tcW w:w="607" w:type="pct"/>
                  <w:vAlign w:val="center"/>
                </w:tcPr>
                <w:p>
                  <w:pPr>
                    <w:adjustRightInd w:val="0"/>
                    <w:snapToGrid w:val="0"/>
                    <w:jc w:val="center"/>
                    <w:rPr>
                      <w:szCs w:val="21"/>
                    </w:rPr>
                  </w:pPr>
                  <w:r>
                    <w:rPr>
                      <w:rFonts w:hint="eastAsia"/>
                      <w:szCs w:val="21"/>
                    </w:rPr>
                    <w:t>150</w:t>
                  </w:r>
                </w:p>
              </w:tc>
              <w:tc>
                <w:tcPr>
                  <w:tcW w:w="470"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化粪池处理效率（%）</w:t>
                  </w:r>
                </w:p>
              </w:tc>
              <w:tc>
                <w:tcPr>
                  <w:tcW w:w="571" w:type="pct"/>
                  <w:vAlign w:val="center"/>
                </w:tcPr>
                <w:p>
                  <w:pPr>
                    <w:adjustRightInd w:val="0"/>
                    <w:snapToGrid w:val="0"/>
                    <w:jc w:val="center"/>
                    <w:rPr>
                      <w:szCs w:val="21"/>
                    </w:rPr>
                  </w:pPr>
                  <w:r>
                    <w:rPr>
                      <w:rFonts w:hint="eastAsia"/>
                      <w:szCs w:val="21"/>
                    </w:rPr>
                    <w:t>15</w:t>
                  </w:r>
                </w:p>
              </w:tc>
              <w:tc>
                <w:tcPr>
                  <w:tcW w:w="515" w:type="pct"/>
                  <w:vAlign w:val="center"/>
                </w:tcPr>
                <w:p>
                  <w:pPr>
                    <w:adjustRightInd w:val="0"/>
                    <w:snapToGrid w:val="0"/>
                    <w:jc w:val="center"/>
                    <w:rPr>
                      <w:szCs w:val="21"/>
                    </w:rPr>
                  </w:pPr>
                  <w:r>
                    <w:rPr>
                      <w:rFonts w:hint="eastAsia"/>
                      <w:szCs w:val="21"/>
                    </w:rPr>
                    <w:t>30</w:t>
                  </w:r>
                </w:p>
              </w:tc>
              <w:tc>
                <w:tcPr>
                  <w:tcW w:w="573" w:type="pct"/>
                  <w:vAlign w:val="center"/>
                </w:tcPr>
                <w:p>
                  <w:pPr>
                    <w:adjustRightInd w:val="0"/>
                    <w:snapToGrid w:val="0"/>
                    <w:jc w:val="center"/>
                    <w:rPr>
                      <w:szCs w:val="21"/>
                    </w:rPr>
                  </w:pPr>
                  <w:r>
                    <w:rPr>
                      <w:rFonts w:hint="eastAsia"/>
                      <w:szCs w:val="21"/>
                    </w:rPr>
                    <w:t>30</w:t>
                  </w:r>
                </w:p>
              </w:tc>
              <w:tc>
                <w:tcPr>
                  <w:tcW w:w="574" w:type="pct"/>
                  <w:vAlign w:val="center"/>
                </w:tcPr>
                <w:p>
                  <w:pPr>
                    <w:adjustRightInd w:val="0"/>
                    <w:snapToGrid w:val="0"/>
                    <w:jc w:val="center"/>
                    <w:rPr>
                      <w:szCs w:val="21"/>
                    </w:rPr>
                  </w:pPr>
                  <w:r>
                    <w:rPr>
                      <w:rFonts w:hint="eastAsia"/>
                      <w:szCs w:val="21"/>
                    </w:rPr>
                    <w:t>3</w:t>
                  </w:r>
                </w:p>
              </w:tc>
              <w:tc>
                <w:tcPr>
                  <w:tcW w:w="607" w:type="pct"/>
                  <w:vAlign w:val="center"/>
                </w:tcPr>
                <w:p>
                  <w:pPr>
                    <w:adjustRightInd w:val="0"/>
                    <w:snapToGrid w:val="0"/>
                    <w:jc w:val="center"/>
                    <w:rPr>
                      <w:szCs w:val="21"/>
                    </w:rPr>
                  </w:pPr>
                  <w:r>
                    <w:rPr>
                      <w:rFonts w:hint="eastAsia"/>
                      <w:szCs w:val="21"/>
                    </w:rPr>
                    <w:t>75</w:t>
                  </w:r>
                </w:p>
              </w:tc>
              <w:tc>
                <w:tcPr>
                  <w:tcW w:w="470" w:type="pct"/>
                  <w:vAlign w:val="center"/>
                </w:tcPr>
                <w:p>
                  <w:pPr>
                    <w:adjustRightInd w:val="0"/>
                    <w:snapToGrid w:val="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b/>
                      <w:bCs w:val="0"/>
                      <w:szCs w:val="21"/>
                    </w:rPr>
                  </w:pPr>
                  <w:r>
                    <w:rPr>
                      <w:rFonts w:hint="eastAsia" w:hAnsi="宋体"/>
                      <w:b/>
                      <w:bCs w:val="0"/>
                      <w:szCs w:val="21"/>
                    </w:rPr>
                    <w:t>预处理后</w:t>
                  </w:r>
                </w:p>
                <w:p>
                  <w:pPr>
                    <w:adjustRightInd w:val="0"/>
                    <w:snapToGrid w:val="0"/>
                    <w:jc w:val="center"/>
                    <w:rPr>
                      <w:rFonts w:hAnsi="宋体"/>
                      <w:b/>
                      <w:bCs w:val="0"/>
                      <w:szCs w:val="21"/>
                    </w:rPr>
                  </w:pPr>
                  <w:r>
                    <w:rPr>
                      <w:rFonts w:hint="eastAsia" w:hAnsi="宋体"/>
                      <w:b/>
                      <w:bCs w:val="0"/>
                      <w:szCs w:val="21"/>
                    </w:rPr>
                    <w:t>生活污水</w:t>
                  </w:r>
                </w:p>
              </w:tc>
              <w:tc>
                <w:tcPr>
                  <w:tcW w:w="698" w:type="pct"/>
                  <w:vAlign w:val="center"/>
                </w:tcPr>
                <w:p>
                  <w:pPr>
                    <w:adjustRightInd w:val="0"/>
                    <w:snapToGrid w:val="0"/>
                    <w:jc w:val="center"/>
                    <w:rPr>
                      <w:b/>
                      <w:bCs w:val="0"/>
                      <w:szCs w:val="21"/>
                    </w:rPr>
                  </w:pPr>
                  <w:r>
                    <w:rPr>
                      <w:rFonts w:hint="eastAsia" w:hAnsi="宋体"/>
                      <w:b/>
                      <w:bCs w:val="0"/>
                      <w:szCs w:val="21"/>
                    </w:rPr>
                    <w:t>排放浓度（</w:t>
                  </w:r>
                  <w:r>
                    <w:rPr>
                      <w:b/>
                      <w:bCs w:val="0"/>
                      <w:szCs w:val="21"/>
                    </w:rPr>
                    <w:t>mg/L</w:t>
                  </w:r>
                  <w:r>
                    <w:rPr>
                      <w:rFonts w:hint="eastAsia" w:hAnsi="宋体"/>
                      <w:b/>
                      <w:bCs w:val="0"/>
                      <w:szCs w:val="21"/>
                    </w:rPr>
                    <w:t>）</w:t>
                  </w:r>
                </w:p>
              </w:tc>
              <w:tc>
                <w:tcPr>
                  <w:tcW w:w="571" w:type="pct"/>
                  <w:vAlign w:val="center"/>
                </w:tcPr>
                <w:p>
                  <w:pPr>
                    <w:adjustRightInd w:val="0"/>
                    <w:snapToGrid w:val="0"/>
                    <w:jc w:val="center"/>
                    <w:rPr>
                      <w:b/>
                      <w:bCs w:val="0"/>
                      <w:szCs w:val="21"/>
                    </w:rPr>
                  </w:pPr>
                  <w:r>
                    <w:rPr>
                      <w:rFonts w:hint="eastAsia"/>
                      <w:b/>
                      <w:bCs w:val="0"/>
                      <w:szCs w:val="21"/>
                    </w:rPr>
                    <w:t>255</w:t>
                  </w:r>
                </w:p>
              </w:tc>
              <w:tc>
                <w:tcPr>
                  <w:tcW w:w="515" w:type="pct"/>
                  <w:vAlign w:val="center"/>
                </w:tcPr>
                <w:p>
                  <w:pPr>
                    <w:adjustRightInd w:val="0"/>
                    <w:snapToGrid w:val="0"/>
                    <w:jc w:val="center"/>
                    <w:rPr>
                      <w:b/>
                      <w:bCs w:val="0"/>
                      <w:szCs w:val="21"/>
                    </w:rPr>
                  </w:pPr>
                  <w:r>
                    <w:rPr>
                      <w:rFonts w:hint="eastAsia"/>
                      <w:b/>
                      <w:bCs w:val="0"/>
                      <w:szCs w:val="21"/>
                    </w:rPr>
                    <w:t>126</w:t>
                  </w:r>
                </w:p>
              </w:tc>
              <w:tc>
                <w:tcPr>
                  <w:tcW w:w="573" w:type="pct"/>
                  <w:vAlign w:val="center"/>
                </w:tcPr>
                <w:p>
                  <w:pPr>
                    <w:adjustRightInd w:val="0"/>
                    <w:snapToGrid w:val="0"/>
                    <w:jc w:val="center"/>
                    <w:rPr>
                      <w:b/>
                      <w:bCs w:val="0"/>
                      <w:szCs w:val="21"/>
                    </w:rPr>
                  </w:pPr>
                  <w:r>
                    <w:rPr>
                      <w:rFonts w:hint="eastAsia"/>
                      <w:b/>
                      <w:bCs w:val="0"/>
                      <w:szCs w:val="21"/>
                    </w:rPr>
                    <w:t>140</w:t>
                  </w:r>
                </w:p>
              </w:tc>
              <w:tc>
                <w:tcPr>
                  <w:tcW w:w="574" w:type="pct"/>
                  <w:vAlign w:val="center"/>
                </w:tcPr>
                <w:p>
                  <w:pPr>
                    <w:adjustRightInd w:val="0"/>
                    <w:snapToGrid w:val="0"/>
                    <w:jc w:val="center"/>
                    <w:rPr>
                      <w:b/>
                      <w:bCs w:val="0"/>
                      <w:szCs w:val="21"/>
                    </w:rPr>
                  </w:pPr>
                  <w:r>
                    <w:rPr>
                      <w:rFonts w:hint="eastAsia"/>
                      <w:b/>
                      <w:bCs w:val="0"/>
                      <w:szCs w:val="21"/>
                    </w:rPr>
                    <w:t>19.4</w:t>
                  </w:r>
                </w:p>
              </w:tc>
              <w:tc>
                <w:tcPr>
                  <w:tcW w:w="607" w:type="pct"/>
                  <w:vAlign w:val="center"/>
                </w:tcPr>
                <w:p>
                  <w:pPr>
                    <w:adjustRightInd w:val="0"/>
                    <w:snapToGrid w:val="0"/>
                    <w:jc w:val="center"/>
                    <w:rPr>
                      <w:b/>
                      <w:bCs w:val="0"/>
                      <w:szCs w:val="21"/>
                    </w:rPr>
                  </w:pPr>
                  <w:r>
                    <w:rPr>
                      <w:rFonts w:hint="eastAsia"/>
                      <w:b/>
                      <w:bCs w:val="0"/>
                      <w:szCs w:val="21"/>
                    </w:rPr>
                    <w:t>37.5</w:t>
                  </w:r>
                </w:p>
              </w:tc>
              <w:tc>
                <w:tcPr>
                  <w:tcW w:w="470" w:type="pct"/>
                  <w:vAlign w:val="center"/>
                </w:tcPr>
                <w:p>
                  <w:pPr>
                    <w:adjustRightInd w:val="0"/>
                    <w:snapToGrid w:val="0"/>
                    <w:jc w:val="center"/>
                    <w:rPr>
                      <w:b/>
                      <w:szCs w:val="21"/>
                    </w:rPr>
                  </w:pPr>
                  <w:r>
                    <w:rPr>
                      <w:rFonts w:hint="eastAsia"/>
                      <w:b/>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szCs w:val="21"/>
                    </w:rPr>
                  </w:pPr>
                  <w:r>
                    <w:rPr>
                      <w:rFonts w:hint="eastAsia" w:hAnsi="宋体"/>
                      <w:szCs w:val="21"/>
                    </w:rPr>
                    <w:t>车库地面清洗废水</w:t>
                  </w:r>
                </w:p>
              </w:tc>
              <w:tc>
                <w:tcPr>
                  <w:tcW w:w="698" w:type="pct"/>
                  <w:vAlign w:val="center"/>
                </w:tcPr>
                <w:p>
                  <w:pPr>
                    <w:adjustRightInd w:val="0"/>
                    <w:snapToGrid w:val="0"/>
                    <w:jc w:val="center"/>
                    <w:rPr>
                      <w:szCs w:val="21"/>
                    </w:rPr>
                  </w:pPr>
                  <w:r>
                    <w:rPr>
                      <w:rFonts w:hint="eastAsia" w:hAnsi="宋体"/>
                      <w:szCs w:val="21"/>
                    </w:rPr>
                    <w:t>产生浓度（</w:t>
                  </w:r>
                  <w:r>
                    <w:rPr>
                      <w:szCs w:val="21"/>
                    </w:rPr>
                    <w:t>mg/L</w:t>
                  </w:r>
                  <w:r>
                    <w:rPr>
                      <w:rFonts w:hint="eastAsia" w:hAnsi="宋体"/>
                      <w:szCs w:val="21"/>
                    </w:rPr>
                    <w:t>）</w:t>
                  </w:r>
                </w:p>
              </w:tc>
              <w:tc>
                <w:tcPr>
                  <w:tcW w:w="571" w:type="pct"/>
                  <w:vAlign w:val="center"/>
                </w:tcPr>
                <w:p>
                  <w:pPr>
                    <w:adjustRightInd w:val="0"/>
                    <w:snapToGrid w:val="0"/>
                    <w:jc w:val="center"/>
                    <w:rPr>
                      <w:szCs w:val="21"/>
                    </w:rPr>
                  </w:pPr>
                  <w:r>
                    <w:rPr>
                      <w:rFonts w:hint="eastAsia"/>
                      <w:szCs w:val="21"/>
                    </w:rPr>
                    <w:t>150</w:t>
                  </w:r>
                </w:p>
              </w:tc>
              <w:tc>
                <w:tcPr>
                  <w:tcW w:w="515" w:type="pct"/>
                  <w:vAlign w:val="center"/>
                </w:tcPr>
                <w:p>
                  <w:pPr>
                    <w:adjustRightInd w:val="0"/>
                    <w:snapToGrid w:val="0"/>
                    <w:jc w:val="center"/>
                    <w:rPr>
                      <w:szCs w:val="21"/>
                    </w:rPr>
                  </w:pPr>
                  <w:r>
                    <w:rPr>
                      <w:rFonts w:hint="eastAsia"/>
                      <w:szCs w:val="21"/>
                    </w:rPr>
                    <w:t>/</w:t>
                  </w:r>
                </w:p>
              </w:tc>
              <w:tc>
                <w:tcPr>
                  <w:tcW w:w="573" w:type="pct"/>
                  <w:vAlign w:val="center"/>
                </w:tcPr>
                <w:p>
                  <w:pPr>
                    <w:adjustRightInd w:val="0"/>
                    <w:snapToGrid w:val="0"/>
                    <w:jc w:val="center"/>
                    <w:rPr>
                      <w:szCs w:val="21"/>
                    </w:rPr>
                  </w:pPr>
                  <w:r>
                    <w:rPr>
                      <w:rFonts w:hint="eastAsia"/>
                      <w:szCs w:val="21"/>
                    </w:rPr>
                    <w:t>100</w:t>
                  </w:r>
                </w:p>
              </w:tc>
              <w:tc>
                <w:tcPr>
                  <w:tcW w:w="574" w:type="pct"/>
                  <w:vAlign w:val="center"/>
                </w:tcPr>
                <w:p>
                  <w:pPr>
                    <w:adjustRightInd w:val="0"/>
                    <w:snapToGrid w:val="0"/>
                    <w:jc w:val="center"/>
                    <w:rPr>
                      <w:szCs w:val="21"/>
                    </w:rPr>
                  </w:pPr>
                  <w:r>
                    <w:rPr>
                      <w:rFonts w:hint="eastAsia"/>
                      <w:szCs w:val="21"/>
                    </w:rPr>
                    <w:t>/</w:t>
                  </w:r>
                </w:p>
              </w:tc>
              <w:tc>
                <w:tcPr>
                  <w:tcW w:w="607" w:type="pct"/>
                  <w:vAlign w:val="center"/>
                </w:tcPr>
                <w:p>
                  <w:pPr>
                    <w:adjustRightInd w:val="0"/>
                    <w:snapToGrid w:val="0"/>
                    <w:jc w:val="center"/>
                    <w:rPr>
                      <w:szCs w:val="21"/>
                    </w:rPr>
                  </w:pPr>
                  <w:r>
                    <w:rPr>
                      <w:rFonts w:hint="eastAsia"/>
                      <w:szCs w:val="21"/>
                    </w:rPr>
                    <w:t>/</w:t>
                  </w:r>
                </w:p>
              </w:tc>
              <w:tc>
                <w:tcPr>
                  <w:tcW w:w="470" w:type="pct"/>
                  <w:vAlign w:val="center"/>
                </w:tcPr>
                <w:p>
                  <w:pPr>
                    <w:adjustRightInd w:val="0"/>
                    <w:snapToGrid w:val="0"/>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隔油沉淀池处理效率（%）</w:t>
                  </w:r>
                </w:p>
              </w:tc>
              <w:tc>
                <w:tcPr>
                  <w:tcW w:w="571" w:type="pct"/>
                  <w:vAlign w:val="center"/>
                </w:tcPr>
                <w:p>
                  <w:pPr>
                    <w:adjustRightInd w:val="0"/>
                    <w:snapToGrid w:val="0"/>
                    <w:jc w:val="center"/>
                    <w:rPr>
                      <w:szCs w:val="21"/>
                    </w:rPr>
                  </w:pPr>
                  <w:r>
                    <w:rPr>
                      <w:rFonts w:hint="eastAsia"/>
                      <w:szCs w:val="21"/>
                    </w:rPr>
                    <w:t>0</w:t>
                  </w:r>
                </w:p>
              </w:tc>
              <w:tc>
                <w:tcPr>
                  <w:tcW w:w="515" w:type="pct"/>
                  <w:vAlign w:val="center"/>
                </w:tcPr>
                <w:p>
                  <w:pPr>
                    <w:adjustRightInd w:val="0"/>
                    <w:snapToGrid w:val="0"/>
                    <w:jc w:val="center"/>
                    <w:rPr>
                      <w:szCs w:val="21"/>
                    </w:rPr>
                  </w:pPr>
                  <w:r>
                    <w:rPr>
                      <w:rFonts w:hint="eastAsia"/>
                      <w:szCs w:val="21"/>
                    </w:rPr>
                    <w:t>/</w:t>
                  </w:r>
                </w:p>
              </w:tc>
              <w:tc>
                <w:tcPr>
                  <w:tcW w:w="573" w:type="pct"/>
                  <w:vAlign w:val="center"/>
                </w:tcPr>
                <w:p>
                  <w:pPr>
                    <w:adjustRightInd w:val="0"/>
                    <w:snapToGrid w:val="0"/>
                    <w:jc w:val="center"/>
                    <w:rPr>
                      <w:szCs w:val="21"/>
                    </w:rPr>
                  </w:pPr>
                  <w:r>
                    <w:rPr>
                      <w:rFonts w:hint="eastAsia"/>
                      <w:szCs w:val="21"/>
                    </w:rPr>
                    <w:t>30</w:t>
                  </w:r>
                </w:p>
              </w:tc>
              <w:tc>
                <w:tcPr>
                  <w:tcW w:w="574" w:type="pct"/>
                  <w:vAlign w:val="center"/>
                </w:tcPr>
                <w:p>
                  <w:pPr>
                    <w:adjustRightInd w:val="0"/>
                    <w:snapToGrid w:val="0"/>
                    <w:jc w:val="center"/>
                    <w:rPr>
                      <w:szCs w:val="21"/>
                    </w:rPr>
                  </w:pPr>
                  <w:r>
                    <w:rPr>
                      <w:rFonts w:hint="eastAsia"/>
                      <w:szCs w:val="21"/>
                    </w:rPr>
                    <w:t>/</w:t>
                  </w:r>
                </w:p>
              </w:tc>
              <w:tc>
                <w:tcPr>
                  <w:tcW w:w="607" w:type="pct"/>
                  <w:vAlign w:val="center"/>
                </w:tcPr>
                <w:p>
                  <w:pPr>
                    <w:adjustRightInd w:val="0"/>
                    <w:snapToGrid w:val="0"/>
                    <w:jc w:val="center"/>
                    <w:rPr>
                      <w:szCs w:val="21"/>
                    </w:rPr>
                  </w:pPr>
                  <w:r>
                    <w:rPr>
                      <w:rFonts w:hint="eastAsia"/>
                      <w:szCs w:val="21"/>
                    </w:rPr>
                    <w:t>/</w:t>
                  </w:r>
                </w:p>
              </w:tc>
              <w:tc>
                <w:tcPr>
                  <w:tcW w:w="470" w:type="pct"/>
                  <w:vAlign w:val="center"/>
                </w:tcPr>
                <w:p>
                  <w:pPr>
                    <w:adjustRightInd w:val="0"/>
                    <w:snapToGrid w:val="0"/>
                    <w:jc w:val="center"/>
                    <w:rPr>
                      <w:szCs w:val="21"/>
                    </w:rPr>
                  </w:pPr>
                  <w:r>
                    <w:rPr>
                      <w:rFonts w:hint="eastAsia"/>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预处理后清洗废水</w:t>
                  </w:r>
                </w:p>
              </w:tc>
              <w:tc>
                <w:tcPr>
                  <w:tcW w:w="698" w:type="pct"/>
                  <w:vAlign w:val="center"/>
                </w:tcPr>
                <w:p>
                  <w:pPr>
                    <w:adjustRightInd w:val="0"/>
                    <w:snapToGrid w:val="0"/>
                    <w:jc w:val="center"/>
                    <w:rPr>
                      <w:szCs w:val="21"/>
                    </w:rPr>
                  </w:pPr>
                  <w:r>
                    <w:rPr>
                      <w:rFonts w:hint="eastAsia" w:hAnsi="宋体"/>
                      <w:szCs w:val="21"/>
                    </w:rPr>
                    <w:t>排放浓度（</w:t>
                  </w:r>
                  <w:r>
                    <w:rPr>
                      <w:szCs w:val="21"/>
                    </w:rPr>
                    <w:t>mg/L</w:t>
                  </w:r>
                  <w:r>
                    <w:rPr>
                      <w:rFonts w:hint="eastAsia" w:hAnsi="宋体"/>
                      <w:szCs w:val="21"/>
                    </w:rPr>
                    <w:t>）</w:t>
                  </w:r>
                </w:p>
              </w:tc>
              <w:tc>
                <w:tcPr>
                  <w:tcW w:w="571" w:type="pct"/>
                  <w:vAlign w:val="center"/>
                </w:tcPr>
                <w:p>
                  <w:pPr>
                    <w:adjustRightInd w:val="0"/>
                    <w:snapToGrid w:val="0"/>
                    <w:jc w:val="center"/>
                    <w:rPr>
                      <w:szCs w:val="21"/>
                    </w:rPr>
                  </w:pPr>
                  <w:r>
                    <w:rPr>
                      <w:rFonts w:hint="eastAsia"/>
                      <w:szCs w:val="21"/>
                    </w:rPr>
                    <w:t>150</w:t>
                  </w:r>
                </w:p>
              </w:tc>
              <w:tc>
                <w:tcPr>
                  <w:tcW w:w="515" w:type="pct"/>
                  <w:vAlign w:val="center"/>
                </w:tcPr>
                <w:p>
                  <w:pPr>
                    <w:adjustRightInd w:val="0"/>
                    <w:snapToGrid w:val="0"/>
                    <w:jc w:val="center"/>
                    <w:rPr>
                      <w:szCs w:val="21"/>
                    </w:rPr>
                  </w:pPr>
                  <w:r>
                    <w:rPr>
                      <w:rFonts w:hint="eastAsia"/>
                      <w:szCs w:val="21"/>
                    </w:rPr>
                    <w:t>/</w:t>
                  </w:r>
                </w:p>
              </w:tc>
              <w:tc>
                <w:tcPr>
                  <w:tcW w:w="573" w:type="pct"/>
                  <w:vAlign w:val="center"/>
                </w:tcPr>
                <w:p>
                  <w:pPr>
                    <w:adjustRightInd w:val="0"/>
                    <w:snapToGrid w:val="0"/>
                    <w:jc w:val="center"/>
                    <w:rPr>
                      <w:szCs w:val="21"/>
                    </w:rPr>
                  </w:pPr>
                  <w:r>
                    <w:rPr>
                      <w:rFonts w:hint="eastAsia"/>
                      <w:szCs w:val="21"/>
                    </w:rPr>
                    <w:t>70</w:t>
                  </w:r>
                </w:p>
              </w:tc>
              <w:tc>
                <w:tcPr>
                  <w:tcW w:w="574" w:type="pct"/>
                  <w:vAlign w:val="center"/>
                </w:tcPr>
                <w:p>
                  <w:pPr>
                    <w:adjustRightInd w:val="0"/>
                    <w:snapToGrid w:val="0"/>
                    <w:jc w:val="center"/>
                    <w:rPr>
                      <w:szCs w:val="21"/>
                    </w:rPr>
                  </w:pPr>
                  <w:r>
                    <w:rPr>
                      <w:rFonts w:hint="eastAsia"/>
                      <w:szCs w:val="21"/>
                    </w:rPr>
                    <w:t>/</w:t>
                  </w:r>
                </w:p>
              </w:tc>
              <w:tc>
                <w:tcPr>
                  <w:tcW w:w="607" w:type="pct"/>
                  <w:vAlign w:val="center"/>
                </w:tcPr>
                <w:p>
                  <w:pPr>
                    <w:adjustRightInd w:val="0"/>
                    <w:snapToGrid w:val="0"/>
                    <w:jc w:val="center"/>
                    <w:rPr>
                      <w:szCs w:val="21"/>
                    </w:rPr>
                  </w:pPr>
                  <w:r>
                    <w:rPr>
                      <w:rFonts w:hint="eastAsia"/>
                      <w:szCs w:val="21"/>
                    </w:rPr>
                    <w:t>/</w:t>
                  </w:r>
                </w:p>
              </w:tc>
              <w:tc>
                <w:tcPr>
                  <w:tcW w:w="470" w:type="pct"/>
                  <w:vAlign w:val="center"/>
                </w:tcPr>
                <w:p>
                  <w:pPr>
                    <w:adjustRightInd w:val="0"/>
                    <w:snapToGrid w:val="0"/>
                    <w:jc w:val="center"/>
                    <w:rPr>
                      <w:szCs w:val="21"/>
                    </w:rPr>
                  </w:pPr>
                  <w:r>
                    <w:rPr>
                      <w:rFonts w:hint="eastAsia"/>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b/>
                      <w:szCs w:val="21"/>
                    </w:rPr>
                  </w:pPr>
                  <w:r>
                    <w:rPr>
                      <w:rFonts w:hAnsi="宋体"/>
                      <w:b/>
                      <w:szCs w:val="21"/>
                    </w:rPr>
                    <w:t>混合后污、废水</w:t>
                  </w:r>
                </w:p>
              </w:tc>
              <w:tc>
                <w:tcPr>
                  <w:tcW w:w="698" w:type="pct"/>
                  <w:vAlign w:val="center"/>
                </w:tcPr>
                <w:p>
                  <w:pPr>
                    <w:adjustRightInd w:val="0"/>
                    <w:snapToGrid w:val="0"/>
                    <w:jc w:val="center"/>
                    <w:rPr>
                      <w:rFonts w:hAnsi="宋体"/>
                      <w:b/>
                      <w:szCs w:val="21"/>
                    </w:rPr>
                  </w:pPr>
                  <w:r>
                    <w:rPr>
                      <w:rFonts w:hint="eastAsia" w:hAnsi="宋体"/>
                      <w:b/>
                      <w:szCs w:val="21"/>
                    </w:rPr>
                    <w:t>排放浓度（</w:t>
                  </w:r>
                  <w:r>
                    <w:rPr>
                      <w:b/>
                      <w:szCs w:val="21"/>
                    </w:rPr>
                    <w:t>mg/L</w:t>
                  </w:r>
                  <w:r>
                    <w:rPr>
                      <w:rFonts w:hint="eastAsia" w:hAnsi="宋体"/>
                      <w:b/>
                      <w:szCs w:val="21"/>
                    </w:rPr>
                    <w:t>）</w:t>
                  </w:r>
                </w:p>
              </w:tc>
              <w:tc>
                <w:tcPr>
                  <w:tcW w:w="571" w:type="pct"/>
                  <w:vAlign w:val="center"/>
                </w:tcPr>
                <w:p>
                  <w:pPr>
                    <w:adjustRightInd w:val="0"/>
                    <w:snapToGrid w:val="0"/>
                    <w:jc w:val="center"/>
                    <w:rPr>
                      <w:rFonts w:hint="default" w:eastAsia="宋体"/>
                      <w:b/>
                      <w:szCs w:val="21"/>
                      <w:lang w:val="en-US" w:eastAsia="zh-CN"/>
                    </w:rPr>
                  </w:pPr>
                  <w:r>
                    <w:rPr>
                      <w:rFonts w:hint="eastAsia"/>
                      <w:b/>
                      <w:szCs w:val="21"/>
                      <w:lang w:val="en-US" w:eastAsia="zh-CN"/>
                    </w:rPr>
                    <w:t>253.16</w:t>
                  </w:r>
                </w:p>
              </w:tc>
              <w:tc>
                <w:tcPr>
                  <w:tcW w:w="515" w:type="pct"/>
                  <w:vAlign w:val="center"/>
                </w:tcPr>
                <w:p>
                  <w:pPr>
                    <w:adjustRightInd w:val="0"/>
                    <w:snapToGrid w:val="0"/>
                    <w:jc w:val="center"/>
                    <w:rPr>
                      <w:rFonts w:hint="default" w:eastAsia="宋体"/>
                      <w:b/>
                      <w:szCs w:val="21"/>
                      <w:lang w:val="en-US" w:eastAsia="zh-CN"/>
                    </w:rPr>
                  </w:pPr>
                  <w:r>
                    <w:rPr>
                      <w:rFonts w:hint="eastAsia"/>
                      <w:b/>
                      <w:szCs w:val="21"/>
                      <w:lang w:val="en-US" w:eastAsia="zh-CN"/>
                    </w:rPr>
                    <w:t>123.79</w:t>
                  </w:r>
                </w:p>
              </w:tc>
              <w:tc>
                <w:tcPr>
                  <w:tcW w:w="573" w:type="pct"/>
                  <w:vAlign w:val="center"/>
                </w:tcPr>
                <w:p>
                  <w:pPr>
                    <w:adjustRightInd w:val="0"/>
                    <w:snapToGrid w:val="0"/>
                    <w:jc w:val="center"/>
                    <w:rPr>
                      <w:rFonts w:hint="default" w:eastAsia="宋体"/>
                      <w:b/>
                      <w:szCs w:val="21"/>
                      <w:lang w:val="en-US" w:eastAsia="zh-CN"/>
                    </w:rPr>
                  </w:pPr>
                  <w:r>
                    <w:rPr>
                      <w:rFonts w:hint="eastAsia"/>
                      <w:b/>
                      <w:szCs w:val="21"/>
                      <w:lang w:val="en-US" w:eastAsia="zh-CN"/>
                    </w:rPr>
                    <w:t>138.77</w:t>
                  </w:r>
                </w:p>
              </w:tc>
              <w:tc>
                <w:tcPr>
                  <w:tcW w:w="574" w:type="pct"/>
                  <w:vAlign w:val="center"/>
                </w:tcPr>
                <w:p>
                  <w:pPr>
                    <w:adjustRightInd w:val="0"/>
                    <w:snapToGrid w:val="0"/>
                    <w:jc w:val="center"/>
                    <w:rPr>
                      <w:rFonts w:hint="default" w:eastAsia="宋体"/>
                      <w:b/>
                      <w:szCs w:val="21"/>
                      <w:lang w:val="en-US" w:eastAsia="zh-CN"/>
                    </w:rPr>
                  </w:pPr>
                  <w:r>
                    <w:rPr>
                      <w:rFonts w:hint="eastAsia"/>
                      <w:b/>
                      <w:szCs w:val="21"/>
                      <w:lang w:val="en-US" w:eastAsia="zh-CN"/>
                    </w:rPr>
                    <w:t>19.06</w:t>
                  </w:r>
                </w:p>
              </w:tc>
              <w:tc>
                <w:tcPr>
                  <w:tcW w:w="607" w:type="pct"/>
                  <w:vAlign w:val="center"/>
                </w:tcPr>
                <w:p>
                  <w:pPr>
                    <w:adjustRightInd w:val="0"/>
                    <w:snapToGrid w:val="0"/>
                    <w:jc w:val="center"/>
                    <w:rPr>
                      <w:rFonts w:hint="default" w:eastAsia="宋体"/>
                      <w:b/>
                      <w:szCs w:val="21"/>
                      <w:lang w:val="en-US" w:eastAsia="zh-CN"/>
                    </w:rPr>
                  </w:pPr>
                  <w:r>
                    <w:rPr>
                      <w:rFonts w:hint="eastAsia"/>
                      <w:b/>
                      <w:szCs w:val="21"/>
                      <w:lang w:val="en-US" w:eastAsia="zh-CN"/>
                    </w:rPr>
                    <w:t>36.84</w:t>
                  </w:r>
                </w:p>
              </w:tc>
              <w:tc>
                <w:tcPr>
                  <w:tcW w:w="470" w:type="pct"/>
                  <w:vAlign w:val="center"/>
                </w:tcPr>
                <w:p>
                  <w:pPr>
                    <w:adjustRightInd w:val="0"/>
                    <w:snapToGrid w:val="0"/>
                    <w:jc w:val="center"/>
                    <w:rPr>
                      <w:rFonts w:hint="default" w:eastAsia="宋体"/>
                      <w:b/>
                      <w:szCs w:val="21"/>
                      <w:lang w:val="en-US" w:eastAsia="zh-CN"/>
                    </w:rPr>
                  </w:pPr>
                  <w:r>
                    <w:rPr>
                      <w:rFonts w:hint="eastAsia"/>
                      <w:b/>
                      <w:szCs w:val="21"/>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pct"/>
                  <w:vAlign w:val="center"/>
                </w:tcPr>
                <w:p>
                  <w:pPr>
                    <w:adjustRightInd w:val="0"/>
                    <w:snapToGrid w:val="0"/>
                    <w:jc w:val="center"/>
                    <w:rPr>
                      <w:rFonts w:hAnsi="宋体"/>
                      <w:szCs w:val="21"/>
                    </w:rPr>
                  </w:pPr>
                  <w:r>
                    <w:rPr>
                      <w:rFonts w:hint="eastAsia" w:hAnsi="宋体"/>
                      <w:szCs w:val="21"/>
                    </w:rPr>
                    <w:t>混合后污、废水排放量：165399.016</w:t>
                  </w:r>
                  <w:r>
                    <w:rPr>
                      <w:szCs w:val="21"/>
                    </w:rPr>
                    <w:t>m</w:t>
                  </w:r>
                  <w:r>
                    <w:rPr>
                      <w:szCs w:val="21"/>
                      <w:vertAlign w:val="superscript"/>
                    </w:rPr>
                    <w:t>3</w:t>
                  </w:r>
                  <w:r>
                    <w:rPr>
                      <w:szCs w:val="21"/>
                    </w:rPr>
                    <w:t>/</w:t>
                  </w:r>
                  <w:r>
                    <w:rPr>
                      <w:rFonts w:hint="eastAsia"/>
                      <w:szCs w:val="21"/>
                    </w:rPr>
                    <w:t>a</w:t>
                  </w:r>
                </w:p>
              </w:tc>
              <w:tc>
                <w:tcPr>
                  <w:tcW w:w="698" w:type="pct"/>
                  <w:vAlign w:val="center"/>
                </w:tcPr>
                <w:p>
                  <w:pPr>
                    <w:adjustRightInd w:val="0"/>
                    <w:snapToGrid w:val="0"/>
                    <w:jc w:val="center"/>
                    <w:rPr>
                      <w:rFonts w:hAnsi="宋体"/>
                      <w:szCs w:val="21"/>
                    </w:rPr>
                  </w:pPr>
                  <w:r>
                    <w:rPr>
                      <w:rFonts w:hint="eastAsia" w:hAnsi="宋体"/>
                      <w:szCs w:val="21"/>
                    </w:rPr>
                    <w:t>混合后污、废水污染物排放量</w:t>
                  </w:r>
                  <w:r>
                    <w:rPr>
                      <w:rFonts w:hint="eastAsia"/>
                      <w:szCs w:val="21"/>
                    </w:rPr>
                    <w:t>（t/a）</w:t>
                  </w:r>
                </w:p>
              </w:tc>
              <w:tc>
                <w:tcPr>
                  <w:tcW w:w="571" w:type="pct"/>
                  <w:vAlign w:val="center"/>
                </w:tcPr>
                <w:p>
                  <w:pPr>
                    <w:adjustRightInd w:val="0"/>
                    <w:snapToGrid w:val="0"/>
                    <w:jc w:val="center"/>
                    <w:rPr>
                      <w:rFonts w:hint="default" w:eastAsia="宋体"/>
                      <w:szCs w:val="21"/>
                      <w:lang w:val="en-US" w:eastAsia="zh-CN"/>
                    </w:rPr>
                  </w:pPr>
                  <w:r>
                    <w:rPr>
                      <w:rFonts w:hint="eastAsia"/>
                      <w:szCs w:val="21"/>
                      <w:lang w:val="en-US" w:eastAsia="zh-CN"/>
                    </w:rPr>
                    <w:t>41.87</w:t>
                  </w:r>
                </w:p>
              </w:tc>
              <w:tc>
                <w:tcPr>
                  <w:tcW w:w="515" w:type="pct"/>
                  <w:vAlign w:val="center"/>
                </w:tcPr>
                <w:p>
                  <w:pPr>
                    <w:adjustRightInd w:val="0"/>
                    <w:snapToGrid w:val="0"/>
                    <w:jc w:val="center"/>
                    <w:rPr>
                      <w:rFonts w:hint="default" w:eastAsia="宋体"/>
                      <w:szCs w:val="21"/>
                      <w:lang w:val="en-US" w:eastAsia="zh-CN"/>
                    </w:rPr>
                  </w:pPr>
                  <w:r>
                    <w:rPr>
                      <w:rFonts w:hint="eastAsia"/>
                      <w:szCs w:val="21"/>
                      <w:lang w:val="en-US" w:eastAsia="zh-CN"/>
                    </w:rPr>
                    <w:t>20.47</w:t>
                  </w:r>
                </w:p>
              </w:tc>
              <w:tc>
                <w:tcPr>
                  <w:tcW w:w="573" w:type="pct"/>
                  <w:vAlign w:val="center"/>
                </w:tcPr>
                <w:p>
                  <w:pPr>
                    <w:adjustRightInd w:val="0"/>
                    <w:snapToGrid w:val="0"/>
                    <w:jc w:val="center"/>
                    <w:rPr>
                      <w:rFonts w:hint="default" w:eastAsia="宋体"/>
                      <w:szCs w:val="21"/>
                      <w:lang w:val="en-US" w:eastAsia="zh-CN"/>
                    </w:rPr>
                  </w:pPr>
                  <w:r>
                    <w:rPr>
                      <w:rFonts w:hint="eastAsia"/>
                      <w:szCs w:val="21"/>
                      <w:lang w:val="en-US" w:eastAsia="zh-CN"/>
                    </w:rPr>
                    <w:t>22.95</w:t>
                  </w:r>
                </w:p>
              </w:tc>
              <w:tc>
                <w:tcPr>
                  <w:tcW w:w="574" w:type="pct"/>
                  <w:vAlign w:val="center"/>
                </w:tcPr>
                <w:p>
                  <w:pPr>
                    <w:adjustRightInd w:val="0"/>
                    <w:snapToGrid w:val="0"/>
                    <w:jc w:val="center"/>
                    <w:rPr>
                      <w:rFonts w:hint="default" w:eastAsia="宋体"/>
                      <w:szCs w:val="21"/>
                      <w:lang w:val="en-US" w:eastAsia="zh-CN"/>
                    </w:rPr>
                  </w:pPr>
                  <w:r>
                    <w:rPr>
                      <w:rFonts w:hint="eastAsia"/>
                      <w:szCs w:val="21"/>
                      <w:lang w:val="en-US" w:eastAsia="zh-CN"/>
                    </w:rPr>
                    <w:t>3.15</w:t>
                  </w:r>
                </w:p>
              </w:tc>
              <w:tc>
                <w:tcPr>
                  <w:tcW w:w="607" w:type="pct"/>
                  <w:vAlign w:val="center"/>
                </w:tcPr>
                <w:p>
                  <w:pPr>
                    <w:adjustRightInd w:val="0"/>
                    <w:snapToGrid w:val="0"/>
                    <w:jc w:val="center"/>
                    <w:rPr>
                      <w:rFonts w:hint="default" w:eastAsia="宋体"/>
                      <w:szCs w:val="21"/>
                      <w:lang w:val="en-US" w:eastAsia="zh-CN"/>
                    </w:rPr>
                  </w:pPr>
                  <w:r>
                    <w:rPr>
                      <w:rFonts w:hint="eastAsia"/>
                      <w:szCs w:val="21"/>
                      <w:lang w:val="en-US" w:eastAsia="zh-CN"/>
                    </w:rPr>
                    <w:t>6.09</w:t>
                  </w:r>
                </w:p>
              </w:tc>
              <w:tc>
                <w:tcPr>
                  <w:tcW w:w="470" w:type="pct"/>
                  <w:vAlign w:val="center"/>
                </w:tcPr>
                <w:p>
                  <w:pPr>
                    <w:adjustRightInd w:val="0"/>
                    <w:snapToGrid w:val="0"/>
                    <w:jc w:val="center"/>
                    <w:rPr>
                      <w:rFonts w:hint="default" w:eastAsia="宋体"/>
                      <w:szCs w:val="21"/>
                      <w:lang w:val="en-US" w:eastAsia="zh-CN"/>
                    </w:rPr>
                  </w:pPr>
                  <w:r>
                    <w:rPr>
                      <w:rFonts w:hint="eastAsia"/>
                      <w:szCs w:val="21"/>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8" w:type="pct"/>
                  <w:gridSpan w:val="2"/>
                  <w:vAlign w:val="center"/>
                </w:tcPr>
                <w:p>
                  <w:pPr>
                    <w:adjustRightInd w:val="0"/>
                    <w:snapToGrid w:val="0"/>
                    <w:jc w:val="center"/>
                    <w:rPr>
                      <w:rFonts w:hAnsi="宋体"/>
                      <w:szCs w:val="21"/>
                    </w:rPr>
                  </w:pPr>
                  <w:r>
                    <w:rPr>
                      <w:rFonts w:hint="eastAsia" w:hAnsi="宋体"/>
                      <w:szCs w:val="21"/>
                    </w:rPr>
                    <w:t>本项目执行《污水综合排放标准》（GB8978-1996）中三级标准</w:t>
                  </w:r>
                </w:p>
                <w:p>
                  <w:pPr>
                    <w:adjustRightInd w:val="0"/>
                    <w:snapToGrid w:val="0"/>
                    <w:jc w:val="center"/>
                    <w:rPr>
                      <w:rFonts w:hAnsi="宋体"/>
                      <w:szCs w:val="21"/>
                    </w:rPr>
                  </w:pPr>
                  <w:r>
                    <w:rPr>
                      <w:rFonts w:hint="eastAsia" w:hAnsi="宋体"/>
                      <w:szCs w:val="21"/>
                    </w:rPr>
                    <w:t>（并满足岳阳市马壕污水处理厂进水水质标准）</w:t>
                  </w:r>
                </w:p>
              </w:tc>
              <w:tc>
                <w:tcPr>
                  <w:tcW w:w="571" w:type="pct"/>
                  <w:vAlign w:val="center"/>
                </w:tcPr>
                <w:p>
                  <w:pPr>
                    <w:adjustRightInd w:val="0"/>
                    <w:snapToGrid w:val="0"/>
                    <w:jc w:val="center"/>
                    <w:rPr>
                      <w:szCs w:val="21"/>
                    </w:rPr>
                  </w:pPr>
                  <w:r>
                    <w:rPr>
                      <w:rFonts w:hint="eastAsia"/>
                      <w:szCs w:val="21"/>
                    </w:rPr>
                    <w:t>500</w:t>
                  </w:r>
                </w:p>
              </w:tc>
              <w:tc>
                <w:tcPr>
                  <w:tcW w:w="515" w:type="pct"/>
                  <w:vAlign w:val="center"/>
                </w:tcPr>
                <w:p>
                  <w:pPr>
                    <w:adjustRightInd w:val="0"/>
                    <w:snapToGrid w:val="0"/>
                    <w:jc w:val="center"/>
                    <w:rPr>
                      <w:szCs w:val="21"/>
                    </w:rPr>
                  </w:pPr>
                  <w:r>
                    <w:rPr>
                      <w:rFonts w:hint="eastAsia"/>
                      <w:szCs w:val="21"/>
                    </w:rPr>
                    <w:t>130</w:t>
                  </w:r>
                </w:p>
              </w:tc>
              <w:tc>
                <w:tcPr>
                  <w:tcW w:w="573" w:type="pct"/>
                  <w:vAlign w:val="center"/>
                </w:tcPr>
                <w:p>
                  <w:pPr>
                    <w:adjustRightInd w:val="0"/>
                    <w:snapToGrid w:val="0"/>
                    <w:jc w:val="center"/>
                    <w:rPr>
                      <w:szCs w:val="21"/>
                    </w:rPr>
                  </w:pPr>
                  <w:r>
                    <w:rPr>
                      <w:rFonts w:hint="eastAsia"/>
                      <w:szCs w:val="21"/>
                    </w:rPr>
                    <w:t>200</w:t>
                  </w:r>
                </w:p>
              </w:tc>
              <w:tc>
                <w:tcPr>
                  <w:tcW w:w="574" w:type="pct"/>
                  <w:vAlign w:val="center"/>
                </w:tcPr>
                <w:p>
                  <w:pPr>
                    <w:adjustRightInd w:val="0"/>
                    <w:snapToGrid w:val="0"/>
                    <w:jc w:val="center"/>
                    <w:rPr>
                      <w:szCs w:val="21"/>
                    </w:rPr>
                  </w:pPr>
                  <w:r>
                    <w:rPr>
                      <w:rFonts w:hint="eastAsia"/>
                      <w:szCs w:val="21"/>
                    </w:rPr>
                    <w:t>25</w:t>
                  </w:r>
                </w:p>
              </w:tc>
              <w:tc>
                <w:tcPr>
                  <w:tcW w:w="607" w:type="pct"/>
                  <w:vAlign w:val="center"/>
                </w:tcPr>
                <w:p>
                  <w:pPr>
                    <w:adjustRightInd w:val="0"/>
                    <w:snapToGrid w:val="0"/>
                    <w:jc w:val="center"/>
                    <w:rPr>
                      <w:szCs w:val="21"/>
                    </w:rPr>
                  </w:pPr>
                  <w:r>
                    <w:rPr>
                      <w:rFonts w:hint="eastAsia"/>
                      <w:szCs w:val="21"/>
                    </w:rPr>
                    <w:t>100</w:t>
                  </w:r>
                </w:p>
              </w:tc>
              <w:tc>
                <w:tcPr>
                  <w:tcW w:w="470" w:type="pct"/>
                  <w:vAlign w:val="center"/>
                </w:tcPr>
                <w:p>
                  <w:pPr>
                    <w:adjustRightInd w:val="0"/>
                    <w:snapToGrid w:val="0"/>
                    <w:jc w:val="center"/>
                    <w:rPr>
                      <w:szCs w:val="21"/>
                    </w:rPr>
                  </w:pPr>
                  <w:r>
                    <w:rPr>
                      <w:rFonts w:hint="eastAsia"/>
                      <w:szCs w:val="21"/>
                    </w:rPr>
                    <w:t>30</w:t>
                  </w:r>
                </w:p>
              </w:tc>
            </w:tr>
          </w:tbl>
          <w:p>
            <w:pPr>
              <w:pStyle w:val="2"/>
              <w:ind w:firstLine="480"/>
            </w:pPr>
            <w:r>
              <w:rPr>
                <w:rFonts w:hint="eastAsia"/>
              </w:rPr>
              <w:t>项目污水通过预处理后的排放浓度</w:t>
            </w:r>
            <w:r>
              <w:t>可达到《污水综合排放标准》（GB8978-1996）表4中的三级标准并满足岳阳</w:t>
            </w:r>
            <w:r>
              <w:rPr>
                <w:rFonts w:hint="eastAsia"/>
              </w:rPr>
              <w:t>市马壕污水处理厂</w:t>
            </w:r>
            <w:r>
              <w:t>进水水质要求</w:t>
            </w:r>
            <w:r>
              <w:rPr>
                <w:rFonts w:hint="eastAsia"/>
              </w:rPr>
              <w:t>，污水</w:t>
            </w:r>
            <w:r>
              <w:t>通过小区内污水收集管网排入市政污水管网后进入</w:t>
            </w:r>
            <w:r>
              <w:rPr>
                <w:rFonts w:hint="eastAsia"/>
              </w:rPr>
              <w:t>岳阳市马壕污水处理厂</w:t>
            </w:r>
            <w:r>
              <w:t>进行处理，经污水处理厂深度处理达到《城镇污水处理厂污染物排放标准》（GB 18918-2002）中一级A标准后</w:t>
            </w:r>
            <w:r>
              <w:rPr>
                <w:rFonts w:hint="eastAsia"/>
              </w:rPr>
              <w:t>排入东风湖。</w:t>
            </w:r>
            <w:r>
              <w:t>本评价要求项目的污水必须通过化粪池等污水处理系统预处理达到相应标准后经市政</w:t>
            </w:r>
            <w:r>
              <w:rPr>
                <w:rFonts w:hint="eastAsia"/>
              </w:rPr>
              <w:t>污水</w:t>
            </w:r>
            <w:r>
              <w:t>管网排入</w:t>
            </w:r>
            <w:r>
              <w:rPr>
                <w:rFonts w:hint="eastAsia"/>
              </w:rPr>
              <w:t>岳阳市马壕</w:t>
            </w:r>
            <w:r>
              <w:t>污水处理厂。</w:t>
            </w:r>
          </w:p>
          <w:p>
            <w:pPr>
              <w:spacing w:line="360" w:lineRule="auto"/>
              <w:ind w:firstLine="482" w:firstLineChars="200"/>
              <w:jc w:val="left"/>
              <w:rPr>
                <w:b/>
                <w:kern w:val="24"/>
                <w:sz w:val="24"/>
              </w:rPr>
            </w:pPr>
            <w:r>
              <w:rPr>
                <w:rFonts w:hint="eastAsia"/>
                <w:b/>
                <w:kern w:val="24"/>
                <w:sz w:val="24"/>
              </w:rPr>
              <w:t>3、</w:t>
            </w:r>
            <w:r>
              <w:rPr>
                <w:rStyle w:val="29"/>
                <w:b/>
              </w:rPr>
              <w:t>废水污染物排放信息</w:t>
            </w:r>
          </w:p>
          <w:p>
            <w:pPr>
              <w:pStyle w:val="35"/>
              <w:spacing w:line="240" w:lineRule="auto"/>
              <w:jc w:val="center"/>
              <w:rPr>
                <w:szCs w:val="21"/>
              </w:rPr>
            </w:pPr>
            <w:r>
              <w:rPr>
                <w:b/>
                <w:szCs w:val="21"/>
              </w:rPr>
              <w:t>表</w:t>
            </w:r>
            <w:r>
              <w:rPr>
                <w:rFonts w:hint="eastAsia"/>
                <w:b/>
                <w:szCs w:val="21"/>
              </w:rPr>
              <w:t>4-</w:t>
            </w:r>
            <w:r>
              <w:rPr>
                <w:rFonts w:hint="eastAsia"/>
                <w:b/>
                <w:szCs w:val="21"/>
                <w:lang w:val="en-US" w:eastAsia="zh-CN"/>
              </w:rPr>
              <w:t>13</w:t>
            </w:r>
            <w:r>
              <w:rPr>
                <w:b/>
                <w:szCs w:val="21"/>
              </w:rPr>
              <w:t>废水类别、污染物及污染治理设施信息表</w:t>
            </w:r>
          </w:p>
          <w:tbl>
            <w:tblPr>
              <w:tblStyle w:val="18"/>
              <w:tblW w:w="83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19"/>
              <w:gridCol w:w="858"/>
              <w:gridCol w:w="942"/>
              <w:gridCol w:w="636"/>
              <w:gridCol w:w="858"/>
              <w:gridCol w:w="636"/>
              <w:gridCol w:w="834"/>
              <w:gridCol w:w="1091"/>
              <w:gridCol w:w="579"/>
              <w:gridCol w:w="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72" w:type="dxa"/>
                  <w:vMerge w:val="restart"/>
                  <w:vAlign w:val="center"/>
                </w:tcPr>
                <w:p>
                  <w:pPr>
                    <w:pStyle w:val="31"/>
                    <w:rPr>
                      <w:szCs w:val="21"/>
                    </w:rPr>
                  </w:pPr>
                  <w:r>
                    <w:rPr>
                      <w:szCs w:val="21"/>
                    </w:rPr>
                    <w:t>序号</w:t>
                  </w:r>
                </w:p>
              </w:tc>
              <w:tc>
                <w:tcPr>
                  <w:tcW w:w="540" w:type="dxa"/>
                  <w:vMerge w:val="restart"/>
                  <w:vAlign w:val="center"/>
                </w:tcPr>
                <w:p>
                  <w:pPr>
                    <w:pStyle w:val="31"/>
                    <w:rPr>
                      <w:szCs w:val="21"/>
                    </w:rPr>
                  </w:pPr>
                  <w:r>
                    <w:rPr>
                      <w:szCs w:val="21"/>
                    </w:rPr>
                    <w:t>废水类别</w:t>
                  </w:r>
                </w:p>
              </w:tc>
              <w:tc>
                <w:tcPr>
                  <w:tcW w:w="861" w:type="dxa"/>
                  <w:vMerge w:val="restart"/>
                  <w:vAlign w:val="center"/>
                </w:tcPr>
                <w:p>
                  <w:pPr>
                    <w:pStyle w:val="31"/>
                    <w:rPr>
                      <w:szCs w:val="21"/>
                    </w:rPr>
                  </w:pPr>
                  <w:r>
                    <w:rPr>
                      <w:szCs w:val="21"/>
                    </w:rPr>
                    <w:t>污染物种类</w:t>
                  </w:r>
                </w:p>
              </w:tc>
              <w:tc>
                <w:tcPr>
                  <w:tcW w:w="1062" w:type="dxa"/>
                  <w:vMerge w:val="restart"/>
                  <w:vAlign w:val="center"/>
                </w:tcPr>
                <w:p>
                  <w:pPr>
                    <w:pStyle w:val="31"/>
                    <w:rPr>
                      <w:szCs w:val="21"/>
                    </w:rPr>
                  </w:pPr>
                  <w:r>
                    <w:rPr>
                      <w:szCs w:val="21"/>
                    </w:rPr>
                    <w:t>排放去向</w:t>
                  </w:r>
                </w:p>
              </w:tc>
              <w:tc>
                <w:tcPr>
                  <w:tcW w:w="617" w:type="dxa"/>
                  <w:vMerge w:val="restart"/>
                  <w:vAlign w:val="center"/>
                </w:tcPr>
                <w:p>
                  <w:pPr>
                    <w:pStyle w:val="31"/>
                    <w:rPr>
                      <w:szCs w:val="21"/>
                    </w:rPr>
                  </w:pPr>
                  <w:r>
                    <w:rPr>
                      <w:szCs w:val="21"/>
                    </w:rPr>
                    <w:t>排放规律</w:t>
                  </w:r>
                </w:p>
              </w:tc>
              <w:tc>
                <w:tcPr>
                  <w:tcW w:w="2340" w:type="dxa"/>
                  <w:gridSpan w:val="3"/>
                  <w:vAlign w:val="center"/>
                </w:tcPr>
                <w:p>
                  <w:pPr>
                    <w:pStyle w:val="31"/>
                    <w:rPr>
                      <w:szCs w:val="21"/>
                    </w:rPr>
                  </w:pPr>
                  <w:r>
                    <w:rPr>
                      <w:szCs w:val="21"/>
                    </w:rPr>
                    <w:t>污染治理设施</w:t>
                  </w:r>
                </w:p>
              </w:tc>
              <w:tc>
                <w:tcPr>
                  <w:tcW w:w="855" w:type="dxa"/>
                  <w:vMerge w:val="restart"/>
                  <w:vAlign w:val="center"/>
                </w:tcPr>
                <w:p>
                  <w:pPr>
                    <w:pStyle w:val="31"/>
                    <w:rPr>
                      <w:szCs w:val="21"/>
                    </w:rPr>
                  </w:pPr>
                  <w:r>
                    <w:rPr>
                      <w:szCs w:val="21"/>
                    </w:rPr>
                    <w:t>排放口编号</w:t>
                  </w:r>
                </w:p>
              </w:tc>
              <w:tc>
                <w:tcPr>
                  <w:tcW w:w="615" w:type="dxa"/>
                  <w:vMerge w:val="restart"/>
                  <w:vAlign w:val="center"/>
                </w:tcPr>
                <w:p>
                  <w:pPr>
                    <w:pStyle w:val="31"/>
                    <w:rPr>
                      <w:szCs w:val="21"/>
                    </w:rPr>
                  </w:pPr>
                  <w:r>
                    <w:rPr>
                      <w:szCs w:val="21"/>
                    </w:rPr>
                    <w:t>排放口设置是否符合要求</w:t>
                  </w:r>
                </w:p>
              </w:tc>
              <w:tc>
                <w:tcPr>
                  <w:tcW w:w="1053" w:type="dxa"/>
                  <w:vMerge w:val="restart"/>
                  <w:vAlign w:val="center"/>
                </w:tcPr>
                <w:p>
                  <w:pPr>
                    <w:pStyle w:val="31"/>
                    <w:rPr>
                      <w:szCs w:val="21"/>
                    </w:rPr>
                  </w:pPr>
                  <w:r>
                    <w:rPr>
                      <w:szCs w:val="21"/>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2" w:type="dxa"/>
                  <w:vMerge w:val="continue"/>
                  <w:vAlign w:val="center"/>
                </w:tcPr>
                <w:p>
                  <w:pPr>
                    <w:pStyle w:val="31"/>
                    <w:rPr>
                      <w:szCs w:val="21"/>
                    </w:rPr>
                  </w:pPr>
                </w:p>
              </w:tc>
              <w:tc>
                <w:tcPr>
                  <w:tcW w:w="540" w:type="dxa"/>
                  <w:vMerge w:val="continue"/>
                  <w:vAlign w:val="center"/>
                </w:tcPr>
                <w:p>
                  <w:pPr>
                    <w:pStyle w:val="31"/>
                    <w:rPr>
                      <w:szCs w:val="21"/>
                    </w:rPr>
                  </w:pPr>
                </w:p>
              </w:tc>
              <w:tc>
                <w:tcPr>
                  <w:tcW w:w="861" w:type="dxa"/>
                  <w:vMerge w:val="continue"/>
                  <w:vAlign w:val="center"/>
                </w:tcPr>
                <w:p>
                  <w:pPr>
                    <w:pStyle w:val="31"/>
                    <w:rPr>
                      <w:szCs w:val="21"/>
                    </w:rPr>
                  </w:pPr>
                </w:p>
              </w:tc>
              <w:tc>
                <w:tcPr>
                  <w:tcW w:w="1062" w:type="dxa"/>
                  <w:vMerge w:val="continue"/>
                  <w:vAlign w:val="center"/>
                </w:tcPr>
                <w:p>
                  <w:pPr>
                    <w:pStyle w:val="31"/>
                    <w:rPr>
                      <w:szCs w:val="21"/>
                    </w:rPr>
                  </w:pPr>
                </w:p>
              </w:tc>
              <w:tc>
                <w:tcPr>
                  <w:tcW w:w="617" w:type="dxa"/>
                  <w:vMerge w:val="continue"/>
                  <w:vAlign w:val="center"/>
                </w:tcPr>
                <w:p>
                  <w:pPr>
                    <w:pStyle w:val="31"/>
                    <w:rPr>
                      <w:szCs w:val="21"/>
                    </w:rPr>
                  </w:pPr>
                </w:p>
              </w:tc>
              <w:tc>
                <w:tcPr>
                  <w:tcW w:w="832" w:type="dxa"/>
                  <w:vAlign w:val="center"/>
                </w:tcPr>
                <w:p>
                  <w:pPr>
                    <w:pStyle w:val="31"/>
                    <w:rPr>
                      <w:szCs w:val="21"/>
                    </w:rPr>
                  </w:pPr>
                  <w:r>
                    <w:rPr>
                      <w:szCs w:val="21"/>
                    </w:rPr>
                    <w:t>污染治理设施编号</w:t>
                  </w:r>
                </w:p>
              </w:tc>
              <w:tc>
                <w:tcPr>
                  <w:tcW w:w="585" w:type="dxa"/>
                  <w:vAlign w:val="center"/>
                </w:tcPr>
                <w:p>
                  <w:pPr>
                    <w:pStyle w:val="31"/>
                    <w:rPr>
                      <w:szCs w:val="21"/>
                    </w:rPr>
                  </w:pPr>
                  <w:r>
                    <w:rPr>
                      <w:szCs w:val="21"/>
                    </w:rPr>
                    <w:t>污染治理设施名称</w:t>
                  </w:r>
                </w:p>
              </w:tc>
              <w:tc>
                <w:tcPr>
                  <w:tcW w:w="923" w:type="dxa"/>
                  <w:vAlign w:val="center"/>
                </w:tcPr>
                <w:p>
                  <w:pPr>
                    <w:pStyle w:val="31"/>
                    <w:ind w:firstLine="25" w:firstLineChars="12"/>
                    <w:rPr>
                      <w:szCs w:val="21"/>
                    </w:rPr>
                  </w:pPr>
                  <w:r>
                    <w:rPr>
                      <w:szCs w:val="21"/>
                    </w:rPr>
                    <w:t>污染治理设施工艺</w:t>
                  </w:r>
                </w:p>
              </w:tc>
              <w:tc>
                <w:tcPr>
                  <w:tcW w:w="855" w:type="dxa"/>
                  <w:vMerge w:val="continue"/>
                  <w:vAlign w:val="center"/>
                </w:tcPr>
                <w:p>
                  <w:pPr>
                    <w:pStyle w:val="31"/>
                    <w:rPr>
                      <w:szCs w:val="21"/>
                    </w:rPr>
                  </w:pPr>
                </w:p>
              </w:tc>
              <w:tc>
                <w:tcPr>
                  <w:tcW w:w="615" w:type="dxa"/>
                  <w:vMerge w:val="continue"/>
                  <w:vAlign w:val="center"/>
                </w:tcPr>
                <w:p>
                  <w:pPr>
                    <w:pStyle w:val="31"/>
                    <w:rPr>
                      <w:szCs w:val="21"/>
                    </w:rPr>
                  </w:pPr>
                </w:p>
              </w:tc>
              <w:tc>
                <w:tcPr>
                  <w:tcW w:w="1053" w:type="dxa"/>
                  <w:vMerge w:val="continue"/>
                  <w:vAlign w:val="center"/>
                </w:tcPr>
                <w:p>
                  <w:pPr>
                    <w:pStyle w:val="31"/>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7" w:hRule="atLeast"/>
                <w:jc w:val="center"/>
              </w:trPr>
              <w:tc>
                <w:tcPr>
                  <w:tcW w:w="372" w:type="dxa"/>
                  <w:vAlign w:val="center"/>
                </w:tcPr>
                <w:p>
                  <w:pPr>
                    <w:pStyle w:val="31"/>
                    <w:rPr>
                      <w:szCs w:val="21"/>
                    </w:rPr>
                  </w:pPr>
                  <w:r>
                    <w:rPr>
                      <w:szCs w:val="21"/>
                    </w:rPr>
                    <w:t>1</w:t>
                  </w:r>
                </w:p>
              </w:tc>
              <w:tc>
                <w:tcPr>
                  <w:tcW w:w="540" w:type="dxa"/>
                  <w:vAlign w:val="center"/>
                </w:tcPr>
                <w:p>
                  <w:pPr>
                    <w:pStyle w:val="31"/>
                    <w:rPr>
                      <w:szCs w:val="21"/>
                    </w:rPr>
                  </w:pPr>
                  <w:r>
                    <w:rPr>
                      <w:rFonts w:hint="eastAsia"/>
                      <w:szCs w:val="21"/>
                    </w:rPr>
                    <w:t>综合废水</w:t>
                  </w:r>
                </w:p>
              </w:tc>
              <w:tc>
                <w:tcPr>
                  <w:tcW w:w="861" w:type="dxa"/>
                  <w:vAlign w:val="center"/>
                </w:tcPr>
                <w:p>
                  <w:pPr>
                    <w:pStyle w:val="31"/>
                    <w:rPr>
                      <w:szCs w:val="21"/>
                    </w:rPr>
                  </w:pPr>
                  <w:r>
                    <w:rPr>
                      <w:rFonts w:hint="eastAsia"/>
                      <w:szCs w:val="21"/>
                    </w:rPr>
                    <w:t>COD</w:t>
                  </w:r>
                </w:p>
                <w:p>
                  <w:pPr>
                    <w:pStyle w:val="31"/>
                    <w:rPr>
                      <w:szCs w:val="21"/>
                    </w:rPr>
                  </w:pPr>
                  <w:r>
                    <w:rPr>
                      <w:rFonts w:hint="eastAsia"/>
                      <w:szCs w:val="21"/>
                    </w:rPr>
                    <w:t>BOD</w:t>
                  </w:r>
                  <w:r>
                    <w:rPr>
                      <w:rFonts w:hint="eastAsia"/>
                      <w:szCs w:val="21"/>
                      <w:vertAlign w:val="subscript"/>
                    </w:rPr>
                    <w:t>5</w:t>
                  </w:r>
                </w:p>
                <w:p>
                  <w:pPr>
                    <w:pStyle w:val="31"/>
                    <w:rPr>
                      <w:szCs w:val="21"/>
                    </w:rPr>
                  </w:pPr>
                  <w:r>
                    <w:rPr>
                      <w:rFonts w:hint="eastAsia"/>
                      <w:szCs w:val="21"/>
                    </w:rPr>
                    <w:t>SS</w:t>
                  </w:r>
                </w:p>
                <w:p>
                  <w:pPr>
                    <w:pStyle w:val="31"/>
                    <w:rPr>
                      <w:szCs w:val="21"/>
                    </w:rPr>
                  </w:pPr>
                  <w:r>
                    <w:rPr>
                      <w:rFonts w:hint="eastAsia"/>
                      <w:szCs w:val="21"/>
                    </w:rPr>
                    <w:t>NH3-N</w:t>
                  </w:r>
                </w:p>
                <w:p>
                  <w:pPr>
                    <w:pStyle w:val="31"/>
                    <w:rPr>
                      <w:szCs w:val="21"/>
                    </w:rPr>
                  </w:pPr>
                  <w:r>
                    <w:rPr>
                      <w:rFonts w:hint="eastAsia"/>
                      <w:szCs w:val="21"/>
                    </w:rPr>
                    <w:t>动植物油</w:t>
                  </w:r>
                </w:p>
                <w:p>
                  <w:pPr>
                    <w:pStyle w:val="31"/>
                    <w:rPr>
                      <w:szCs w:val="21"/>
                    </w:rPr>
                  </w:pPr>
                  <w:r>
                    <w:rPr>
                      <w:rFonts w:hint="eastAsia"/>
                      <w:szCs w:val="21"/>
                    </w:rPr>
                    <w:t>石油类</w:t>
                  </w:r>
                </w:p>
              </w:tc>
              <w:tc>
                <w:tcPr>
                  <w:tcW w:w="1062" w:type="dxa"/>
                  <w:vAlign w:val="center"/>
                </w:tcPr>
                <w:p>
                  <w:pPr>
                    <w:pStyle w:val="31"/>
                    <w:rPr>
                      <w:szCs w:val="21"/>
                    </w:rPr>
                  </w:pPr>
                  <w:r>
                    <w:rPr>
                      <w:rFonts w:hint="eastAsia"/>
                      <w:szCs w:val="21"/>
                    </w:rPr>
                    <w:t>岳阳市马壕污水处理厂</w:t>
                  </w:r>
                </w:p>
              </w:tc>
              <w:tc>
                <w:tcPr>
                  <w:tcW w:w="617" w:type="dxa"/>
                  <w:vAlign w:val="center"/>
                </w:tcPr>
                <w:p>
                  <w:pPr>
                    <w:pStyle w:val="31"/>
                    <w:rPr>
                      <w:szCs w:val="21"/>
                    </w:rPr>
                  </w:pPr>
                  <w:r>
                    <w:rPr>
                      <w:rFonts w:ascii="宋体" w:hAnsi="宋体" w:cs="宋体"/>
                      <w:szCs w:val="21"/>
                    </w:rPr>
                    <w:t>连续排 放，流 量不稳 定，但 有周期 性规律</w:t>
                  </w:r>
                </w:p>
              </w:tc>
              <w:tc>
                <w:tcPr>
                  <w:tcW w:w="832" w:type="dxa"/>
                  <w:vAlign w:val="center"/>
                </w:tcPr>
                <w:p>
                  <w:pPr>
                    <w:pStyle w:val="31"/>
                    <w:rPr>
                      <w:szCs w:val="21"/>
                    </w:rPr>
                  </w:pPr>
                  <w:r>
                    <w:rPr>
                      <w:szCs w:val="21"/>
                    </w:rPr>
                    <w:t>TW001</w:t>
                  </w:r>
                </w:p>
              </w:tc>
              <w:tc>
                <w:tcPr>
                  <w:tcW w:w="585" w:type="dxa"/>
                  <w:vAlign w:val="center"/>
                </w:tcPr>
                <w:p>
                  <w:pPr>
                    <w:pStyle w:val="31"/>
                    <w:rPr>
                      <w:szCs w:val="21"/>
                    </w:rPr>
                  </w:pPr>
                  <w:r>
                    <w:rPr>
                      <w:rFonts w:hint="eastAsia" w:ascii="宋体" w:hAnsi="宋体" w:cs="宋体"/>
                      <w:szCs w:val="21"/>
                    </w:rPr>
                    <w:t>隔油池、化粪池</w:t>
                  </w:r>
                </w:p>
              </w:tc>
              <w:tc>
                <w:tcPr>
                  <w:tcW w:w="923" w:type="dxa"/>
                  <w:vAlign w:val="center"/>
                </w:tcPr>
                <w:p>
                  <w:pPr>
                    <w:pStyle w:val="31"/>
                    <w:rPr>
                      <w:szCs w:val="21"/>
                    </w:rPr>
                  </w:pPr>
                  <w:r>
                    <w:rPr>
                      <w:rFonts w:hint="eastAsia"/>
                      <w:szCs w:val="21"/>
                    </w:rPr>
                    <w:t>预处理</w:t>
                  </w:r>
                </w:p>
              </w:tc>
              <w:tc>
                <w:tcPr>
                  <w:tcW w:w="855" w:type="dxa"/>
                  <w:vAlign w:val="center"/>
                </w:tcPr>
                <w:p>
                  <w:pPr>
                    <w:pStyle w:val="31"/>
                    <w:rPr>
                      <w:rFonts w:hint="eastAsia" w:eastAsia="宋体"/>
                      <w:szCs w:val="21"/>
                      <w:lang w:eastAsia="zh-CN"/>
                    </w:rPr>
                  </w:pPr>
                  <w:r>
                    <w:rPr>
                      <w:szCs w:val="21"/>
                    </w:rPr>
                    <w:t>DW001</w:t>
                  </w:r>
                  <w:r>
                    <w:rPr>
                      <w:rFonts w:hint="eastAsia"/>
                      <w:szCs w:val="21"/>
                      <w:lang w:eastAsia="zh-CN"/>
                    </w:rPr>
                    <w:t>、</w:t>
                  </w:r>
                  <w:r>
                    <w:rPr>
                      <w:szCs w:val="21"/>
                    </w:rPr>
                    <w:t>DW00</w:t>
                  </w:r>
                  <w:r>
                    <w:rPr>
                      <w:rFonts w:hint="eastAsia"/>
                      <w:szCs w:val="21"/>
                      <w:lang w:val="en-US" w:eastAsia="zh-CN"/>
                    </w:rPr>
                    <w:t>2</w:t>
                  </w:r>
                  <w:r>
                    <w:rPr>
                      <w:rFonts w:hint="eastAsia"/>
                      <w:szCs w:val="21"/>
                      <w:lang w:eastAsia="zh-CN"/>
                    </w:rPr>
                    <w:t>、</w:t>
                  </w:r>
                  <w:r>
                    <w:rPr>
                      <w:szCs w:val="21"/>
                    </w:rPr>
                    <w:t>DW00</w:t>
                  </w:r>
                  <w:r>
                    <w:rPr>
                      <w:rFonts w:hint="eastAsia"/>
                      <w:szCs w:val="21"/>
                      <w:lang w:val="en-US" w:eastAsia="zh-CN"/>
                    </w:rPr>
                    <w:t>3</w:t>
                  </w:r>
                  <w:r>
                    <w:rPr>
                      <w:rFonts w:hint="eastAsia"/>
                      <w:szCs w:val="21"/>
                      <w:lang w:eastAsia="zh-CN"/>
                    </w:rPr>
                    <w:t>、</w:t>
                  </w:r>
                  <w:r>
                    <w:rPr>
                      <w:szCs w:val="21"/>
                    </w:rPr>
                    <w:t>DW00</w:t>
                  </w:r>
                  <w:r>
                    <w:rPr>
                      <w:rFonts w:hint="eastAsia"/>
                      <w:szCs w:val="21"/>
                      <w:lang w:val="en-US" w:eastAsia="zh-CN"/>
                    </w:rPr>
                    <w:t>4</w:t>
                  </w:r>
                </w:p>
              </w:tc>
              <w:tc>
                <w:tcPr>
                  <w:tcW w:w="615" w:type="dxa"/>
                  <w:vAlign w:val="center"/>
                </w:tcPr>
                <w:p>
                  <w:pPr>
                    <w:pStyle w:val="31"/>
                    <w:rPr>
                      <w:bCs/>
                      <w:spacing w:val="-6"/>
                      <w:szCs w:val="21"/>
                    </w:rPr>
                  </w:pPr>
                  <w:r>
                    <w:rPr>
                      <w:rFonts w:hint="eastAsia"/>
                      <w:bCs/>
                      <w:spacing w:val="-6"/>
                      <w:szCs w:val="21"/>
                    </w:rPr>
                    <w:t>☑</w:t>
                  </w:r>
                  <w:r>
                    <w:rPr>
                      <w:bCs/>
                      <w:spacing w:val="-6"/>
                      <w:szCs w:val="21"/>
                    </w:rPr>
                    <w:t>是</w:t>
                  </w:r>
                </w:p>
                <w:p>
                  <w:pPr>
                    <w:pStyle w:val="31"/>
                    <w:jc w:val="both"/>
                    <w:rPr>
                      <w:szCs w:val="21"/>
                    </w:rPr>
                  </w:pPr>
                  <w:r>
                    <w:rPr>
                      <w:rFonts w:hint="eastAsia" w:ascii="宋体" w:hAnsi="宋体" w:cs="宋体"/>
                      <w:szCs w:val="21"/>
                    </w:rPr>
                    <w:t>□</w:t>
                  </w:r>
                  <w:r>
                    <w:rPr>
                      <w:bCs/>
                      <w:spacing w:val="-6"/>
                      <w:szCs w:val="21"/>
                    </w:rPr>
                    <w:t>否</w:t>
                  </w:r>
                </w:p>
              </w:tc>
              <w:tc>
                <w:tcPr>
                  <w:tcW w:w="1053" w:type="dxa"/>
                  <w:vAlign w:val="center"/>
                </w:tcPr>
                <w:p>
                  <w:pPr>
                    <w:pStyle w:val="31"/>
                    <w:jc w:val="both"/>
                    <w:rPr>
                      <w:bCs/>
                      <w:spacing w:val="-6"/>
                      <w:szCs w:val="21"/>
                    </w:rPr>
                  </w:pPr>
                  <w:r>
                    <w:rPr>
                      <w:rFonts w:hint="eastAsia"/>
                      <w:bCs/>
                      <w:spacing w:val="-6"/>
                      <w:szCs w:val="21"/>
                    </w:rPr>
                    <w:t>☑</w:t>
                  </w:r>
                  <w:r>
                    <w:rPr>
                      <w:bCs/>
                      <w:spacing w:val="-6"/>
                      <w:szCs w:val="21"/>
                    </w:rPr>
                    <w:t>企业总排</w:t>
                  </w:r>
                </w:p>
                <w:p>
                  <w:pPr>
                    <w:pStyle w:val="31"/>
                    <w:jc w:val="both"/>
                    <w:rPr>
                      <w:bCs/>
                      <w:spacing w:val="-6"/>
                      <w:szCs w:val="21"/>
                    </w:rPr>
                  </w:pPr>
                  <w:r>
                    <w:rPr>
                      <w:rFonts w:hint="eastAsia" w:ascii="宋体" w:hAnsi="宋体" w:cs="宋体"/>
                      <w:szCs w:val="21"/>
                    </w:rPr>
                    <w:t>□</w:t>
                  </w:r>
                  <w:r>
                    <w:rPr>
                      <w:bCs/>
                      <w:spacing w:val="-6"/>
                      <w:szCs w:val="21"/>
                    </w:rPr>
                    <w:t>雨水排放</w:t>
                  </w:r>
                </w:p>
                <w:p>
                  <w:pPr>
                    <w:pStyle w:val="31"/>
                    <w:jc w:val="both"/>
                    <w:rPr>
                      <w:bCs/>
                      <w:spacing w:val="-6"/>
                      <w:szCs w:val="21"/>
                    </w:rPr>
                  </w:pPr>
                  <w:r>
                    <w:rPr>
                      <w:rFonts w:hint="eastAsia" w:ascii="宋体" w:hAnsi="宋体" w:cs="宋体"/>
                      <w:szCs w:val="21"/>
                    </w:rPr>
                    <w:t>□</w:t>
                  </w:r>
                  <w:r>
                    <w:rPr>
                      <w:bCs/>
                      <w:spacing w:val="-6"/>
                      <w:szCs w:val="21"/>
                    </w:rPr>
                    <w:t>清净下水排放</w:t>
                  </w:r>
                </w:p>
                <w:p>
                  <w:pPr>
                    <w:pStyle w:val="31"/>
                    <w:jc w:val="both"/>
                    <w:rPr>
                      <w:bCs/>
                      <w:spacing w:val="-6"/>
                      <w:szCs w:val="21"/>
                    </w:rPr>
                  </w:pPr>
                  <w:r>
                    <w:rPr>
                      <w:rFonts w:hint="eastAsia" w:ascii="宋体" w:hAnsi="宋体" w:cs="宋体"/>
                      <w:szCs w:val="21"/>
                    </w:rPr>
                    <w:t>□</w:t>
                  </w:r>
                  <w:r>
                    <w:rPr>
                      <w:bCs/>
                      <w:spacing w:val="-6"/>
                      <w:szCs w:val="21"/>
                    </w:rPr>
                    <w:t>温排水排放</w:t>
                  </w:r>
                </w:p>
                <w:p>
                  <w:pPr>
                    <w:pStyle w:val="31"/>
                    <w:jc w:val="both"/>
                    <w:rPr>
                      <w:szCs w:val="21"/>
                    </w:rPr>
                  </w:pPr>
                  <w:r>
                    <w:rPr>
                      <w:rFonts w:hint="eastAsia" w:ascii="宋体" w:hAnsi="宋体" w:cs="宋体"/>
                      <w:szCs w:val="21"/>
                    </w:rPr>
                    <w:t>□</w:t>
                  </w:r>
                  <w:r>
                    <w:rPr>
                      <w:bCs/>
                      <w:spacing w:val="-6"/>
                      <w:szCs w:val="21"/>
                    </w:rPr>
                    <w:t>车间或车间处理设施排放口</w:t>
                  </w:r>
                </w:p>
              </w:tc>
            </w:tr>
          </w:tbl>
          <w:p>
            <w:pPr>
              <w:pStyle w:val="35"/>
              <w:spacing w:line="240" w:lineRule="auto"/>
              <w:jc w:val="center"/>
              <w:rPr>
                <w:b/>
                <w:szCs w:val="21"/>
              </w:rPr>
            </w:pPr>
            <w:r>
              <w:rPr>
                <w:b/>
                <w:szCs w:val="21"/>
              </w:rPr>
              <w:t>表</w:t>
            </w:r>
            <w:r>
              <w:rPr>
                <w:rFonts w:hint="eastAsia"/>
                <w:b/>
                <w:szCs w:val="21"/>
              </w:rPr>
              <w:t>4-</w:t>
            </w:r>
            <w:r>
              <w:rPr>
                <w:rFonts w:hint="eastAsia"/>
                <w:b/>
                <w:szCs w:val="21"/>
                <w:lang w:val="en-US" w:eastAsia="zh-CN"/>
              </w:rPr>
              <w:t>14</w:t>
            </w:r>
            <w:r>
              <w:rPr>
                <w:b/>
                <w:szCs w:val="21"/>
              </w:rPr>
              <w:t>废水间接排放口基本情况表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881"/>
              <w:gridCol w:w="1521"/>
              <w:gridCol w:w="1424"/>
              <w:gridCol w:w="689"/>
              <w:gridCol w:w="426"/>
              <w:gridCol w:w="426"/>
              <w:gridCol w:w="426"/>
              <w:gridCol w:w="426"/>
              <w:gridCol w:w="809"/>
              <w:gridCol w:w="1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05" w:type="pct"/>
                  <w:vMerge w:val="restart"/>
                  <w:vAlign w:val="center"/>
                </w:tcPr>
                <w:p>
                  <w:pPr>
                    <w:pStyle w:val="31"/>
                    <w:rPr>
                      <w:rFonts w:hint="eastAsia" w:eastAsia="宋体"/>
                      <w:szCs w:val="21"/>
                      <w:lang w:eastAsia="zh-CN"/>
                    </w:rPr>
                  </w:pPr>
                  <w:r>
                    <w:rPr>
                      <w:rFonts w:hint="eastAsia"/>
                      <w:szCs w:val="21"/>
                      <w:lang w:eastAsia="zh-CN"/>
                    </w:rPr>
                    <w:t>位置</w:t>
                  </w:r>
                </w:p>
              </w:tc>
              <w:tc>
                <w:tcPr>
                  <w:tcW w:w="509" w:type="pct"/>
                  <w:vMerge w:val="restart"/>
                  <w:vAlign w:val="center"/>
                </w:tcPr>
                <w:p>
                  <w:pPr>
                    <w:pStyle w:val="31"/>
                    <w:rPr>
                      <w:szCs w:val="21"/>
                    </w:rPr>
                  </w:pPr>
                  <w:r>
                    <w:rPr>
                      <w:szCs w:val="21"/>
                    </w:rPr>
                    <w:t>排放口编号</w:t>
                  </w:r>
                </w:p>
              </w:tc>
              <w:tc>
                <w:tcPr>
                  <w:tcW w:w="1324" w:type="pct"/>
                  <w:gridSpan w:val="2"/>
                  <w:vAlign w:val="center"/>
                </w:tcPr>
                <w:p>
                  <w:pPr>
                    <w:pStyle w:val="31"/>
                    <w:rPr>
                      <w:szCs w:val="21"/>
                    </w:rPr>
                  </w:pPr>
                  <w:r>
                    <w:rPr>
                      <w:szCs w:val="21"/>
                    </w:rPr>
                    <w:t>排放口地理坐标</w:t>
                  </w:r>
                </w:p>
              </w:tc>
              <w:tc>
                <w:tcPr>
                  <w:tcW w:w="479" w:type="pct"/>
                  <w:vMerge w:val="restart"/>
                  <w:vAlign w:val="center"/>
                </w:tcPr>
                <w:p>
                  <w:pPr>
                    <w:pStyle w:val="31"/>
                    <w:rPr>
                      <w:szCs w:val="21"/>
                    </w:rPr>
                  </w:pPr>
                  <w:r>
                    <w:rPr>
                      <w:szCs w:val="21"/>
                    </w:rPr>
                    <w:t>废水排放量（万t/a）</w:t>
                  </w:r>
                </w:p>
              </w:tc>
              <w:tc>
                <w:tcPr>
                  <w:tcW w:w="543" w:type="pct"/>
                  <w:vMerge w:val="restart"/>
                  <w:vAlign w:val="center"/>
                </w:tcPr>
                <w:p>
                  <w:pPr>
                    <w:pStyle w:val="31"/>
                    <w:rPr>
                      <w:szCs w:val="21"/>
                    </w:rPr>
                  </w:pPr>
                  <w:r>
                    <w:rPr>
                      <w:szCs w:val="21"/>
                    </w:rPr>
                    <w:t>排放去向</w:t>
                  </w:r>
                </w:p>
              </w:tc>
              <w:tc>
                <w:tcPr>
                  <w:tcW w:w="246" w:type="pct"/>
                  <w:vMerge w:val="restart"/>
                  <w:vAlign w:val="center"/>
                </w:tcPr>
                <w:p>
                  <w:pPr>
                    <w:pStyle w:val="31"/>
                    <w:rPr>
                      <w:szCs w:val="21"/>
                    </w:rPr>
                  </w:pPr>
                  <w:r>
                    <w:rPr>
                      <w:szCs w:val="21"/>
                    </w:rPr>
                    <w:t>排放规律</w:t>
                  </w:r>
                </w:p>
              </w:tc>
              <w:tc>
                <w:tcPr>
                  <w:tcW w:w="246" w:type="pct"/>
                  <w:vMerge w:val="restart"/>
                  <w:vAlign w:val="center"/>
                </w:tcPr>
                <w:p>
                  <w:pPr>
                    <w:pStyle w:val="31"/>
                    <w:rPr>
                      <w:szCs w:val="21"/>
                    </w:rPr>
                  </w:pPr>
                  <w:r>
                    <w:rPr>
                      <w:szCs w:val="21"/>
                    </w:rPr>
                    <w:t>间歇排放时段</w:t>
                  </w:r>
                </w:p>
              </w:tc>
              <w:tc>
                <w:tcPr>
                  <w:tcW w:w="1345" w:type="pct"/>
                  <w:gridSpan w:val="3"/>
                  <w:vAlign w:val="center"/>
                </w:tcPr>
                <w:p>
                  <w:pPr>
                    <w:pStyle w:val="31"/>
                    <w:rPr>
                      <w:szCs w:val="21"/>
                    </w:rPr>
                  </w:pPr>
                  <w:r>
                    <w:rPr>
                      <w:rFonts w:hint="eastAsia"/>
                      <w:szCs w:val="21"/>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05" w:type="pct"/>
                  <w:vMerge w:val="continue"/>
                  <w:vAlign w:val="center"/>
                </w:tcPr>
                <w:p>
                  <w:pPr>
                    <w:pStyle w:val="31"/>
                    <w:rPr>
                      <w:szCs w:val="21"/>
                    </w:rPr>
                  </w:pPr>
                </w:p>
              </w:tc>
              <w:tc>
                <w:tcPr>
                  <w:tcW w:w="509" w:type="pct"/>
                  <w:vMerge w:val="continue"/>
                  <w:vAlign w:val="center"/>
                </w:tcPr>
                <w:p>
                  <w:pPr>
                    <w:pStyle w:val="31"/>
                    <w:rPr>
                      <w:szCs w:val="21"/>
                    </w:rPr>
                  </w:pPr>
                </w:p>
              </w:tc>
              <w:tc>
                <w:tcPr>
                  <w:tcW w:w="720" w:type="pct"/>
                  <w:vAlign w:val="center"/>
                </w:tcPr>
                <w:p>
                  <w:pPr>
                    <w:pStyle w:val="31"/>
                    <w:rPr>
                      <w:szCs w:val="21"/>
                    </w:rPr>
                  </w:pPr>
                  <w:r>
                    <w:rPr>
                      <w:szCs w:val="21"/>
                    </w:rPr>
                    <w:t>经度</w:t>
                  </w:r>
                </w:p>
              </w:tc>
              <w:tc>
                <w:tcPr>
                  <w:tcW w:w="604" w:type="pct"/>
                  <w:vAlign w:val="center"/>
                </w:tcPr>
                <w:p>
                  <w:pPr>
                    <w:pStyle w:val="31"/>
                    <w:rPr>
                      <w:szCs w:val="21"/>
                    </w:rPr>
                  </w:pPr>
                  <w:r>
                    <w:rPr>
                      <w:szCs w:val="21"/>
                    </w:rPr>
                    <w:t>纬度</w:t>
                  </w:r>
                </w:p>
              </w:tc>
              <w:tc>
                <w:tcPr>
                  <w:tcW w:w="479" w:type="pct"/>
                  <w:vMerge w:val="continue"/>
                  <w:vAlign w:val="center"/>
                </w:tcPr>
                <w:p>
                  <w:pPr>
                    <w:pStyle w:val="31"/>
                    <w:rPr>
                      <w:szCs w:val="21"/>
                    </w:rPr>
                  </w:pP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Align w:val="center"/>
                </w:tcPr>
                <w:p>
                  <w:pPr>
                    <w:pStyle w:val="31"/>
                    <w:rPr>
                      <w:szCs w:val="21"/>
                    </w:rPr>
                  </w:pPr>
                  <w:r>
                    <w:rPr>
                      <w:szCs w:val="21"/>
                    </w:rPr>
                    <w:t>名称</w:t>
                  </w:r>
                </w:p>
              </w:tc>
              <w:tc>
                <w:tcPr>
                  <w:tcW w:w="467" w:type="pct"/>
                  <w:vAlign w:val="center"/>
                </w:tcPr>
                <w:p>
                  <w:pPr>
                    <w:pStyle w:val="31"/>
                    <w:rPr>
                      <w:szCs w:val="21"/>
                    </w:rPr>
                  </w:pPr>
                  <w:r>
                    <w:rPr>
                      <w:rFonts w:hint="eastAsia"/>
                      <w:szCs w:val="21"/>
                    </w:rPr>
                    <w:t>污染物种类</w:t>
                  </w:r>
                </w:p>
              </w:tc>
              <w:tc>
                <w:tcPr>
                  <w:tcW w:w="631" w:type="pct"/>
                  <w:vAlign w:val="center"/>
                </w:tcPr>
                <w:p>
                  <w:pPr>
                    <w:pStyle w:val="31"/>
                    <w:rPr>
                      <w:szCs w:val="21"/>
                    </w:rPr>
                  </w:pPr>
                  <w:r>
                    <w:rPr>
                      <w:rFonts w:hint="eastAsia"/>
                      <w:szCs w:val="21"/>
                    </w:rPr>
                    <w:t>国家或地方污染物排放标准浓度限制（mg/L）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05" w:type="pct"/>
                  <w:vMerge w:val="restart"/>
                  <w:vAlign w:val="center"/>
                </w:tcPr>
                <w:p>
                  <w:pPr>
                    <w:pStyle w:val="31"/>
                    <w:rPr>
                      <w:rFonts w:hint="default" w:eastAsia="宋体"/>
                      <w:szCs w:val="21"/>
                      <w:lang w:val="en-US" w:eastAsia="zh-CN"/>
                    </w:rPr>
                  </w:pPr>
                  <w:r>
                    <w:rPr>
                      <w:rFonts w:hint="eastAsia"/>
                      <w:szCs w:val="21"/>
                      <w:lang w:val="en-US" w:eastAsia="zh-CN"/>
                    </w:rPr>
                    <w:t>02#地块</w:t>
                  </w:r>
                </w:p>
              </w:tc>
              <w:tc>
                <w:tcPr>
                  <w:tcW w:w="509" w:type="pct"/>
                  <w:vMerge w:val="restart"/>
                  <w:vAlign w:val="center"/>
                </w:tcPr>
                <w:p>
                  <w:pPr>
                    <w:pStyle w:val="36"/>
                    <w:jc w:val="center"/>
                    <w:rPr>
                      <w:rFonts w:ascii="Times New Roman" w:hAnsi="Times New Roman"/>
                      <w:szCs w:val="21"/>
                    </w:rPr>
                  </w:pPr>
                  <w:r>
                    <w:rPr>
                      <w:rFonts w:ascii="Times New Roman" w:hAnsi="Times New Roman"/>
                      <w:szCs w:val="21"/>
                    </w:rPr>
                    <w:t>DW001</w:t>
                  </w:r>
                </w:p>
              </w:tc>
              <w:tc>
                <w:tcPr>
                  <w:tcW w:w="720" w:type="pct"/>
                  <w:vMerge w:val="restart"/>
                  <w:vAlign w:val="center"/>
                </w:tcPr>
                <w:p>
                  <w:pPr>
                    <w:jc w:val="center"/>
                    <w:rPr>
                      <w:szCs w:val="21"/>
                    </w:rPr>
                  </w:pPr>
                  <w:r>
                    <w:rPr>
                      <w:rFonts w:hint="eastAsia"/>
                      <w:szCs w:val="21"/>
                    </w:rPr>
                    <w:t>113.093284622</w:t>
                  </w:r>
                </w:p>
              </w:tc>
              <w:tc>
                <w:tcPr>
                  <w:tcW w:w="604" w:type="pct"/>
                  <w:vMerge w:val="restart"/>
                  <w:vAlign w:val="center"/>
                </w:tcPr>
                <w:p>
                  <w:pPr>
                    <w:jc w:val="center"/>
                    <w:rPr>
                      <w:szCs w:val="21"/>
                    </w:rPr>
                  </w:pPr>
                  <w:r>
                    <w:rPr>
                      <w:rFonts w:hint="eastAsia"/>
                      <w:szCs w:val="21"/>
                    </w:rPr>
                    <w:t>29.394386954</w:t>
                  </w:r>
                </w:p>
              </w:tc>
              <w:tc>
                <w:tcPr>
                  <w:tcW w:w="479" w:type="pct"/>
                  <w:vMerge w:val="restart"/>
                  <w:vAlign w:val="center"/>
                </w:tcPr>
                <w:p>
                  <w:pPr>
                    <w:pStyle w:val="36"/>
                    <w:jc w:val="center"/>
                    <w:rPr>
                      <w:rFonts w:ascii="Times New Roman" w:hAnsi="Times New Roman"/>
                      <w:szCs w:val="21"/>
                    </w:rPr>
                  </w:pPr>
                  <w:r>
                    <w:rPr>
                      <w:rFonts w:hint="eastAsia" w:ascii="Times New Roman" w:hAnsi="Times New Roman"/>
                      <w:szCs w:val="21"/>
                      <w:lang w:val="en-US" w:eastAsia="zh-CN"/>
                    </w:rPr>
                    <w:t>27.6</w:t>
                  </w:r>
                </w:p>
              </w:tc>
              <w:tc>
                <w:tcPr>
                  <w:tcW w:w="543" w:type="pct"/>
                  <w:vMerge w:val="restart"/>
                  <w:vAlign w:val="center"/>
                </w:tcPr>
                <w:p>
                  <w:pPr>
                    <w:pStyle w:val="36"/>
                    <w:jc w:val="center"/>
                    <w:rPr>
                      <w:rFonts w:ascii="Times New Roman" w:hAnsi="Times New Roman"/>
                      <w:szCs w:val="21"/>
                    </w:rPr>
                  </w:pPr>
                  <w:r>
                    <w:rPr>
                      <w:rFonts w:ascii="Times New Roman" w:hAnsi="Times New Roman"/>
                      <w:szCs w:val="21"/>
                    </w:rPr>
                    <w:t>进入</w:t>
                  </w:r>
                  <w:r>
                    <w:rPr>
                      <w:rFonts w:hint="eastAsia" w:ascii="Times New Roman" w:hAnsi="Times New Roman"/>
                      <w:szCs w:val="21"/>
                    </w:rPr>
                    <w:t>市政污水管网再排入岳阳市马壕污水处理厂</w:t>
                  </w:r>
                </w:p>
              </w:tc>
              <w:tc>
                <w:tcPr>
                  <w:tcW w:w="246" w:type="pct"/>
                  <w:vMerge w:val="restart"/>
                  <w:vAlign w:val="center"/>
                </w:tcPr>
                <w:p>
                  <w:pPr>
                    <w:pStyle w:val="36"/>
                    <w:jc w:val="center"/>
                    <w:rPr>
                      <w:rStyle w:val="22"/>
                      <w:rFonts w:ascii="Times New Roman" w:hAnsi="Times New Roman"/>
                    </w:rPr>
                  </w:pPr>
                  <w:r>
                    <w:rPr>
                      <w:rStyle w:val="22"/>
                      <w:rFonts w:hint="eastAsia" w:ascii="Times New Roman" w:hAnsi="Times New Roman"/>
                    </w:rPr>
                    <w:t>间接</w:t>
                  </w:r>
                </w:p>
                <w:p>
                  <w:pPr>
                    <w:pStyle w:val="36"/>
                    <w:jc w:val="center"/>
                    <w:rPr>
                      <w:rFonts w:ascii="Times New Roman" w:hAnsi="Times New Roman"/>
                      <w:szCs w:val="21"/>
                    </w:rPr>
                  </w:pPr>
                  <w:r>
                    <w:rPr>
                      <w:rFonts w:hint="eastAsia" w:ascii="宋体" w:hAnsi="宋体" w:cs="宋体"/>
                      <w:szCs w:val="21"/>
                    </w:rPr>
                    <w:t>排放</w:t>
                  </w:r>
                </w:p>
              </w:tc>
              <w:tc>
                <w:tcPr>
                  <w:tcW w:w="246" w:type="pct"/>
                  <w:vMerge w:val="restart"/>
                  <w:vAlign w:val="center"/>
                </w:tcPr>
                <w:p>
                  <w:pPr>
                    <w:pStyle w:val="36"/>
                    <w:jc w:val="center"/>
                    <w:rPr>
                      <w:rFonts w:ascii="Times New Roman" w:hAnsi="Times New Roman"/>
                      <w:szCs w:val="21"/>
                    </w:rPr>
                  </w:pPr>
                  <w:r>
                    <w:rPr>
                      <w:rFonts w:ascii="Times New Roman" w:hAnsi="Times New Roman"/>
                      <w:szCs w:val="21"/>
                    </w:rPr>
                    <w:t>/</w:t>
                  </w:r>
                </w:p>
              </w:tc>
              <w:tc>
                <w:tcPr>
                  <w:tcW w:w="246" w:type="pct"/>
                  <w:vMerge w:val="restart"/>
                  <w:vAlign w:val="center"/>
                </w:tcPr>
                <w:p>
                  <w:pPr>
                    <w:pStyle w:val="36"/>
                    <w:jc w:val="center"/>
                    <w:rPr>
                      <w:rFonts w:ascii="Times New Roman" w:hAnsi="Times New Roman"/>
                      <w:szCs w:val="21"/>
                    </w:rPr>
                  </w:pPr>
                  <w:r>
                    <w:rPr>
                      <w:rFonts w:hint="eastAsia" w:ascii="Times New Roman" w:hAnsi="Times New Roman"/>
                      <w:szCs w:val="21"/>
                    </w:rPr>
                    <w:t>岳阳市马壕污水处理厂</w:t>
                  </w:r>
                </w:p>
              </w:tc>
              <w:tc>
                <w:tcPr>
                  <w:tcW w:w="467" w:type="pct"/>
                  <w:vAlign w:val="center"/>
                </w:tcPr>
                <w:p>
                  <w:pPr>
                    <w:pStyle w:val="31"/>
                    <w:rPr>
                      <w:szCs w:val="21"/>
                    </w:rPr>
                  </w:pPr>
                  <w:r>
                    <w:rPr>
                      <w:szCs w:val="21"/>
                    </w:rPr>
                    <w:t>COD</w:t>
                  </w:r>
                </w:p>
              </w:tc>
              <w:tc>
                <w:tcPr>
                  <w:tcW w:w="631" w:type="pct"/>
                  <w:vAlign w:val="center"/>
                </w:tcPr>
                <w:p>
                  <w:pPr>
                    <w:pStyle w:val="31"/>
                    <w:rPr>
                      <w:szCs w:val="21"/>
                    </w:rPr>
                  </w:pPr>
                  <w:r>
                    <w:rPr>
                      <w:rFonts w:hint="eastAsia"/>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05" w:type="pct"/>
                  <w:vMerge w:val="continue"/>
                  <w:vAlign w:val="center"/>
                </w:tcPr>
                <w:p>
                  <w:pPr>
                    <w:pStyle w:val="31"/>
                  </w:pPr>
                </w:p>
              </w:tc>
              <w:tc>
                <w:tcPr>
                  <w:tcW w:w="509" w:type="pct"/>
                  <w:vMerge w:val="continue"/>
                  <w:vAlign w:val="center"/>
                </w:tcPr>
                <w:p>
                  <w:pPr>
                    <w:pStyle w:val="31"/>
                  </w:pPr>
                </w:p>
              </w:tc>
              <w:tc>
                <w:tcPr>
                  <w:tcW w:w="720" w:type="pct"/>
                  <w:vMerge w:val="continue"/>
                  <w:vAlign w:val="center"/>
                </w:tcPr>
                <w:p>
                  <w:pPr>
                    <w:pStyle w:val="31"/>
                  </w:pPr>
                </w:p>
              </w:tc>
              <w:tc>
                <w:tcPr>
                  <w:tcW w:w="604" w:type="pct"/>
                  <w:vMerge w:val="continue"/>
                  <w:vAlign w:val="center"/>
                </w:tcPr>
                <w:p>
                  <w:pPr>
                    <w:pStyle w:val="31"/>
                  </w:pPr>
                </w:p>
              </w:tc>
              <w:tc>
                <w:tcPr>
                  <w:tcW w:w="479" w:type="pct"/>
                  <w:vMerge w:val="continue"/>
                  <w:vAlign w:val="center"/>
                </w:tcPr>
                <w:p>
                  <w:pPr>
                    <w:pStyle w:val="31"/>
                  </w:pPr>
                </w:p>
              </w:tc>
              <w:tc>
                <w:tcPr>
                  <w:tcW w:w="543" w:type="pct"/>
                  <w:vMerge w:val="continue"/>
                  <w:vAlign w:val="center"/>
                </w:tcPr>
                <w:p>
                  <w:pPr>
                    <w:pStyle w:val="31"/>
                  </w:pPr>
                </w:p>
              </w:tc>
              <w:tc>
                <w:tcPr>
                  <w:tcW w:w="246" w:type="pct"/>
                  <w:vMerge w:val="continue"/>
                  <w:vAlign w:val="center"/>
                </w:tcPr>
                <w:p>
                  <w:pPr>
                    <w:pStyle w:val="31"/>
                  </w:pPr>
                </w:p>
              </w:tc>
              <w:tc>
                <w:tcPr>
                  <w:tcW w:w="246" w:type="pct"/>
                  <w:vMerge w:val="continue"/>
                  <w:vAlign w:val="center"/>
                </w:tcPr>
                <w:p>
                  <w:pPr>
                    <w:pStyle w:val="31"/>
                  </w:pPr>
                </w:p>
              </w:tc>
              <w:tc>
                <w:tcPr>
                  <w:tcW w:w="246" w:type="pct"/>
                  <w:vMerge w:val="continue"/>
                  <w:vAlign w:val="center"/>
                </w:tcPr>
                <w:p>
                  <w:pPr>
                    <w:pStyle w:val="31"/>
                  </w:pPr>
                </w:p>
              </w:tc>
              <w:tc>
                <w:tcPr>
                  <w:tcW w:w="467" w:type="pct"/>
                  <w:vAlign w:val="center"/>
                </w:tcPr>
                <w:p>
                  <w:pPr>
                    <w:jc w:val="center"/>
                    <w:rPr>
                      <w:szCs w:val="21"/>
                    </w:rPr>
                  </w:pPr>
                  <w:r>
                    <w:rPr>
                      <w:rFonts w:hint="eastAsia"/>
                      <w:szCs w:val="21"/>
                    </w:rPr>
                    <w:t>pH</w:t>
                  </w:r>
                </w:p>
              </w:tc>
              <w:tc>
                <w:tcPr>
                  <w:tcW w:w="631" w:type="pct"/>
                  <w:vAlign w:val="center"/>
                </w:tcPr>
                <w:p>
                  <w:pPr>
                    <w:pStyle w:val="31"/>
                    <w:rPr>
                      <w:szCs w:val="21"/>
                    </w:rPr>
                  </w:pPr>
                  <w:r>
                    <w:rPr>
                      <w:rFonts w:hint="eastAsia"/>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305" w:type="pct"/>
                  <w:vMerge w:val="continue"/>
                  <w:vAlign w:val="center"/>
                </w:tcPr>
                <w:p>
                  <w:pPr>
                    <w:pStyle w:val="31"/>
                    <w:rPr>
                      <w:szCs w:val="21"/>
                    </w:rPr>
                  </w:pPr>
                </w:p>
              </w:tc>
              <w:tc>
                <w:tcPr>
                  <w:tcW w:w="509" w:type="pct"/>
                  <w:vMerge w:val="continue"/>
                  <w:vAlign w:val="center"/>
                </w:tcPr>
                <w:p>
                  <w:pPr>
                    <w:pStyle w:val="31"/>
                    <w:rPr>
                      <w:szCs w:val="21"/>
                    </w:rPr>
                  </w:pPr>
                </w:p>
              </w:tc>
              <w:tc>
                <w:tcPr>
                  <w:tcW w:w="720" w:type="pct"/>
                  <w:vMerge w:val="continue"/>
                  <w:vAlign w:val="center"/>
                </w:tcPr>
                <w:p>
                  <w:pPr>
                    <w:pStyle w:val="31"/>
                    <w:rPr>
                      <w:szCs w:val="21"/>
                    </w:rPr>
                  </w:pPr>
                </w:p>
              </w:tc>
              <w:tc>
                <w:tcPr>
                  <w:tcW w:w="604" w:type="pct"/>
                  <w:vMerge w:val="continue"/>
                  <w:vAlign w:val="center"/>
                </w:tcPr>
                <w:p>
                  <w:pPr>
                    <w:pStyle w:val="31"/>
                    <w:rPr>
                      <w:szCs w:val="21"/>
                    </w:rPr>
                  </w:pPr>
                </w:p>
              </w:tc>
              <w:tc>
                <w:tcPr>
                  <w:tcW w:w="479" w:type="pct"/>
                  <w:vMerge w:val="continue"/>
                  <w:vAlign w:val="center"/>
                </w:tcPr>
                <w:p>
                  <w:pPr>
                    <w:pStyle w:val="31"/>
                    <w:rPr>
                      <w:szCs w:val="21"/>
                    </w:rPr>
                  </w:pP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Align w:val="center"/>
                </w:tcPr>
                <w:p>
                  <w:pPr>
                    <w:pStyle w:val="31"/>
                    <w:rPr>
                      <w:szCs w:val="21"/>
                    </w:rPr>
                  </w:pPr>
                  <w:r>
                    <w:rPr>
                      <w:szCs w:val="21"/>
                    </w:rPr>
                    <w:t>NH</w:t>
                  </w:r>
                  <w:r>
                    <w:rPr>
                      <w:szCs w:val="21"/>
                      <w:vertAlign w:val="subscript"/>
                    </w:rPr>
                    <w:t>3</w:t>
                  </w:r>
                  <w:r>
                    <w:rPr>
                      <w:szCs w:val="21"/>
                    </w:rPr>
                    <w:t>-N</w:t>
                  </w:r>
                </w:p>
              </w:tc>
              <w:tc>
                <w:tcPr>
                  <w:tcW w:w="631" w:type="pct"/>
                  <w:vAlign w:val="center"/>
                </w:tcPr>
                <w:p>
                  <w:pPr>
                    <w:pStyle w:val="31"/>
                    <w:rPr>
                      <w:szCs w:val="21"/>
                    </w:rPr>
                  </w:pPr>
                  <w:r>
                    <w:rPr>
                      <w:rFonts w:hint="eastAsia"/>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05" w:type="pct"/>
                  <w:vMerge w:val="continue"/>
                  <w:vAlign w:val="center"/>
                </w:tcPr>
                <w:p>
                  <w:pPr>
                    <w:pStyle w:val="31"/>
                    <w:rPr>
                      <w:szCs w:val="21"/>
                    </w:rPr>
                  </w:pPr>
                </w:p>
              </w:tc>
              <w:tc>
                <w:tcPr>
                  <w:tcW w:w="509" w:type="pct"/>
                  <w:vMerge w:val="continue"/>
                  <w:vAlign w:val="center"/>
                </w:tcPr>
                <w:p>
                  <w:pPr>
                    <w:pStyle w:val="31"/>
                    <w:rPr>
                      <w:szCs w:val="21"/>
                    </w:rPr>
                  </w:pPr>
                </w:p>
              </w:tc>
              <w:tc>
                <w:tcPr>
                  <w:tcW w:w="720" w:type="pct"/>
                  <w:vMerge w:val="continue"/>
                  <w:vAlign w:val="center"/>
                </w:tcPr>
                <w:p>
                  <w:pPr>
                    <w:pStyle w:val="31"/>
                    <w:rPr>
                      <w:szCs w:val="21"/>
                    </w:rPr>
                  </w:pPr>
                </w:p>
              </w:tc>
              <w:tc>
                <w:tcPr>
                  <w:tcW w:w="604" w:type="pct"/>
                  <w:vMerge w:val="continue"/>
                  <w:vAlign w:val="center"/>
                </w:tcPr>
                <w:p>
                  <w:pPr>
                    <w:pStyle w:val="31"/>
                    <w:rPr>
                      <w:szCs w:val="21"/>
                    </w:rPr>
                  </w:pPr>
                </w:p>
              </w:tc>
              <w:tc>
                <w:tcPr>
                  <w:tcW w:w="479" w:type="pct"/>
                  <w:vMerge w:val="continue"/>
                  <w:vAlign w:val="center"/>
                </w:tcPr>
                <w:p>
                  <w:pPr>
                    <w:pStyle w:val="31"/>
                    <w:rPr>
                      <w:szCs w:val="21"/>
                    </w:rPr>
                  </w:pP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Align w:val="center"/>
                </w:tcPr>
                <w:p>
                  <w:pPr>
                    <w:pStyle w:val="31"/>
                    <w:rPr>
                      <w:szCs w:val="21"/>
                    </w:rPr>
                  </w:pPr>
                  <w:r>
                    <w:rPr>
                      <w:szCs w:val="21"/>
                    </w:rPr>
                    <w:t>SS</w:t>
                  </w:r>
                </w:p>
              </w:tc>
              <w:tc>
                <w:tcPr>
                  <w:tcW w:w="631" w:type="pct"/>
                  <w:vAlign w:val="center"/>
                </w:tcPr>
                <w:p>
                  <w:pPr>
                    <w:pStyle w:val="31"/>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5" w:type="pct"/>
                  <w:vMerge w:val="continue"/>
                  <w:vAlign w:val="center"/>
                </w:tcPr>
                <w:p>
                  <w:pPr>
                    <w:pStyle w:val="31"/>
                    <w:rPr>
                      <w:szCs w:val="21"/>
                    </w:rPr>
                  </w:pPr>
                </w:p>
              </w:tc>
              <w:tc>
                <w:tcPr>
                  <w:tcW w:w="509" w:type="pct"/>
                  <w:vMerge w:val="continue"/>
                  <w:vAlign w:val="center"/>
                </w:tcPr>
                <w:p>
                  <w:pPr>
                    <w:pStyle w:val="31"/>
                    <w:rPr>
                      <w:szCs w:val="21"/>
                    </w:rPr>
                  </w:pPr>
                </w:p>
              </w:tc>
              <w:tc>
                <w:tcPr>
                  <w:tcW w:w="720" w:type="pct"/>
                  <w:vMerge w:val="continue"/>
                  <w:vAlign w:val="center"/>
                </w:tcPr>
                <w:p>
                  <w:pPr>
                    <w:pStyle w:val="31"/>
                    <w:rPr>
                      <w:szCs w:val="21"/>
                    </w:rPr>
                  </w:pPr>
                </w:p>
              </w:tc>
              <w:tc>
                <w:tcPr>
                  <w:tcW w:w="604" w:type="pct"/>
                  <w:vMerge w:val="continue"/>
                  <w:vAlign w:val="center"/>
                </w:tcPr>
                <w:p>
                  <w:pPr>
                    <w:pStyle w:val="31"/>
                    <w:rPr>
                      <w:szCs w:val="21"/>
                    </w:rPr>
                  </w:pPr>
                </w:p>
              </w:tc>
              <w:tc>
                <w:tcPr>
                  <w:tcW w:w="479" w:type="pct"/>
                  <w:vMerge w:val="continue"/>
                  <w:vAlign w:val="center"/>
                </w:tcPr>
                <w:p>
                  <w:pPr>
                    <w:pStyle w:val="31"/>
                    <w:rPr>
                      <w:szCs w:val="21"/>
                    </w:rPr>
                  </w:pP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Align w:val="center"/>
                </w:tcPr>
                <w:p>
                  <w:pPr>
                    <w:jc w:val="center"/>
                    <w:rPr>
                      <w:rFonts w:ascii="Times New Roman" w:hAnsi="Times New Roman" w:eastAsia="宋体" w:cs="Times New Roman"/>
                      <w:kern w:val="2"/>
                      <w:sz w:val="21"/>
                      <w:szCs w:val="21"/>
                      <w:lang w:val="en-US" w:eastAsia="zh-CN" w:bidi="ar-SA"/>
                    </w:rPr>
                  </w:pPr>
                  <w:r>
                    <w:rPr>
                      <w:szCs w:val="21"/>
                    </w:rPr>
                    <w:t>BOD</w:t>
                  </w:r>
                  <w:r>
                    <w:rPr>
                      <w:szCs w:val="21"/>
                      <w:vertAlign w:val="subscript"/>
                    </w:rPr>
                    <w:t>5</w:t>
                  </w:r>
                </w:p>
              </w:tc>
              <w:tc>
                <w:tcPr>
                  <w:tcW w:w="631" w:type="pct"/>
                  <w:vAlign w:val="center"/>
                </w:tcPr>
                <w:p>
                  <w:pPr>
                    <w:pStyle w:val="31"/>
                    <w:rPr>
                      <w:rFonts w:ascii="Times New Roman" w:hAnsi="Times New Roman" w:eastAsia="宋体" w:cs="Times New Roman"/>
                      <w:kern w:val="2"/>
                      <w:sz w:val="21"/>
                      <w:szCs w:val="21"/>
                      <w:lang w:val="en-US" w:eastAsia="zh-CN" w:bidi="ar-SA"/>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305" w:type="pct"/>
                  <w:vMerge w:val="continue"/>
                  <w:vAlign w:val="center"/>
                </w:tcPr>
                <w:p>
                  <w:pPr>
                    <w:pStyle w:val="31"/>
                    <w:rPr>
                      <w:szCs w:val="21"/>
                    </w:rPr>
                  </w:pPr>
                </w:p>
              </w:tc>
              <w:tc>
                <w:tcPr>
                  <w:tcW w:w="509" w:type="pct"/>
                  <w:vAlign w:val="center"/>
                </w:tcPr>
                <w:p>
                  <w:pPr>
                    <w:pStyle w:val="31"/>
                    <w:rPr>
                      <w:rFonts w:hint="default" w:eastAsia="宋体"/>
                      <w:szCs w:val="21"/>
                      <w:lang w:val="en-US" w:eastAsia="zh-CN"/>
                    </w:rPr>
                  </w:pPr>
                  <w:r>
                    <w:rPr>
                      <w:rFonts w:hint="eastAsia"/>
                      <w:szCs w:val="21"/>
                      <w:lang w:val="en-US" w:eastAsia="zh-CN"/>
                    </w:rPr>
                    <w:t>DW002</w:t>
                  </w:r>
                </w:p>
              </w:tc>
              <w:tc>
                <w:tcPr>
                  <w:tcW w:w="720" w:type="pct"/>
                  <w:vAlign w:val="center"/>
                </w:tcPr>
                <w:p>
                  <w:pPr>
                    <w:pStyle w:val="31"/>
                    <w:rPr>
                      <w:szCs w:val="21"/>
                    </w:rPr>
                  </w:pPr>
                  <w:r>
                    <w:rPr>
                      <w:rFonts w:hint="eastAsia"/>
                      <w:szCs w:val="21"/>
                    </w:rPr>
                    <w:t>113.09422</w:t>
                  </w:r>
                  <w:r>
                    <w:rPr>
                      <w:rFonts w:hint="eastAsia"/>
                      <w:szCs w:val="21"/>
                      <w:lang w:val="en-US" w:eastAsia="zh-CN"/>
                    </w:rPr>
                    <w:t>8</w:t>
                  </w:r>
                  <w:r>
                    <w:rPr>
                      <w:rFonts w:hint="eastAsia"/>
                      <w:szCs w:val="21"/>
                    </w:rPr>
                    <w:t>759</w:t>
                  </w:r>
                </w:p>
              </w:tc>
              <w:tc>
                <w:tcPr>
                  <w:tcW w:w="604" w:type="pct"/>
                  <w:vAlign w:val="center"/>
                </w:tcPr>
                <w:p>
                  <w:pPr>
                    <w:pStyle w:val="31"/>
                    <w:rPr>
                      <w:szCs w:val="21"/>
                    </w:rPr>
                  </w:pPr>
                  <w:r>
                    <w:rPr>
                      <w:rFonts w:hint="eastAsia"/>
                      <w:szCs w:val="21"/>
                    </w:rPr>
                    <w:t>29.394494242</w:t>
                  </w:r>
                </w:p>
              </w:tc>
              <w:tc>
                <w:tcPr>
                  <w:tcW w:w="479" w:type="pct"/>
                  <w:vMerge w:val="continue"/>
                  <w:vAlign w:val="center"/>
                </w:tcPr>
                <w:p>
                  <w:pPr>
                    <w:pStyle w:val="31"/>
                    <w:rPr>
                      <w:szCs w:val="21"/>
                    </w:rPr>
                  </w:pP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Merge w:val="restart"/>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动植物油</w:t>
                  </w:r>
                </w:p>
              </w:tc>
              <w:tc>
                <w:tcPr>
                  <w:tcW w:w="631" w:type="pct"/>
                  <w:vMerge w:val="restart"/>
                  <w:vAlign w:val="center"/>
                </w:tcPr>
                <w:p>
                  <w:pPr>
                    <w:pStyle w:val="31"/>
                    <w:rPr>
                      <w:rFonts w:hint="eastAsia" w:ascii="Times New Roman" w:hAnsi="Times New Roman" w:eastAsia="宋体" w:cs="Times New Roman"/>
                      <w:kern w:val="2"/>
                      <w:sz w:val="21"/>
                      <w:szCs w:val="21"/>
                      <w:lang w:val="en-US" w:eastAsia="zh-CN" w:bidi="ar-SA"/>
                    </w:rPr>
                  </w:pPr>
                  <w:r>
                    <w:rPr>
                      <w:rFonts w:hint="eastAsia"/>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05" w:type="pct"/>
                  <w:vAlign w:val="center"/>
                </w:tcPr>
                <w:p>
                  <w:pPr>
                    <w:pStyle w:val="31"/>
                    <w:rPr>
                      <w:rFonts w:hint="default" w:eastAsia="宋体"/>
                      <w:szCs w:val="21"/>
                      <w:lang w:val="en-US" w:eastAsia="zh-CN"/>
                    </w:rPr>
                  </w:pPr>
                  <w:r>
                    <w:rPr>
                      <w:rFonts w:hint="eastAsia"/>
                      <w:szCs w:val="21"/>
                      <w:lang w:val="en-US" w:eastAsia="zh-CN"/>
                    </w:rPr>
                    <w:t>03#地块</w:t>
                  </w:r>
                </w:p>
              </w:tc>
              <w:tc>
                <w:tcPr>
                  <w:tcW w:w="509" w:type="pct"/>
                  <w:vAlign w:val="center"/>
                </w:tcPr>
                <w:p>
                  <w:pPr>
                    <w:pStyle w:val="31"/>
                    <w:rPr>
                      <w:szCs w:val="21"/>
                    </w:rPr>
                  </w:pPr>
                  <w:r>
                    <w:rPr>
                      <w:rFonts w:hint="eastAsia"/>
                      <w:szCs w:val="21"/>
                      <w:lang w:val="en-US" w:eastAsia="zh-CN"/>
                    </w:rPr>
                    <w:t>DW003</w:t>
                  </w:r>
                </w:p>
              </w:tc>
              <w:tc>
                <w:tcPr>
                  <w:tcW w:w="720" w:type="pct"/>
                  <w:vAlign w:val="center"/>
                </w:tcPr>
                <w:p>
                  <w:pPr>
                    <w:pStyle w:val="31"/>
                    <w:rPr>
                      <w:szCs w:val="21"/>
                    </w:rPr>
                  </w:pPr>
                  <w:r>
                    <w:rPr>
                      <w:rFonts w:hint="eastAsia"/>
                      <w:szCs w:val="21"/>
                      <w:lang w:val="en-US" w:eastAsia="zh-CN"/>
                    </w:rPr>
                    <w:t>1</w:t>
                  </w:r>
                  <w:r>
                    <w:rPr>
                      <w:rFonts w:hint="eastAsia"/>
                      <w:szCs w:val="21"/>
                    </w:rPr>
                    <w:t>13.094765201</w:t>
                  </w:r>
                </w:p>
              </w:tc>
              <w:tc>
                <w:tcPr>
                  <w:tcW w:w="604" w:type="pct"/>
                  <w:vAlign w:val="center"/>
                </w:tcPr>
                <w:p>
                  <w:pPr>
                    <w:pStyle w:val="31"/>
                    <w:rPr>
                      <w:szCs w:val="21"/>
                    </w:rPr>
                  </w:pPr>
                  <w:r>
                    <w:rPr>
                      <w:rFonts w:hint="eastAsia"/>
                      <w:szCs w:val="21"/>
                    </w:rPr>
                    <w:t>29.394601530</w:t>
                  </w:r>
                </w:p>
              </w:tc>
              <w:tc>
                <w:tcPr>
                  <w:tcW w:w="479" w:type="pct"/>
                  <w:vAlign w:val="center"/>
                </w:tcPr>
                <w:p>
                  <w:pPr>
                    <w:pStyle w:val="31"/>
                    <w:rPr>
                      <w:rFonts w:hint="default" w:eastAsia="宋体"/>
                      <w:szCs w:val="21"/>
                      <w:lang w:val="en-US" w:eastAsia="zh-CN"/>
                    </w:rPr>
                  </w:pPr>
                  <w:r>
                    <w:rPr>
                      <w:rFonts w:hint="eastAsia"/>
                      <w:szCs w:val="21"/>
                      <w:lang w:val="en-US" w:eastAsia="zh-CN"/>
                    </w:rPr>
                    <w:t>20.87</w:t>
                  </w: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Merge w:val="continue"/>
                  <w:vAlign w:val="center"/>
                </w:tcPr>
                <w:p>
                  <w:pPr>
                    <w:jc w:val="center"/>
                    <w:rPr>
                      <w:rFonts w:hint="eastAsia"/>
                      <w:szCs w:val="21"/>
                    </w:rPr>
                  </w:pPr>
                </w:p>
              </w:tc>
              <w:tc>
                <w:tcPr>
                  <w:tcW w:w="631" w:type="pct"/>
                  <w:vMerge w:val="continue"/>
                  <w:vAlign w:val="center"/>
                </w:tcPr>
                <w:p>
                  <w:pPr>
                    <w:pStyle w:val="31"/>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305" w:type="pct"/>
                  <w:vAlign w:val="center"/>
                </w:tcPr>
                <w:p>
                  <w:pPr>
                    <w:pStyle w:val="31"/>
                    <w:rPr>
                      <w:rFonts w:hint="default" w:eastAsia="宋体"/>
                      <w:szCs w:val="21"/>
                      <w:lang w:val="en-US" w:eastAsia="zh-CN"/>
                    </w:rPr>
                  </w:pPr>
                  <w:r>
                    <w:rPr>
                      <w:rFonts w:hint="eastAsia"/>
                      <w:szCs w:val="21"/>
                      <w:lang w:val="en-US" w:eastAsia="zh-CN"/>
                    </w:rPr>
                    <w:t>04#地块</w:t>
                  </w:r>
                </w:p>
              </w:tc>
              <w:tc>
                <w:tcPr>
                  <w:tcW w:w="509" w:type="pct"/>
                  <w:vAlign w:val="center"/>
                </w:tcPr>
                <w:p>
                  <w:pPr>
                    <w:pStyle w:val="31"/>
                    <w:rPr>
                      <w:szCs w:val="21"/>
                    </w:rPr>
                  </w:pPr>
                  <w:r>
                    <w:rPr>
                      <w:rFonts w:hint="eastAsia"/>
                      <w:szCs w:val="21"/>
                      <w:lang w:val="en-US" w:eastAsia="zh-CN"/>
                    </w:rPr>
                    <w:t>DW004</w:t>
                  </w:r>
                </w:p>
              </w:tc>
              <w:tc>
                <w:tcPr>
                  <w:tcW w:w="720" w:type="pct"/>
                  <w:vAlign w:val="center"/>
                </w:tcPr>
                <w:p>
                  <w:pPr>
                    <w:pStyle w:val="31"/>
                    <w:rPr>
                      <w:szCs w:val="21"/>
                    </w:rPr>
                  </w:pPr>
                  <w:r>
                    <w:rPr>
                      <w:rFonts w:hint="eastAsia"/>
                      <w:szCs w:val="21"/>
                    </w:rPr>
                    <w:t>113.097147003</w:t>
                  </w:r>
                </w:p>
              </w:tc>
              <w:tc>
                <w:tcPr>
                  <w:tcW w:w="604" w:type="pct"/>
                  <w:vAlign w:val="center"/>
                </w:tcPr>
                <w:p>
                  <w:pPr>
                    <w:pStyle w:val="31"/>
                    <w:rPr>
                      <w:szCs w:val="21"/>
                    </w:rPr>
                  </w:pPr>
                  <w:r>
                    <w:rPr>
                      <w:rFonts w:hint="eastAsia"/>
                      <w:szCs w:val="21"/>
                    </w:rPr>
                    <w:t>29.39351</w:t>
                  </w:r>
                  <w:r>
                    <w:rPr>
                      <w:rFonts w:hint="eastAsia"/>
                      <w:szCs w:val="21"/>
                      <w:lang w:val="en-US" w:eastAsia="zh-CN"/>
                    </w:rPr>
                    <w:t>7</w:t>
                  </w:r>
                  <w:r>
                    <w:rPr>
                      <w:rFonts w:hint="eastAsia"/>
                      <w:szCs w:val="21"/>
                    </w:rPr>
                    <w:t>918</w:t>
                  </w:r>
                </w:p>
              </w:tc>
              <w:tc>
                <w:tcPr>
                  <w:tcW w:w="479" w:type="pct"/>
                  <w:vAlign w:val="center"/>
                </w:tcPr>
                <w:p>
                  <w:pPr>
                    <w:pStyle w:val="31"/>
                    <w:rPr>
                      <w:rFonts w:hint="default" w:eastAsia="宋体"/>
                      <w:szCs w:val="21"/>
                      <w:lang w:val="en-US" w:eastAsia="zh-CN"/>
                    </w:rPr>
                  </w:pPr>
                  <w:r>
                    <w:rPr>
                      <w:rFonts w:hint="eastAsia"/>
                      <w:szCs w:val="21"/>
                      <w:lang w:val="en-US" w:eastAsia="zh-CN"/>
                    </w:rPr>
                    <w:t>16.54</w:t>
                  </w:r>
                </w:p>
              </w:tc>
              <w:tc>
                <w:tcPr>
                  <w:tcW w:w="543"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246" w:type="pct"/>
                  <w:vMerge w:val="continue"/>
                  <w:vAlign w:val="center"/>
                </w:tcPr>
                <w:p>
                  <w:pPr>
                    <w:pStyle w:val="31"/>
                    <w:rPr>
                      <w:szCs w:val="21"/>
                    </w:rPr>
                  </w:pPr>
                </w:p>
              </w:tc>
              <w:tc>
                <w:tcPr>
                  <w:tcW w:w="467" w:type="pct"/>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石油类</w:t>
                  </w:r>
                </w:p>
              </w:tc>
              <w:tc>
                <w:tcPr>
                  <w:tcW w:w="631" w:type="pct"/>
                  <w:vAlign w:val="center"/>
                </w:tcPr>
                <w:p>
                  <w:pPr>
                    <w:pStyle w:val="31"/>
                    <w:rPr>
                      <w:rFonts w:hint="eastAsia" w:ascii="Times New Roman" w:hAnsi="Times New Roman" w:eastAsia="宋体" w:cs="Times New Roman"/>
                      <w:kern w:val="2"/>
                      <w:sz w:val="21"/>
                      <w:szCs w:val="21"/>
                      <w:lang w:val="en-US" w:eastAsia="zh-CN" w:bidi="ar-SA"/>
                    </w:rPr>
                  </w:pPr>
                  <w:r>
                    <w:rPr>
                      <w:rFonts w:hint="eastAsia"/>
                      <w:szCs w:val="21"/>
                    </w:rPr>
                    <w:t>1</w:t>
                  </w:r>
                </w:p>
              </w:tc>
            </w:tr>
          </w:tbl>
          <w:p>
            <w:pPr>
              <w:spacing w:line="360" w:lineRule="auto"/>
              <w:ind w:firstLine="480"/>
              <w:rPr>
                <w:b/>
                <w:bCs/>
                <w:sz w:val="24"/>
              </w:rPr>
            </w:pPr>
            <w:r>
              <w:rPr>
                <w:rFonts w:hint="eastAsia"/>
                <w:b/>
                <w:bCs/>
                <w:sz w:val="24"/>
              </w:rPr>
              <w:t>4、废水监测计划</w:t>
            </w:r>
          </w:p>
          <w:p>
            <w:pPr>
              <w:spacing w:line="360" w:lineRule="auto"/>
              <w:ind w:firstLine="480"/>
              <w:rPr>
                <w:sz w:val="24"/>
              </w:rPr>
            </w:pPr>
            <w:r>
              <w:rPr>
                <w:sz w:val="24"/>
              </w:rPr>
              <w:t>本次评价要求在办理竣工验收手续时对各废水排放口开展监测，验收监测频次为</w:t>
            </w:r>
            <w:r>
              <w:rPr>
                <w:rFonts w:hint="eastAsia"/>
                <w:sz w:val="24"/>
              </w:rPr>
              <w:t>2天，每天不少于4次</w:t>
            </w:r>
            <w:r>
              <w:rPr>
                <w:sz w:val="24"/>
              </w:rPr>
              <w:t>，监测因子为COD、BOD</w:t>
            </w:r>
            <w:r>
              <w:rPr>
                <w:sz w:val="24"/>
                <w:vertAlign w:val="subscript"/>
              </w:rPr>
              <w:t>5</w:t>
            </w:r>
            <w:r>
              <w:rPr>
                <w:sz w:val="24"/>
              </w:rPr>
              <w:t>、NH</w:t>
            </w:r>
            <w:r>
              <w:rPr>
                <w:sz w:val="24"/>
                <w:vertAlign w:val="subscript"/>
              </w:rPr>
              <w:t>3</w:t>
            </w:r>
            <w:r>
              <w:rPr>
                <w:sz w:val="24"/>
              </w:rPr>
              <w:t>-N、SS、动植物油</w:t>
            </w:r>
            <w:r>
              <w:rPr>
                <w:rFonts w:hint="eastAsia"/>
                <w:sz w:val="24"/>
              </w:rPr>
              <w:t>、石油类</w:t>
            </w:r>
            <w:r>
              <w:rPr>
                <w:sz w:val="24"/>
              </w:rPr>
              <w:t>。</w:t>
            </w:r>
          </w:p>
          <w:p>
            <w:pPr>
              <w:spacing w:line="360" w:lineRule="auto"/>
              <w:ind w:firstLine="482" w:firstLineChars="200"/>
              <w:jc w:val="left"/>
              <w:rPr>
                <w:bCs/>
                <w:kern w:val="24"/>
                <w:sz w:val="24"/>
              </w:rPr>
            </w:pPr>
            <w:r>
              <w:rPr>
                <w:rFonts w:hint="eastAsia"/>
                <w:b/>
                <w:bCs/>
                <w:sz w:val="24"/>
              </w:rPr>
              <w:t>5</w:t>
            </w:r>
            <w:r>
              <w:rPr>
                <w:b/>
                <w:bCs/>
                <w:sz w:val="24"/>
              </w:rPr>
              <w:t>、废水间接排放可行性分析</w:t>
            </w:r>
          </w:p>
          <w:p>
            <w:pPr>
              <w:pStyle w:val="2"/>
              <w:ind w:firstLine="480"/>
            </w:pPr>
            <w:r>
              <w:rPr>
                <w:bCs/>
                <w:kern w:val="24"/>
              </w:rPr>
              <w:t>项目所处位置属于</w:t>
            </w:r>
            <w:r>
              <w:t>岳阳</w:t>
            </w:r>
            <w:r>
              <w:rPr>
                <w:rFonts w:hint="eastAsia"/>
              </w:rPr>
              <w:t>市马壕</w:t>
            </w:r>
            <w:r>
              <w:t>污水处理厂</w:t>
            </w:r>
            <w:r>
              <w:rPr>
                <w:bCs/>
                <w:kern w:val="24"/>
              </w:rPr>
              <w:t>纳污范围内，</w:t>
            </w:r>
            <w:r>
              <w:t>岳阳</w:t>
            </w:r>
            <w:r>
              <w:rPr>
                <w:rFonts w:hint="eastAsia"/>
              </w:rPr>
              <w:t>市马壕</w:t>
            </w:r>
            <w:r>
              <w:t>污水处理厂</w:t>
            </w:r>
            <w:r>
              <w:rPr>
                <w:lang w:bidi="en-US"/>
              </w:rPr>
              <w:t>选址</w:t>
            </w:r>
            <w:r>
              <w:rPr>
                <w:rFonts w:hint="eastAsia"/>
              </w:rPr>
              <w:t>位于东风湖以南、湖东路以西</w:t>
            </w:r>
            <w:r>
              <w:rPr>
                <w:lang w:bidi="en-US"/>
              </w:rPr>
              <w:t>，</w:t>
            </w:r>
            <w:r>
              <w:rPr>
                <w:rFonts w:hint="eastAsia"/>
              </w:rPr>
              <w:t>一期工程设计建设规模为日处理污水5.0 万m³，已于2015年10月完工并运行；扩建工程于2018年进行建设，扩建规模为5万</w:t>
            </w:r>
            <w:r>
              <w:rPr>
                <w:rFonts w:hint="eastAsia"/>
                <w:shd w:val="clear" w:color="auto" w:fill="FFFFFF"/>
              </w:rPr>
              <w:t>m</w:t>
            </w:r>
            <w:r>
              <w:rPr>
                <w:rFonts w:hint="eastAsia"/>
                <w:shd w:val="clear" w:color="auto" w:fill="FFFFFF"/>
                <w:vertAlign w:val="superscript"/>
              </w:rPr>
              <w:t>3</w:t>
            </w:r>
            <w:r>
              <w:rPr>
                <w:rFonts w:hint="eastAsia"/>
                <w:shd w:val="clear" w:color="auto" w:fill="FFFFFF"/>
              </w:rPr>
              <w:t>/d，</w:t>
            </w:r>
            <w:r>
              <w:rPr>
                <w:rFonts w:hint="eastAsia"/>
              </w:rPr>
              <w:t>总规模为10万m</w:t>
            </w:r>
            <w:r>
              <w:rPr>
                <w:rFonts w:hint="eastAsia"/>
                <w:vertAlign w:val="superscript"/>
              </w:rPr>
              <w:t>3</w:t>
            </w:r>
            <w:r>
              <w:rPr>
                <w:rFonts w:hint="eastAsia"/>
              </w:rPr>
              <w:t>/d。污水厂纳污服务范围为巴陵西路、青年中路、建湘路、琵琶王路以北，沿湖大道以南，王家河西岸及洛王-冷水铺片区和东风湖、吉家湖周边的区域</w:t>
            </w:r>
            <w:r>
              <w:t>。</w:t>
            </w:r>
            <w:r>
              <w:rPr>
                <w:rFonts w:hint="eastAsia"/>
              </w:rPr>
              <w:t>污水处理工艺采用AAO反应池+二沉池+高效沉淀池+回转式过滤器工艺</w:t>
            </w:r>
            <w:r>
              <w:rPr>
                <w:lang w:bidi="en-US"/>
              </w:rPr>
              <w:t>，出水执行《城镇污水处理厂污染物排放标准》中的一级A标准，达标后尾水最终排入</w:t>
            </w:r>
            <w:r>
              <w:rPr>
                <w:rFonts w:hint="eastAsia"/>
                <w:lang w:bidi="en-US"/>
              </w:rPr>
              <w:t>东风</w:t>
            </w:r>
            <w:r>
              <w:rPr>
                <w:lang w:bidi="en-US"/>
              </w:rPr>
              <w:t>湖。目前</w:t>
            </w:r>
            <w:r>
              <w:t>岳阳</w:t>
            </w:r>
            <w:r>
              <w:rPr>
                <w:rFonts w:hint="eastAsia"/>
              </w:rPr>
              <w:t>市马壕</w:t>
            </w:r>
            <w:r>
              <w:t>污水处理厂</w:t>
            </w:r>
            <w:r>
              <w:rPr>
                <w:lang w:bidi="en-US"/>
              </w:rPr>
              <w:t>一期</w:t>
            </w:r>
            <w:r>
              <w:rPr>
                <w:rFonts w:hint="eastAsia"/>
                <w:lang w:bidi="en-US"/>
              </w:rPr>
              <w:t>、扩容</w:t>
            </w:r>
            <w:r>
              <w:rPr>
                <w:lang w:bidi="en-US"/>
              </w:rPr>
              <w:t>工程已经建成投产，运行状态良好。</w:t>
            </w:r>
          </w:p>
          <w:p>
            <w:pPr>
              <w:spacing w:line="360" w:lineRule="auto"/>
              <w:ind w:firstLine="480" w:firstLineChars="200"/>
            </w:pPr>
            <w:r>
              <w:rPr>
                <w:rStyle w:val="29"/>
              </w:rPr>
              <w:t>岳阳</w:t>
            </w:r>
            <w:r>
              <w:rPr>
                <w:rStyle w:val="29"/>
                <w:rFonts w:hint="eastAsia"/>
              </w:rPr>
              <w:t>市马壕</w:t>
            </w:r>
            <w:r>
              <w:rPr>
                <w:rStyle w:val="29"/>
              </w:rPr>
              <w:t>污水处理厂设计进出水水质</w:t>
            </w:r>
            <w:r>
              <w:rPr>
                <w:rStyle w:val="29"/>
                <w:rFonts w:hint="eastAsia"/>
              </w:rPr>
              <w:t>为：</w:t>
            </w:r>
            <w:r>
              <w:rPr>
                <w:bCs/>
                <w:sz w:val="24"/>
              </w:rPr>
              <w:t>COD≤</w:t>
            </w:r>
            <w:r>
              <w:rPr>
                <w:rFonts w:hint="eastAsia"/>
                <w:bCs/>
                <w:sz w:val="24"/>
              </w:rPr>
              <w:t>5</w:t>
            </w:r>
            <w:r>
              <w:rPr>
                <w:bCs/>
                <w:sz w:val="24"/>
              </w:rPr>
              <w:t>00mg/L、SS≤</w:t>
            </w:r>
            <w:r>
              <w:rPr>
                <w:rFonts w:hint="eastAsia"/>
                <w:bCs/>
                <w:sz w:val="24"/>
              </w:rPr>
              <w:t>200</w:t>
            </w:r>
            <w:r>
              <w:rPr>
                <w:bCs/>
                <w:sz w:val="24"/>
              </w:rPr>
              <w:t>mg/L、BOD</w:t>
            </w:r>
            <w:r>
              <w:rPr>
                <w:bCs/>
                <w:sz w:val="24"/>
                <w:vertAlign w:val="subscript"/>
              </w:rPr>
              <w:t>5</w:t>
            </w:r>
            <w:r>
              <w:rPr>
                <w:bCs/>
                <w:sz w:val="24"/>
              </w:rPr>
              <w:t>≤</w:t>
            </w:r>
            <w:r>
              <w:rPr>
                <w:rFonts w:hint="eastAsia"/>
                <w:bCs/>
                <w:sz w:val="24"/>
              </w:rPr>
              <w:t>130</w:t>
            </w:r>
            <w:r>
              <w:rPr>
                <w:bCs/>
                <w:sz w:val="24"/>
              </w:rPr>
              <w:t>mg/L、NH</w:t>
            </w:r>
            <w:r>
              <w:rPr>
                <w:bCs/>
                <w:sz w:val="24"/>
                <w:vertAlign w:val="subscript"/>
              </w:rPr>
              <w:t>3</w:t>
            </w:r>
            <w:r>
              <w:rPr>
                <w:bCs/>
                <w:sz w:val="24"/>
              </w:rPr>
              <w:t>-N≤</w:t>
            </w:r>
            <w:r>
              <w:rPr>
                <w:rFonts w:hint="eastAsia"/>
                <w:bCs/>
                <w:sz w:val="24"/>
              </w:rPr>
              <w:t>25</w:t>
            </w:r>
            <w:r>
              <w:rPr>
                <w:bCs/>
                <w:sz w:val="24"/>
              </w:rPr>
              <w:t>mg/L</w:t>
            </w:r>
            <w:r>
              <w:rPr>
                <w:rFonts w:hint="eastAsia"/>
                <w:bCs/>
                <w:sz w:val="24"/>
              </w:rPr>
              <w:t>；</w:t>
            </w:r>
            <w:r>
              <w:rPr>
                <w:rStyle w:val="29"/>
              </w:rPr>
              <w:t>污水处理工艺流程图见下</w:t>
            </w:r>
            <w:r>
              <w:rPr>
                <w:sz w:val="24"/>
                <w:lang w:bidi="en-US"/>
              </w:rPr>
              <w:t>图4-1。</w:t>
            </w:r>
          </w:p>
          <w:p>
            <w:pPr>
              <w:pStyle w:val="2"/>
              <w:ind w:firstLine="0" w:firstLineChars="0"/>
            </w:pPr>
            <w:r>
              <w:object>
                <v:shape id="_x0000_i1025" o:spt="75" type="#_x0000_t75" style="height:149pt;width:407.5pt;" o:ole="t" filled="f" o:preferrelative="t" stroked="f" coordsize="21600,21600">
                  <v:path/>
                  <v:fill on="f" focussize="0,0"/>
                  <v:stroke on="f" joinstyle="miter"/>
                  <v:imagedata r:id="rId8" o:title=""/>
                  <o:lock v:ext="edit" aspectratio="t"/>
                  <w10:wrap type="none"/>
                  <w10:anchorlock/>
                </v:shape>
                <o:OLEObject Type="Embed" ProgID="Visio.Drawing.11" ShapeID="_x0000_i1025" DrawAspect="Content" ObjectID="_1468075725" r:id="rId7">
                  <o:LockedField>false</o:LockedField>
                </o:OLEObject>
              </w:object>
            </w:r>
          </w:p>
          <w:p>
            <w:pPr>
              <w:jc w:val="center"/>
              <w:rPr>
                <w:rFonts w:eastAsia="穝灿砰"/>
                <w:b/>
                <w:color w:val="0000FF"/>
                <w:szCs w:val="21"/>
              </w:rPr>
            </w:pPr>
            <w:r>
              <w:rPr>
                <w:rFonts w:eastAsia="穝灿砰"/>
                <w:b/>
                <w:szCs w:val="21"/>
              </w:rPr>
              <w:t>图4-1  岳阳市</w:t>
            </w:r>
            <w:r>
              <w:rPr>
                <w:rFonts w:hint="eastAsia" w:eastAsia="穝灿砰"/>
                <w:b/>
                <w:szCs w:val="21"/>
              </w:rPr>
              <w:t>马壕</w:t>
            </w:r>
            <w:r>
              <w:rPr>
                <w:rFonts w:eastAsia="穝灿砰"/>
                <w:b/>
                <w:szCs w:val="21"/>
              </w:rPr>
              <w:t>污水处理厂污水处理工艺流程图</w:t>
            </w:r>
          </w:p>
          <w:p>
            <w:pPr>
              <w:spacing w:line="360" w:lineRule="auto"/>
              <w:ind w:firstLine="480"/>
              <w:rPr>
                <w:bCs/>
                <w:kern w:val="24"/>
                <w:sz w:val="24"/>
              </w:rPr>
            </w:pPr>
            <w:r>
              <w:rPr>
                <w:bCs/>
                <w:kern w:val="24"/>
                <w:sz w:val="24"/>
                <w:lang w:bidi="en-US"/>
              </w:rPr>
              <w:t>项目所在区域内市政污水收集管网已经建成，项目排放的废水能进入</w:t>
            </w:r>
            <w:r>
              <w:rPr>
                <w:sz w:val="24"/>
              </w:rPr>
              <w:t>岳阳</w:t>
            </w:r>
            <w:r>
              <w:rPr>
                <w:rFonts w:hint="eastAsia"/>
                <w:sz w:val="24"/>
              </w:rPr>
              <w:t>市马壕</w:t>
            </w:r>
            <w:r>
              <w:rPr>
                <w:sz w:val="24"/>
              </w:rPr>
              <w:t>污水处理厂</w:t>
            </w:r>
            <w:r>
              <w:rPr>
                <w:bCs/>
                <w:kern w:val="24"/>
                <w:sz w:val="24"/>
                <w:lang w:bidi="en-US"/>
              </w:rPr>
              <w:t>深度处理。项目排放的废水</w:t>
            </w:r>
            <w:r>
              <w:rPr>
                <w:bCs/>
                <w:kern w:val="24"/>
                <w:sz w:val="24"/>
              </w:rPr>
              <w:t>经过预处理后的综合污水水质符合</w:t>
            </w:r>
            <w:r>
              <w:rPr>
                <w:sz w:val="24"/>
              </w:rPr>
              <w:t>岳阳</w:t>
            </w:r>
            <w:r>
              <w:rPr>
                <w:rFonts w:hint="eastAsia"/>
                <w:sz w:val="24"/>
              </w:rPr>
              <w:t>市马壕</w:t>
            </w:r>
            <w:r>
              <w:rPr>
                <w:sz w:val="24"/>
              </w:rPr>
              <w:t>污水处理厂</w:t>
            </w:r>
            <w:r>
              <w:rPr>
                <w:bCs/>
                <w:kern w:val="24"/>
                <w:sz w:val="24"/>
              </w:rPr>
              <w:t>进水水质要求，废水量</w:t>
            </w:r>
            <w:r>
              <w:rPr>
                <w:rFonts w:hint="eastAsia"/>
                <w:bCs/>
                <w:kern w:val="24"/>
                <w:sz w:val="24"/>
              </w:rPr>
              <w:t>8026.22</w:t>
            </w:r>
            <w:r>
              <w:rPr>
                <w:sz w:val="24"/>
              </w:rPr>
              <w:t>m</w:t>
            </w:r>
            <w:r>
              <w:rPr>
                <w:sz w:val="24"/>
                <w:vertAlign w:val="superscript"/>
              </w:rPr>
              <w:t>3</w:t>
            </w:r>
            <w:r>
              <w:rPr>
                <w:sz w:val="24"/>
              </w:rPr>
              <w:t>/d</w:t>
            </w:r>
            <w:r>
              <w:rPr>
                <w:bCs/>
                <w:kern w:val="24"/>
                <w:sz w:val="24"/>
              </w:rPr>
              <w:t>（</w:t>
            </w:r>
            <w:r>
              <w:rPr>
                <w:rFonts w:hint="eastAsia" w:hAnsi="宋体"/>
                <w:sz w:val="24"/>
              </w:rPr>
              <w:t>2929569.07</w:t>
            </w:r>
            <w:r>
              <w:rPr>
                <w:sz w:val="24"/>
              </w:rPr>
              <w:t>m</w:t>
            </w:r>
            <w:r>
              <w:rPr>
                <w:sz w:val="24"/>
                <w:vertAlign w:val="superscript"/>
              </w:rPr>
              <w:t>3</w:t>
            </w:r>
            <w:r>
              <w:rPr>
                <w:sz w:val="24"/>
              </w:rPr>
              <w:t>/</w:t>
            </w:r>
            <w:r>
              <w:rPr>
                <w:rFonts w:hint="eastAsia"/>
                <w:sz w:val="24"/>
              </w:rPr>
              <w:t>a</w:t>
            </w:r>
            <w:r>
              <w:rPr>
                <w:bCs/>
                <w:kern w:val="24"/>
                <w:sz w:val="24"/>
              </w:rPr>
              <w:t>）占</w:t>
            </w:r>
            <w:r>
              <w:rPr>
                <w:sz w:val="24"/>
              </w:rPr>
              <w:t>岳阳</w:t>
            </w:r>
            <w:r>
              <w:rPr>
                <w:rFonts w:hint="eastAsia"/>
                <w:sz w:val="24"/>
              </w:rPr>
              <w:t>市马壕</w:t>
            </w:r>
            <w:r>
              <w:rPr>
                <w:sz w:val="24"/>
              </w:rPr>
              <w:t>污水处理厂</w:t>
            </w:r>
            <w:r>
              <w:rPr>
                <w:bCs/>
                <w:kern w:val="24"/>
                <w:sz w:val="24"/>
              </w:rPr>
              <w:t>现有处理规模的</w:t>
            </w:r>
            <w:r>
              <w:rPr>
                <w:rFonts w:hint="eastAsia"/>
                <w:bCs/>
                <w:kern w:val="24"/>
                <w:sz w:val="24"/>
              </w:rPr>
              <w:t>约为8.03</w:t>
            </w:r>
            <w:r>
              <w:rPr>
                <w:bCs/>
                <w:kern w:val="24"/>
                <w:sz w:val="24"/>
              </w:rPr>
              <w:t>%，不会对污水处理厂造成污染冲击负荷。本项目废水经预处理后排入</w:t>
            </w:r>
            <w:r>
              <w:rPr>
                <w:sz w:val="24"/>
              </w:rPr>
              <w:t>岳阳</w:t>
            </w:r>
            <w:r>
              <w:rPr>
                <w:rFonts w:hint="eastAsia"/>
                <w:sz w:val="24"/>
              </w:rPr>
              <w:t>市马壕</w:t>
            </w:r>
            <w:r>
              <w:rPr>
                <w:sz w:val="24"/>
              </w:rPr>
              <w:t>污水处理厂</w:t>
            </w:r>
            <w:r>
              <w:rPr>
                <w:bCs/>
                <w:kern w:val="24"/>
                <w:sz w:val="24"/>
              </w:rPr>
              <w:t>可行。</w:t>
            </w:r>
          </w:p>
          <w:p>
            <w:pPr>
              <w:pStyle w:val="2"/>
              <w:numPr>
                <w:ilvl w:val="0"/>
                <w:numId w:val="2"/>
              </w:numPr>
              <w:ind w:firstLine="482"/>
              <w:rPr>
                <w:b/>
                <w:bCs/>
                <w:spacing w:val="8"/>
                <w:shd w:val="clear" w:color="auto" w:fill="FFFFFF"/>
              </w:rPr>
            </w:pPr>
            <w:r>
              <w:rPr>
                <w:b/>
                <w:bCs/>
              </w:rPr>
              <w:t>运营期噪声</w:t>
            </w:r>
            <w:r>
              <w:rPr>
                <w:b/>
                <w:bCs/>
                <w:spacing w:val="8"/>
                <w:shd w:val="clear" w:color="auto" w:fill="FFFFFF"/>
              </w:rPr>
              <w:t>环境影响</w:t>
            </w:r>
            <w:r>
              <w:rPr>
                <w:rFonts w:hint="eastAsia"/>
                <w:b/>
                <w:bCs/>
                <w:spacing w:val="8"/>
                <w:shd w:val="clear" w:color="auto" w:fill="FFFFFF"/>
              </w:rPr>
              <w:t>分析</w:t>
            </w:r>
          </w:p>
          <w:p>
            <w:pPr>
              <w:spacing w:line="360" w:lineRule="auto"/>
              <w:ind w:firstLine="480" w:firstLineChars="200"/>
              <w:rPr>
                <w:bCs/>
                <w:kern w:val="24"/>
                <w:sz w:val="24"/>
              </w:rPr>
            </w:pPr>
            <w:r>
              <w:rPr>
                <w:bCs/>
                <w:kern w:val="24"/>
                <w:sz w:val="24"/>
              </w:rPr>
              <w:t>项目营运期噪声源主要为社会生活噪声（包括</w:t>
            </w:r>
            <w:r>
              <w:rPr>
                <w:rFonts w:hint="eastAsia"/>
                <w:bCs/>
                <w:kern w:val="24"/>
                <w:sz w:val="24"/>
              </w:rPr>
              <w:t>幼儿园教学活动产生的社会噪声、</w:t>
            </w:r>
            <w:r>
              <w:rPr>
                <w:bCs/>
                <w:kern w:val="24"/>
                <w:sz w:val="24"/>
              </w:rPr>
              <w:t>商业区人员交流产生的人员活动噪声</w:t>
            </w:r>
            <w:r>
              <w:rPr>
                <w:rFonts w:hint="eastAsia"/>
                <w:bCs/>
                <w:kern w:val="24"/>
                <w:sz w:val="24"/>
              </w:rPr>
              <w:t>等</w:t>
            </w:r>
            <w:r>
              <w:rPr>
                <w:bCs/>
                <w:kern w:val="24"/>
                <w:sz w:val="24"/>
              </w:rPr>
              <w:t>）、车辆交通噪声（进出项目区域、进出生活区汽车噪声）及动力设备噪声（室外分体机空调噪声、配电房、水泵和风机等）。</w:t>
            </w:r>
          </w:p>
          <w:p>
            <w:pPr>
              <w:spacing w:line="360" w:lineRule="auto"/>
              <w:ind w:firstLine="480" w:firstLineChars="200"/>
              <w:rPr>
                <w:bCs/>
                <w:kern w:val="24"/>
                <w:sz w:val="24"/>
              </w:rPr>
            </w:pPr>
            <w:r>
              <w:rPr>
                <w:rFonts w:hint="eastAsia"/>
                <w:bCs/>
                <w:kern w:val="24"/>
                <w:sz w:val="24"/>
              </w:rPr>
              <w:t>幼儿园教学活动中、02#地块东侧、03#地块西侧、南侧沿街商铺以及04#地块商铺</w:t>
            </w:r>
            <w:r>
              <w:rPr>
                <w:bCs/>
                <w:kern w:val="24"/>
                <w:sz w:val="24"/>
              </w:rPr>
              <w:t>运营期间，人员对话过程将产生一定生活噪声。噪声源强一般在60～75dB(A)。项目内交通噪声主要源于进出住宅区地下车库、商铺区地面停车位进出的小汽车，由于入项目内部做到人车分流，车辆噪声仅限于地下车库内，间歇性交通噪声值约65～70dB(A)。动力设备噪声主要噪声源为配变电房、分体机室外空调机以及住宅生活区地下设备用房内电梯机组、发电机、水泵和风机等动力设备。噪声值一般为70～90dB(A)。</w:t>
            </w:r>
          </w:p>
          <w:p>
            <w:pPr>
              <w:spacing w:line="360" w:lineRule="auto"/>
              <w:ind w:firstLine="480" w:firstLineChars="200"/>
              <w:rPr>
                <w:bCs/>
                <w:kern w:val="24"/>
                <w:sz w:val="24"/>
              </w:rPr>
            </w:pPr>
            <w:r>
              <w:rPr>
                <w:rFonts w:hint="eastAsia"/>
                <w:bCs/>
                <w:kern w:val="24"/>
                <w:sz w:val="24"/>
              </w:rPr>
              <w:t>本项目噪声监测计划为：</w:t>
            </w:r>
            <w:r>
              <w:rPr>
                <w:bCs/>
                <w:kern w:val="24"/>
                <w:sz w:val="24"/>
              </w:rPr>
              <w:t>监测点</w:t>
            </w:r>
            <w:r>
              <w:rPr>
                <w:rFonts w:hint="eastAsia"/>
                <w:bCs/>
                <w:kern w:val="24"/>
                <w:sz w:val="24"/>
              </w:rPr>
              <w:t>（</w:t>
            </w:r>
            <w:r>
              <w:rPr>
                <w:bCs/>
                <w:kern w:val="24"/>
                <w:sz w:val="24"/>
              </w:rPr>
              <w:t>项目边界外1m</w:t>
            </w:r>
            <w:r>
              <w:rPr>
                <w:rFonts w:hint="eastAsia"/>
                <w:bCs/>
                <w:kern w:val="24"/>
                <w:sz w:val="24"/>
              </w:rPr>
              <w:t>）、</w:t>
            </w:r>
            <w:r>
              <w:rPr>
                <w:bCs/>
                <w:kern w:val="24"/>
                <w:sz w:val="24"/>
              </w:rPr>
              <w:t>监测项目</w:t>
            </w:r>
            <w:r>
              <w:rPr>
                <w:rFonts w:hint="eastAsia"/>
                <w:bCs/>
                <w:kern w:val="24"/>
                <w:sz w:val="24"/>
              </w:rPr>
              <w:t>（</w:t>
            </w:r>
            <w:r>
              <w:rPr>
                <w:bCs/>
                <w:kern w:val="24"/>
                <w:sz w:val="24"/>
              </w:rPr>
              <w:t>等效连续A声级Leq</w:t>
            </w:r>
            <w:r>
              <w:rPr>
                <w:rFonts w:hint="eastAsia"/>
                <w:bCs/>
                <w:kern w:val="24"/>
                <w:sz w:val="24"/>
              </w:rPr>
              <w:t>）、</w:t>
            </w:r>
            <w:r>
              <w:rPr>
                <w:bCs/>
                <w:kern w:val="24"/>
                <w:sz w:val="24"/>
              </w:rPr>
              <w:t>监测频率</w:t>
            </w:r>
            <w:r>
              <w:rPr>
                <w:rFonts w:hint="eastAsia"/>
                <w:bCs/>
                <w:kern w:val="24"/>
                <w:sz w:val="24"/>
              </w:rPr>
              <w:t>（</w:t>
            </w:r>
            <w:r>
              <w:rPr>
                <w:bCs/>
                <w:kern w:val="24"/>
                <w:sz w:val="24"/>
              </w:rPr>
              <w:t>每年监测一次</w:t>
            </w:r>
            <w:r>
              <w:rPr>
                <w:rFonts w:hint="eastAsia"/>
                <w:bCs/>
                <w:kern w:val="24"/>
                <w:sz w:val="24"/>
              </w:rPr>
              <w:t>）。</w:t>
            </w:r>
          </w:p>
          <w:p>
            <w:pPr>
              <w:pStyle w:val="9"/>
              <w:tabs>
                <w:tab w:val="left" w:pos="780"/>
              </w:tabs>
              <w:spacing w:after="0" w:line="360" w:lineRule="auto"/>
              <w:ind w:left="0" w:leftChars="0" w:firstLine="482" w:firstLineChars="200"/>
              <w:outlineLvl w:val="2"/>
              <w:rPr>
                <w:b/>
                <w:bCs/>
                <w:szCs w:val="24"/>
              </w:rPr>
            </w:pPr>
            <w:r>
              <w:rPr>
                <w:b/>
                <w:bCs/>
                <w:szCs w:val="24"/>
              </w:rPr>
              <w:t>四、运营期固废环境影响</w:t>
            </w:r>
            <w:r>
              <w:rPr>
                <w:rFonts w:hint="eastAsia"/>
                <w:b/>
                <w:bCs/>
                <w:szCs w:val="24"/>
              </w:rPr>
              <w:t>分析</w:t>
            </w:r>
          </w:p>
          <w:p>
            <w:pPr>
              <w:spacing w:line="360" w:lineRule="auto"/>
              <w:ind w:firstLine="480" w:firstLineChars="200"/>
              <w:rPr>
                <w:bCs/>
                <w:kern w:val="24"/>
                <w:sz w:val="24"/>
              </w:rPr>
            </w:pPr>
            <w:r>
              <w:rPr>
                <w:bCs/>
                <w:kern w:val="24"/>
                <w:sz w:val="24"/>
              </w:rPr>
              <w:t>项目营运期固废主要来源于住户生活垃圾</w:t>
            </w:r>
            <w:r>
              <w:rPr>
                <w:rFonts w:hint="eastAsia"/>
                <w:bCs/>
                <w:kern w:val="24"/>
                <w:sz w:val="24"/>
              </w:rPr>
              <w:t>（含养老服务设施中产生的生活垃圾）、幼儿园人员产生的生活垃圾、</w:t>
            </w:r>
            <w:r>
              <w:rPr>
                <w:bCs/>
                <w:kern w:val="24"/>
                <w:sz w:val="24"/>
              </w:rPr>
              <w:t>以及商业垃圾和小区化粪池产生的污泥等</w:t>
            </w:r>
            <w:r>
              <w:rPr>
                <w:rFonts w:hint="eastAsia"/>
                <w:bCs/>
                <w:kern w:val="24"/>
                <w:sz w:val="24"/>
              </w:rPr>
              <w:t>。</w:t>
            </w:r>
          </w:p>
          <w:p>
            <w:pPr>
              <w:spacing w:line="360" w:lineRule="auto"/>
              <w:ind w:firstLine="480" w:firstLineChars="200"/>
              <w:rPr>
                <w:bCs/>
                <w:color w:val="auto"/>
                <w:kern w:val="24"/>
                <w:sz w:val="24"/>
              </w:rPr>
            </w:pPr>
            <w:r>
              <w:rPr>
                <w:bCs/>
                <w:color w:val="auto"/>
                <w:kern w:val="24"/>
                <w:sz w:val="24"/>
              </w:rPr>
              <w:t>项目固废污染源及其处置情况如下表所示：</w:t>
            </w:r>
          </w:p>
          <w:p>
            <w:pPr>
              <w:pStyle w:val="17"/>
              <w:widowControl/>
              <w:adjustRightInd/>
              <w:snapToGrid/>
              <w:spacing w:beforeLines="0" w:line="240" w:lineRule="auto"/>
              <w:ind w:firstLine="422"/>
              <w:jc w:val="center"/>
              <w:rPr>
                <w:b/>
                <w:color w:val="auto"/>
                <w:sz w:val="21"/>
                <w:szCs w:val="18"/>
              </w:rPr>
            </w:pPr>
            <w:r>
              <w:rPr>
                <w:b/>
                <w:color w:val="auto"/>
                <w:sz w:val="21"/>
                <w:szCs w:val="18"/>
              </w:rPr>
              <w:t>表4-</w:t>
            </w:r>
            <w:r>
              <w:rPr>
                <w:rFonts w:hint="eastAsia"/>
                <w:b/>
                <w:color w:val="auto"/>
                <w:sz w:val="21"/>
                <w:szCs w:val="18"/>
              </w:rPr>
              <w:t>1</w:t>
            </w:r>
            <w:r>
              <w:rPr>
                <w:rFonts w:hint="eastAsia"/>
                <w:b/>
                <w:color w:val="auto"/>
                <w:sz w:val="21"/>
                <w:szCs w:val="18"/>
                <w:lang w:val="en-US" w:eastAsia="zh-CN"/>
              </w:rPr>
              <w:t xml:space="preserve">5 </w:t>
            </w:r>
            <w:r>
              <w:rPr>
                <w:b/>
                <w:color w:val="auto"/>
                <w:sz w:val="21"/>
                <w:szCs w:val="18"/>
              </w:rPr>
              <w:t xml:space="preserve"> </w:t>
            </w:r>
            <w:r>
              <w:rPr>
                <w:rFonts w:hint="eastAsia"/>
                <w:b/>
                <w:color w:val="auto"/>
                <w:sz w:val="21"/>
                <w:szCs w:val="18"/>
                <w:lang w:val="en-US" w:eastAsia="zh-CN"/>
              </w:rPr>
              <w:t>02#地块</w:t>
            </w:r>
            <w:r>
              <w:rPr>
                <w:b/>
                <w:color w:val="auto"/>
                <w:sz w:val="21"/>
                <w:szCs w:val="18"/>
              </w:rPr>
              <w:t>固废污染源情况表</w:t>
            </w:r>
          </w:p>
          <w:tbl>
            <w:tblPr>
              <w:tblStyle w:val="18"/>
              <w:tblW w:w="81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25"/>
              <w:gridCol w:w="1121"/>
              <w:gridCol w:w="1638"/>
              <w:gridCol w:w="817"/>
              <w:gridCol w:w="1693"/>
              <w:gridCol w:w="798"/>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0" w:hRule="atLeast"/>
                <w:jc w:val="center"/>
              </w:trPr>
              <w:tc>
                <w:tcPr>
                  <w:tcW w:w="324" w:type="dxa"/>
                  <w:vAlign w:val="center"/>
                </w:tcPr>
                <w:p>
                  <w:pPr>
                    <w:pStyle w:val="37"/>
                    <w:adjustRightInd/>
                    <w:snapToGrid/>
                    <w:spacing w:line="240" w:lineRule="auto"/>
                    <w:rPr>
                      <w:b/>
                      <w:bCs/>
                      <w:color w:val="auto"/>
                    </w:rPr>
                  </w:pPr>
                  <w:r>
                    <w:rPr>
                      <w:b/>
                      <w:bCs/>
                      <w:color w:val="auto"/>
                    </w:rPr>
                    <w:t>序号</w:t>
                  </w:r>
                </w:p>
              </w:tc>
              <w:tc>
                <w:tcPr>
                  <w:tcW w:w="1122" w:type="dxa"/>
                  <w:vAlign w:val="center"/>
                </w:tcPr>
                <w:p>
                  <w:pPr>
                    <w:pStyle w:val="37"/>
                    <w:adjustRightInd/>
                    <w:snapToGrid/>
                    <w:spacing w:line="240" w:lineRule="auto"/>
                    <w:rPr>
                      <w:b/>
                      <w:bCs/>
                      <w:color w:val="auto"/>
                    </w:rPr>
                  </w:pPr>
                  <w:r>
                    <w:rPr>
                      <w:b/>
                      <w:bCs/>
                      <w:color w:val="auto"/>
                    </w:rPr>
                    <w:t>固废名称</w:t>
                  </w:r>
                </w:p>
              </w:tc>
              <w:tc>
                <w:tcPr>
                  <w:tcW w:w="1638" w:type="dxa"/>
                  <w:vAlign w:val="center"/>
                </w:tcPr>
                <w:p>
                  <w:pPr>
                    <w:pStyle w:val="37"/>
                    <w:adjustRightInd/>
                    <w:snapToGrid/>
                    <w:spacing w:line="240" w:lineRule="auto"/>
                    <w:rPr>
                      <w:b/>
                      <w:bCs/>
                      <w:color w:val="auto"/>
                    </w:rPr>
                  </w:pPr>
                  <w:r>
                    <w:rPr>
                      <w:b/>
                      <w:bCs/>
                      <w:color w:val="auto"/>
                    </w:rPr>
                    <w:t>固体废物性质</w:t>
                  </w:r>
                </w:p>
              </w:tc>
              <w:tc>
                <w:tcPr>
                  <w:tcW w:w="817" w:type="dxa"/>
                  <w:vAlign w:val="center"/>
                </w:tcPr>
                <w:p>
                  <w:pPr>
                    <w:pStyle w:val="37"/>
                    <w:adjustRightInd/>
                    <w:snapToGrid/>
                    <w:spacing w:line="240" w:lineRule="auto"/>
                    <w:rPr>
                      <w:b/>
                      <w:bCs/>
                      <w:color w:val="auto"/>
                    </w:rPr>
                  </w:pPr>
                  <w:r>
                    <w:rPr>
                      <w:b/>
                      <w:bCs/>
                      <w:color w:val="auto"/>
                    </w:rPr>
                    <w:t>性状</w:t>
                  </w:r>
                </w:p>
              </w:tc>
              <w:tc>
                <w:tcPr>
                  <w:tcW w:w="1693" w:type="dxa"/>
                  <w:vAlign w:val="center"/>
                </w:tcPr>
                <w:p>
                  <w:pPr>
                    <w:pStyle w:val="37"/>
                    <w:adjustRightInd/>
                    <w:snapToGrid/>
                    <w:spacing w:line="240" w:lineRule="auto"/>
                    <w:rPr>
                      <w:b/>
                      <w:bCs/>
                      <w:color w:val="auto"/>
                    </w:rPr>
                  </w:pPr>
                  <w:r>
                    <w:rPr>
                      <w:b/>
                      <w:bCs/>
                      <w:color w:val="auto"/>
                    </w:rPr>
                    <w:t>规模</w:t>
                  </w:r>
                </w:p>
              </w:tc>
              <w:tc>
                <w:tcPr>
                  <w:tcW w:w="798" w:type="dxa"/>
                  <w:vAlign w:val="center"/>
                </w:tcPr>
                <w:p>
                  <w:pPr>
                    <w:pStyle w:val="37"/>
                    <w:adjustRightInd/>
                    <w:snapToGrid/>
                    <w:spacing w:line="240" w:lineRule="auto"/>
                    <w:rPr>
                      <w:b/>
                      <w:bCs/>
                      <w:color w:val="auto"/>
                    </w:rPr>
                  </w:pPr>
                  <w:r>
                    <w:rPr>
                      <w:b/>
                      <w:bCs/>
                      <w:color w:val="auto"/>
                    </w:rPr>
                    <w:t>产生量</w:t>
                  </w:r>
                </w:p>
                <w:p>
                  <w:pPr>
                    <w:pStyle w:val="37"/>
                    <w:adjustRightInd/>
                    <w:snapToGrid/>
                    <w:spacing w:line="240" w:lineRule="auto"/>
                    <w:rPr>
                      <w:b/>
                      <w:bCs/>
                      <w:color w:val="auto"/>
                    </w:rPr>
                  </w:pPr>
                  <w:r>
                    <w:rPr>
                      <w:b/>
                      <w:bCs/>
                      <w:color w:val="auto"/>
                    </w:rPr>
                    <w:t>t/a</w:t>
                  </w:r>
                </w:p>
              </w:tc>
              <w:tc>
                <w:tcPr>
                  <w:tcW w:w="1742" w:type="dxa"/>
                  <w:vAlign w:val="center"/>
                </w:tcPr>
                <w:p>
                  <w:pPr>
                    <w:pStyle w:val="37"/>
                    <w:adjustRightInd/>
                    <w:snapToGrid/>
                    <w:spacing w:line="240" w:lineRule="auto"/>
                    <w:rPr>
                      <w:b/>
                      <w:bCs/>
                      <w:color w:val="auto"/>
                    </w:rPr>
                  </w:pPr>
                  <w:r>
                    <w:rPr>
                      <w:b/>
                      <w:bCs/>
                      <w:color w:val="auto"/>
                    </w:rPr>
                    <w:t>处理或处置措施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4" w:type="dxa"/>
                  <w:vAlign w:val="center"/>
                </w:tcPr>
                <w:p>
                  <w:pPr>
                    <w:pStyle w:val="37"/>
                    <w:adjustRightInd/>
                    <w:snapToGrid/>
                    <w:spacing w:line="240" w:lineRule="auto"/>
                    <w:rPr>
                      <w:color w:val="auto"/>
                    </w:rPr>
                  </w:pPr>
                  <w:r>
                    <w:rPr>
                      <w:color w:val="auto"/>
                    </w:rPr>
                    <w:t>1</w:t>
                  </w:r>
                </w:p>
              </w:tc>
              <w:tc>
                <w:tcPr>
                  <w:tcW w:w="1122" w:type="dxa"/>
                  <w:vAlign w:val="center"/>
                </w:tcPr>
                <w:p>
                  <w:pPr>
                    <w:pStyle w:val="37"/>
                    <w:adjustRightInd/>
                    <w:snapToGrid/>
                    <w:spacing w:line="240" w:lineRule="auto"/>
                    <w:rPr>
                      <w:color w:val="auto"/>
                    </w:rPr>
                  </w:pPr>
                  <w:r>
                    <w:rPr>
                      <w:color w:val="auto"/>
                    </w:rPr>
                    <w:t>生活垃圾</w:t>
                  </w:r>
                </w:p>
              </w:tc>
              <w:tc>
                <w:tcPr>
                  <w:tcW w:w="1638" w:type="dxa"/>
                  <w:vAlign w:val="center"/>
                </w:tcPr>
                <w:p>
                  <w:pPr>
                    <w:pStyle w:val="37"/>
                    <w:adjustRightInd/>
                    <w:snapToGrid/>
                    <w:spacing w:line="240" w:lineRule="auto"/>
                    <w:rPr>
                      <w:color w:val="auto"/>
                    </w:rPr>
                  </w:pPr>
                  <w:r>
                    <w:rPr>
                      <w:color w:val="auto"/>
                    </w:rPr>
                    <w:t>一般固废</w:t>
                  </w:r>
                </w:p>
              </w:tc>
              <w:tc>
                <w:tcPr>
                  <w:tcW w:w="817" w:type="dxa"/>
                  <w:vAlign w:val="center"/>
                </w:tcPr>
                <w:p>
                  <w:pPr>
                    <w:pStyle w:val="37"/>
                    <w:adjustRightInd/>
                    <w:snapToGrid/>
                    <w:spacing w:line="240" w:lineRule="auto"/>
                    <w:rPr>
                      <w:bCs/>
                      <w:color w:val="auto"/>
                      <w:kern w:val="24"/>
                    </w:rPr>
                  </w:pPr>
                  <w:r>
                    <w:rPr>
                      <w:bCs/>
                      <w:color w:val="auto"/>
                      <w:kern w:val="24"/>
                    </w:rPr>
                    <w:t>固液混合</w:t>
                  </w:r>
                </w:p>
              </w:tc>
              <w:tc>
                <w:tcPr>
                  <w:tcW w:w="1693" w:type="dxa"/>
                  <w:vAlign w:val="center"/>
                </w:tcPr>
                <w:p>
                  <w:pPr>
                    <w:pStyle w:val="37"/>
                    <w:adjustRightInd/>
                    <w:snapToGrid/>
                    <w:spacing w:line="240" w:lineRule="auto"/>
                    <w:rPr>
                      <w:color w:val="auto"/>
                      <w:sz w:val="21"/>
                      <w:szCs w:val="21"/>
                    </w:rPr>
                  </w:pPr>
                  <w:r>
                    <w:rPr>
                      <w:rFonts w:hint="eastAsia"/>
                      <w:color w:val="auto"/>
                      <w:sz w:val="21"/>
                      <w:szCs w:val="21"/>
                    </w:rPr>
                    <w:t>3610人</w:t>
                  </w:r>
                  <w:r>
                    <w:rPr>
                      <w:color w:val="auto"/>
                      <w:sz w:val="21"/>
                      <w:szCs w:val="21"/>
                    </w:rPr>
                    <w:t>*</w:t>
                  </w:r>
                </w:p>
                <w:p>
                  <w:pPr>
                    <w:pStyle w:val="37"/>
                    <w:adjustRightInd/>
                    <w:snapToGrid/>
                    <w:spacing w:line="240" w:lineRule="auto"/>
                    <w:rPr>
                      <w:color w:val="auto"/>
                    </w:rPr>
                  </w:pPr>
                  <w:r>
                    <w:rPr>
                      <w:bCs/>
                      <w:color w:val="auto"/>
                      <w:kern w:val="24"/>
                    </w:rPr>
                    <w:t>0.</w:t>
                  </w:r>
                  <w:r>
                    <w:rPr>
                      <w:rFonts w:hint="eastAsia"/>
                      <w:bCs/>
                      <w:color w:val="auto"/>
                      <w:kern w:val="24"/>
                    </w:rPr>
                    <w:t>6</w:t>
                  </w:r>
                  <w:r>
                    <w:rPr>
                      <w:bCs/>
                      <w:color w:val="auto"/>
                      <w:kern w:val="24"/>
                    </w:rPr>
                    <w:t>kg/人·d</w:t>
                  </w:r>
                  <w:r>
                    <w:rPr>
                      <w:color w:val="auto"/>
                    </w:rPr>
                    <w:t>*365d</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790.59</w:t>
                  </w:r>
                </w:p>
              </w:tc>
              <w:tc>
                <w:tcPr>
                  <w:tcW w:w="1742" w:type="dxa"/>
                  <w:vMerge w:val="restart"/>
                  <w:vAlign w:val="center"/>
                </w:tcPr>
                <w:p>
                  <w:pPr>
                    <w:pStyle w:val="37"/>
                    <w:adjustRightInd/>
                    <w:snapToGrid/>
                    <w:spacing w:line="240" w:lineRule="auto"/>
                    <w:rPr>
                      <w:color w:val="auto"/>
                    </w:rPr>
                  </w:pPr>
                  <w:r>
                    <w:rPr>
                      <w:bCs/>
                      <w:color w:val="auto"/>
                      <w:kern w:val="24"/>
                    </w:rPr>
                    <w:t>移动式垃圾收集桶+垃圾</w:t>
                  </w:r>
                  <w:r>
                    <w:rPr>
                      <w:rFonts w:hint="eastAsia"/>
                      <w:bCs/>
                      <w:color w:val="auto"/>
                      <w:kern w:val="24"/>
                    </w:rPr>
                    <w:t>转运</w:t>
                  </w:r>
                  <w:r>
                    <w:rPr>
                      <w:bCs/>
                      <w:color w:val="auto"/>
                      <w:kern w:val="24"/>
                    </w:rPr>
                    <w:t>站+环卫部门定期转运处置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4" w:hRule="atLeast"/>
                <w:jc w:val="center"/>
              </w:trPr>
              <w:tc>
                <w:tcPr>
                  <w:tcW w:w="324" w:type="dxa"/>
                  <w:vAlign w:val="center"/>
                </w:tcPr>
                <w:p>
                  <w:pPr>
                    <w:pStyle w:val="37"/>
                    <w:adjustRightInd/>
                    <w:snapToGrid/>
                    <w:spacing w:line="240" w:lineRule="auto"/>
                    <w:rPr>
                      <w:color w:val="auto"/>
                    </w:rPr>
                  </w:pPr>
                  <w:r>
                    <w:rPr>
                      <w:rFonts w:hint="eastAsia"/>
                      <w:color w:val="auto"/>
                    </w:rPr>
                    <w:t>2</w:t>
                  </w:r>
                </w:p>
              </w:tc>
              <w:tc>
                <w:tcPr>
                  <w:tcW w:w="1122" w:type="dxa"/>
                  <w:vAlign w:val="center"/>
                </w:tcPr>
                <w:p>
                  <w:pPr>
                    <w:pStyle w:val="37"/>
                    <w:adjustRightInd/>
                    <w:snapToGrid/>
                    <w:spacing w:line="240" w:lineRule="auto"/>
                    <w:rPr>
                      <w:color w:val="auto"/>
                    </w:rPr>
                  </w:pPr>
                  <w:r>
                    <w:rPr>
                      <w:rFonts w:hint="eastAsia"/>
                      <w:color w:val="auto"/>
                    </w:rPr>
                    <w:t>生活垃圾（幼儿园）</w:t>
                  </w:r>
                </w:p>
              </w:tc>
              <w:tc>
                <w:tcPr>
                  <w:tcW w:w="1638" w:type="dxa"/>
                  <w:vAlign w:val="center"/>
                </w:tcPr>
                <w:p>
                  <w:pPr>
                    <w:jc w:val="center"/>
                    <w:rPr>
                      <w:color w:val="auto"/>
                      <w:szCs w:val="21"/>
                    </w:rPr>
                  </w:pPr>
                  <w:r>
                    <w:rPr>
                      <w:rFonts w:hint="eastAsia"/>
                      <w:color w:val="auto"/>
                      <w:szCs w:val="21"/>
                    </w:rPr>
                    <w:t>一般固废</w:t>
                  </w:r>
                </w:p>
              </w:tc>
              <w:tc>
                <w:tcPr>
                  <w:tcW w:w="817" w:type="dxa"/>
                  <w:vAlign w:val="center"/>
                </w:tcPr>
                <w:p>
                  <w:pPr>
                    <w:pStyle w:val="37"/>
                    <w:adjustRightInd/>
                    <w:snapToGrid/>
                    <w:spacing w:line="240" w:lineRule="auto"/>
                    <w:rPr>
                      <w:bCs/>
                      <w:color w:val="auto"/>
                      <w:kern w:val="24"/>
                    </w:rPr>
                  </w:pPr>
                  <w:r>
                    <w:rPr>
                      <w:bCs/>
                      <w:color w:val="auto"/>
                      <w:kern w:val="24"/>
                    </w:rPr>
                    <w:t>固液混合</w:t>
                  </w:r>
                </w:p>
              </w:tc>
              <w:tc>
                <w:tcPr>
                  <w:tcW w:w="1693" w:type="dxa"/>
                  <w:vAlign w:val="center"/>
                </w:tcPr>
                <w:p>
                  <w:pPr>
                    <w:pStyle w:val="37"/>
                    <w:adjustRightInd/>
                    <w:snapToGrid/>
                    <w:spacing w:line="240" w:lineRule="auto"/>
                    <w:rPr>
                      <w:bCs/>
                      <w:color w:val="auto"/>
                      <w:kern w:val="24"/>
                    </w:rPr>
                  </w:pPr>
                  <w:r>
                    <w:rPr>
                      <w:rFonts w:hint="eastAsia"/>
                      <w:bCs/>
                      <w:color w:val="auto"/>
                      <w:kern w:val="24"/>
                    </w:rPr>
                    <w:t>300人*</w:t>
                  </w:r>
                  <w:r>
                    <w:rPr>
                      <w:bCs/>
                      <w:color w:val="auto"/>
                      <w:kern w:val="24"/>
                    </w:rPr>
                    <w:t>0.</w:t>
                  </w:r>
                  <w:r>
                    <w:rPr>
                      <w:rFonts w:hint="eastAsia"/>
                      <w:bCs/>
                      <w:color w:val="auto"/>
                      <w:kern w:val="24"/>
                    </w:rPr>
                    <w:t>6</w:t>
                  </w:r>
                  <w:r>
                    <w:rPr>
                      <w:bCs/>
                      <w:color w:val="auto"/>
                      <w:kern w:val="24"/>
                    </w:rPr>
                    <w:t>kg/人·d</w:t>
                  </w:r>
                  <w:r>
                    <w:rPr>
                      <w:color w:val="auto"/>
                    </w:rPr>
                    <w:t>*</w:t>
                  </w:r>
                  <w:r>
                    <w:rPr>
                      <w:rFonts w:hint="eastAsia"/>
                      <w:color w:val="auto"/>
                    </w:rPr>
                    <w:t>270</w:t>
                  </w:r>
                  <w:r>
                    <w:rPr>
                      <w:color w:val="auto"/>
                    </w:rPr>
                    <w:t>d</w:t>
                  </w:r>
                </w:p>
              </w:tc>
              <w:tc>
                <w:tcPr>
                  <w:tcW w:w="798" w:type="dxa"/>
                  <w:vAlign w:val="center"/>
                </w:tcPr>
                <w:p>
                  <w:pPr>
                    <w:pStyle w:val="37"/>
                    <w:adjustRightInd/>
                    <w:snapToGrid/>
                    <w:spacing w:line="240" w:lineRule="auto"/>
                    <w:rPr>
                      <w:color w:val="auto"/>
                    </w:rPr>
                  </w:pPr>
                  <w:r>
                    <w:rPr>
                      <w:rFonts w:hint="eastAsia"/>
                      <w:color w:val="auto"/>
                    </w:rPr>
                    <w:t>48.6</w:t>
                  </w:r>
                </w:p>
              </w:tc>
              <w:tc>
                <w:tcPr>
                  <w:tcW w:w="1742" w:type="dxa"/>
                  <w:vMerge w:val="continue"/>
                  <w:vAlign w:val="center"/>
                </w:tcPr>
                <w:p>
                  <w:pPr>
                    <w:pStyle w:val="37"/>
                    <w:adjustRightInd/>
                    <w:snapToGrid/>
                    <w:spacing w:line="240" w:lineRule="auto"/>
                    <w:rPr>
                      <w:bCs/>
                      <w:color w:val="auto"/>
                      <w:kern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4" w:hRule="atLeast"/>
                <w:jc w:val="center"/>
              </w:trPr>
              <w:tc>
                <w:tcPr>
                  <w:tcW w:w="324" w:type="dxa"/>
                  <w:vAlign w:val="center"/>
                </w:tcPr>
                <w:p>
                  <w:pPr>
                    <w:pStyle w:val="37"/>
                    <w:adjustRightInd/>
                    <w:snapToGrid/>
                    <w:spacing w:line="240" w:lineRule="auto"/>
                    <w:rPr>
                      <w:color w:val="auto"/>
                    </w:rPr>
                  </w:pPr>
                  <w:r>
                    <w:rPr>
                      <w:rFonts w:hint="eastAsia"/>
                      <w:color w:val="auto"/>
                    </w:rPr>
                    <w:t>3</w:t>
                  </w:r>
                </w:p>
              </w:tc>
              <w:tc>
                <w:tcPr>
                  <w:tcW w:w="1122" w:type="dxa"/>
                  <w:vAlign w:val="center"/>
                </w:tcPr>
                <w:p>
                  <w:pPr>
                    <w:pStyle w:val="37"/>
                    <w:adjustRightInd/>
                    <w:snapToGrid/>
                    <w:spacing w:line="240" w:lineRule="auto"/>
                    <w:rPr>
                      <w:color w:val="auto"/>
                    </w:rPr>
                  </w:pPr>
                  <w:r>
                    <w:rPr>
                      <w:color w:val="auto"/>
                    </w:rPr>
                    <w:t>生活垃圾（物管及社区）</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bCs/>
                      <w:color w:val="auto"/>
                      <w:kern w:val="24"/>
                    </w:rPr>
                  </w:pPr>
                  <w:r>
                    <w:rPr>
                      <w:bCs/>
                      <w:color w:val="auto"/>
                      <w:kern w:val="24"/>
                    </w:rPr>
                    <w:t>固液混合</w:t>
                  </w:r>
                </w:p>
              </w:tc>
              <w:tc>
                <w:tcPr>
                  <w:tcW w:w="1693" w:type="dxa"/>
                  <w:vAlign w:val="center"/>
                </w:tcPr>
                <w:p>
                  <w:pPr>
                    <w:pStyle w:val="37"/>
                    <w:adjustRightInd/>
                    <w:snapToGrid/>
                    <w:spacing w:line="240" w:lineRule="auto"/>
                    <w:rPr>
                      <w:color w:val="auto"/>
                    </w:rPr>
                  </w:pPr>
                  <w:r>
                    <w:rPr>
                      <w:rFonts w:hint="eastAsia"/>
                      <w:color w:val="auto"/>
                      <w:lang w:val="en-US" w:eastAsia="zh-CN"/>
                    </w:rPr>
                    <w:t>30</w:t>
                  </w:r>
                  <w:r>
                    <w:rPr>
                      <w:color w:val="auto"/>
                    </w:rPr>
                    <w:t>人*</w:t>
                  </w:r>
                </w:p>
                <w:p>
                  <w:pPr>
                    <w:pStyle w:val="37"/>
                    <w:adjustRightInd/>
                    <w:snapToGrid/>
                    <w:spacing w:line="240" w:lineRule="auto"/>
                    <w:rPr>
                      <w:bCs/>
                      <w:color w:val="auto"/>
                      <w:kern w:val="24"/>
                    </w:rPr>
                  </w:pPr>
                  <w:r>
                    <w:rPr>
                      <w:bCs/>
                      <w:color w:val="auto"/>
                      <w:kern w:val="24"/>
                    </w:rPr>
                    <w:t>0.</w:t>
                  </w:r>
                  <w:r>
                    <w:rPr>
                      <w:rFonts w:hint="eastAsia"/>
                      <w:bCs/>
                      <w:color w:val="auto"/>
                      <w:kern w:val="24"/>
                    </w:rPr>
                    <w:t>6</w:t>
                  </w:r>
                  <w:r>
                    <w:rPr>
                      <w:bCs/>
                      <w:color w:val="auto"/>
                      <w:kern w:val="24"/>
                    </w:rPr>
                    <w:t>kg/人·d</w:t>
                  </w:r>
                  <w:r>
                    <w:rPr>
                      <w:color w:val="auto"/>
                    </w:rPr>
                    <w:t>*330d</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5.94</w:t>
                  </w:r>
                </w:p>
              </w:tc>
              <w:tc>
                <w:tcPr>
                  <w:tcW w:w="1742" w:type="dxa"/>
                  <w:vMerge w:val="continue"/>
                  <w:vAlign w:val="center"/>
                </w:tcPr>
                <w:p>
                  <w:pPr>
                    <w:pStyle w:val="37"/>
                    <w:adjustRightInd/>
                    <w:snapToGrid/>
                    <w:spacing w:line="240" w:lineRule="auto"/>
                    <w:rPr>
                      <w:bCs/>
                      <w:color w:val="auto"/>
                      <w:kern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2" w:hRule="atLeast"/>
                <w:jc w:val="center"/>
              </w:trPr>
              <w:tc>
                <w:tcPr>
                  <w:tcW w:w="324" w:type="dxa"/>
                  <w:vAlign w:val="center"/>
                </w:tcPr>
                <w:p>
                  <w:pPr>
                    <w:pStyle w:val="37"/>
                    <w:adjustRightInd/>
                    <w:snapToGrid/>
                    <w:spacing w:line="240" w:lineRule="auto"/>
                    <w:rPr>
                      <w:color w:val="auto"/>
                    </w:rPr>
                  </w:pPr>
                  <w:r>
                    <w:rPr>
                      <w:rFonts w:hint="eastAsia"/>
                      <w:color w:val="auto"/>
                    </w:rPr>
                    <w:t>4</w:t>
                  </w:r>
                </w:p>
              </w:tc>
              <w:tc>
                <w:tcPr>
                  <w:tcW w:w="1122" w:type="dxa"/>
                  <w:vAlign w:val="center"/>
                </w:tcPr>
                <w:p>
                  <w:pPr>
                    <w:pStyle w:val="37"/>
                    <w:adjustRightInd/>
                    <w:snapToGrid/>
                    <w:spacing w:line="240" w:lineRule="auto"/>
                    <w:rPr>
                      <w:color w:val="auto"/>
                    </w:rPr>
                  </w:pPr>
                  <w:r>
                    <w:rPr>
                      <w:color w:val="auto"/>
                    </w:rPr>
                    <w:t>商业垃圾</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color w:val="auto"/>
                    </w:rPr>
                  </w:pPr>
                  <w:r>
                    <w:rPr>
                      <w:color w:val="auto"/>
                    </w:rPr>
                    <w:t>固态</w:t>
                  </w:r>
                </w:p>
              </w:tc>
              <w:tc>
                <w:tcPr>
                  <w:tcW w:w="1693" w:type="dxa"/>
                  <w:vAlign w:val="center"/>
                </w:tcPr>
                <w:p>
                  <w:pPr>
                    <w:pStyle w:val="37"/>
                    <w:adjustRightInd/>
                    <w:snapToGrid/>
                    <w:spacing w:line="240" w:lineRule="auto"/>
                    <w:rPr>
                      <w:color w:val="auto"/>
                    </w:rPr>
                  </w:pPr>
                  <w:r>
                    <w:rPr>
                      <w:color w:val="auto"/>
                    </w:rPr>
                    <w:t>0.1kg/m</w:t>
                  </w:r>
                  <w:r>
                    <w:rPr>
                      <w:color w:val="auto"/>
                      <w:vertAlign w:val="superscript"/>
                    </w:rPr>
                    <w:t>2</w:t>
                  </w:r>
                  <w:r>
                    <w:rPr>
                      <w:color w:val="auto"/>
                    </w:rPr>
                    <w:t>·d*</w:t>
                  </w:r>
                </w:p>
                <w:p>
                  <w:pPr>
                    <w:pStyle w:val="37"/>
                    <w:adjustRightInd/>
                    <w:snapToGrid/>
                    <w:spacing w:line="240" w:lineRule="auto"/>
                    <w:rPr>
                      <w:rFonts w:hint="eastAsia" w:eastAsia="宋体"/>
                      <w:color w:val="auto"/>
                      <w:lang w:val="en-US" w:eastAsia="zh-CN"/>
                    </w:rPr>
                  </w:pPr>
                  <w:r>
                    <w:rPr>
                      <w:rFonts w:hint="eastAsia"/>
                      <w:color w:val="auto"/>
                      <w:szCs w:val="21"/>
                      <w:lang w:val="en-US" w:eastAsia="zh-CN"/>
                    </w:rPr>
                    <w:t>1497.229</w:t>
                  </w:r>
                  <w:r>
                    <w:rPr>
                      <w:color w:val="auto"/>
                    </w:rPr>
                    <w:t>m</w:t>
                  </w:r>
                  <w:r>
                    <w:rPr>
                      <w:color w:val="auto"/>
                      <w:vertAlign w:val="superscript"/>
                    </w:rPr>
                    <w:t>2</w:t>
                  </w:r>
                  <w:r>
                    <w:rPr>
                      <w:rFonts w:hint="eastAsia"/>
                      <w:color w:val="auto"/>
                    </w:rPr>
                    <w:t>*365</w:t>
                  </w:r>
                  <w:r>
                    <w:rPr>
                      <w:rFonts w:hint="eastAsia"/>
                      <w:color w:val="auto"/>
                      <w:lang w:val="en-US" w:eastAsia="zh-CN"/>
                    </w:rPr>
                    <w:t>d</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54.65</w:t>
                  </w:r>
                </w:p>
              </w:tc>
              <w:tc>
                <w:tcPr>
                  <w:tcW w:w="1742" w:type="dxa"/>
                  <w:vMerge w:val="continue"/>
                  <w:vAlign w:val="center"/>
                </w:tcPr>
                <w:p>
                  <w:pPr>
                    <w:pStyle w:val="37"/>
                    <w:adjustRightInd/>
                    <w:snapToGrid/>
                    <w:spacing w:line="24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4" w:type="dxa"/>
                  <w:vAlign w:val="center"/>
                </w:tcPr>
                <w:p>
                  <w:pPr>
                    <w:pStyle w:val="37"/>
                    <w:adjustRightInd/>
                    <w:snapToGrid/>
                    <w:spacing w:line="240" w:lineRule="auto"/>
                    <w:rPr>
                      <w:color w:val="auto"/>
                    </w:rPr>
                  </w:pPr>
                  <w:r>
                    <w:rPr>
                      <w:rFonts w:hint="eastAsia"/>
                      <w:color w:val="auto"/>
                    </w:rPr>
                    <w:t>5</w:t>
                  </w:r>
                </w:p>
              </w:tc>
              <w:tc>
                <w:tcPr>
                  <w:tcW w:w="1122" w:type="dxa"/>
                  <w:vAlign w:val="center"/>
                </w:tcPr>
                <w:p>
                  <w:pPr>
                    <w:pStyle w:val="37"/>
                    <w:adjustRightInd/>
                    <w:snapToGrid/>
                    <w:spacing w:line="240" w:lineRule="auto"/>
                    <w:rPr>
                      <w:color w:val="auto"/>
                    </w:rPr>
                  </w:pPr>
                  <w:r>
                    <w:rPr>
                      <w:color w:val="auto"/>
                    </w:rPr>
                    <w:t>化粪池污泥</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bCs/>
                      <w:color w:val="auto"/>
                      <w:kern w:val="24"/>
                    </w:rPr>
                  </w:pPr>
                  <w:r>
                    <w:rPr>
                      <w:bCs/>
                      <w:color w:val="auto"/>
                      <w:kern w:val="24"/>
                    </w:rPr>
                    <w:t>固液</w:t>
                  </w:r>
                </w:p>
                <w:p>
                  <w:pPr>
                    <w:pStyle w:val="37"/>
                    <w:adjustRightInd/>
                    <w:snapToGrid/>
                    <w:spacing w:line="240" w:lineRule="auto"/>
                    <w:rPr>
                      <w:bCs/>
                      <w:color w:val="auto"/>
                      <w:kern w:val="24"/>
                    </w:rPr>
                  </w:pPr>
                  <w:r>
                    <w:rPr>
                      <w:bCs/>
                      <w:color w:val="auto"/>
                      <w:kern w:val="24"/>
                    </w:rPr>
                    <w:t>混合</w:t>
                  </w:r>
                </w:p>
              </w:tc>
              <w:tc>
                <w:tcPr>
                  <w:tcW w:w="1693" w:type="dxa"/>
                  <w:vAlign w:val="center"/>
                </w:tcPr>
                <w:p>
                  <w:pPr>
                    <w:pStyle w:val="37"/>
                    <w:adjustRightInd/>
                    <w:snapToGrid/>
                    <w:spacing w:line="240" w:lineRule="auto"/>
                    <w:rPr>
                      <w:color w:val="auto"/>
                    </w:rPr>
                  </w:pPr>
                  <w:r>
                    <w:rPr>
                      <w:color w:val="auto"/>
                    </w:rPr>
                    <w:t>/</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38.08</w:t>
                  </w:r>
                </w:p>
              </w:tc>
              <w:tc>
                <w:tcPr>
                  <w:tcW w:w="1742" w:type="dxa"/>
                  <w:vAlign w:val="center"/>
                </w:tcPr>
                <w:p>
                  <w:pPr>
                    <w:pStyle w:val="37"/>
                    <w:adjustRightInd/>
                    <w:snapToGrid/>
                    <w:spacing w:line="240" w:lineRule="auto"/>
                    <w:rPr>
                      <w:color w:val="auto"/>
                    </w:rPr>
                  </w:pPr>
                  <w:r>
                    <w:rPr>
                      <w:color w:val="auto"/>
                    </w:rPr>
                    <w:t>定期清掏</w:t>
                  </w:r>
                  <w:r>
                    <w:rPr>
                      <w:bCs/>
                      <w:color w:val="auto"/>
                      <w:kern w:val="24"/>
                    </w:rPr>
                    <w:t>+环卫部门无害化处置</w:t>
                  </w:r>
                </w:p>
              </w:tc>
            </w:tr>
          </w:tbl>
          <w:p>
            <w:pPr>
              <w:pStyle w:val="17"/>
              <w:widowControl/>
              <w:adjustRightInd/>
              <w:snapToGrid/>
              <w:spacing w:beforeLines="0" w:line="240" w:lineRule="auto"/>
              <w:ind w:left="0" w:leftChars="0" w:firstLine="0" w:firstLineChars="0"/>
              <w:jc w:val="center"/>
              <w:rPr>
                <w:b/>
                <w:color w:val="auto"/>
                <w:sz w:val="21"/>
                <w:szCs w:val="18"/>
              </w:rPr>
            </w:pPr>
            <w:r>
              <w:rPr>
                <w:b/>
                <w:color w:val="auto"/>
                <w:sz w:val="21"/>
                <w:szCs w:val="18"/>
              </w:rPr>
              <w:t>表4-</w:t>
            </w:r>
            <w:r>
              <w:rPr>
                <w:rFonts w:hint="eastAsia"/>
                <w:b/>
                <w:color w:val="auto"/>
                <w:sz w:val="21"/>
                <w:szCs w:val="18"/>
              </w:rPr>
              <w:t>1</w:t>
            </w:r>
            <w:r>
              <w:rPr>
                <w:rFonts w:hint="eastAsia"/>
                <w:b/>
                <w:color w:val="auto"/>
                <w:sz w:val="21"/>
                <w:szCs w:val="18"/>
                <w:lang w:val="en-US" w:eastAsia="zh-CN"/>
              </w:rPr>
              <w:t>6</w:t>
            </w:r>
            <w:r>
              <w:rPr>
                <w:b/>
                <w:color w:val="auto"/>
                <w:sz w:val="21"/>
                <w:szCs w:val="18"/>
              </w:rPr>
              <w:t xml:space="preserve"> </w:t>
            </w:r>
            <w:r>
              <w:rPr>
                <w:rFonts w:hint="eastAsia"/>
                <w:b/>
                <w:color w:val="auto"/>
                <w:sz w:val="21"/>
                <w:szCs w:val="18"/>
                <w:lang w:val="en-US" w:eastAsia="zh-CN"/>
              </w:rPr>
              <w:t xml:space="preserve"> 03#地块</w:t>
            </w:r>
            <w:r>
              <w:rPr>
                <w:b/>
                <w:color w:val="auto"/>
                <w:sz w:val="21"/>
                <w:szCs w:val="18"/>
              </w:rPr>
              <w:t>固废污染源情况表</w:t>
            </w:r>
          </w:p>
          <w:tbl>
            <w:tblPr>
              <w:tblStyle w:val="18"/>
              <w:tblW w:w="81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25"/>
              <w:gridCol w:w="1121"/>
              <w:gridCol w:w="1638"/>
              <w:gridCol w:w="817"/>
              <w:gridCol w:w="1693"/>
              <w:gridCol w:w="798"/>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0" w:hRule="atLeast"/>
                <w:jc w:val="center"/>
              </w:trPr>
              <w:tc>
                <w:tcPr>
                  <w:tcW w:w="325" w:type="dxa"/>
                  <w:vAlign w:val="center"/>
                </w:tcPr>
                <w:p>
                  <w:pPr>
                    <w:pStyle w:val="37"/>
                    <w:adjustRightInd/>
                    <w:snapToGrid/>
                    <w:spacing w:line="240" w:lineRule="auto"/>
                    <w:rPr>
                      <w:b/>
                      <w:bCs/>
                      <w:color w:val="auto"/>
                    </w:rPr>
                  </w:pPr>
                  <w:r>
                    <w:rPr>
                      <w:b/>
                      <w:bCs/>
                      <w:color w:val="auto"/>
                    </w:rPr>
                    <w:t>序号</w:t>
                  </w:r>
                </w:p>
              </w:tc>
              <w:tc>
                <w:tcPr>
                  <w:tcW w:w="1121" w:type="dxa"/>
                  <w:vAlign w:val="center"/>
                </w:tcPr>
                <w:p>
                  <w:pPr>
                    <w:pStyle w:val="37"/>
                    <w:adjustRightInd/>
                    <w:snapToGrid/>
                    <w:spacing w:line="240" w:lineRule="auto"/>
                    <w:rPr>
                      <w:b/>
                      <w:bCs/>
                      <w:color w:val="auto"/>
                    </w:rPr>
                  </w:pPr>
                  <w:r>
                    <w:rPr>
                      <w:b/>
                      <w:bCs/>
                      <w:color w:val="auto"/>
                    </w:rPr>
                    <w:t>固废名称</w:t>
                  </w:r>
                </w:p>
              </w:tc>
              <w:tc>
                <w:tcPr>
                  <w:tcW w:w="1638" w:type="dxa"/>
                  <w:vAlign w:val="center"/>
                </w:tcPr>
                <w:p>
                  <w:pPr>
                    <w:pStyle w:val="37"/>
                    <w:adjustRightInd/>
                    <w:snapToGrid/>
                    <w:spacing w:line="240" w:lineRule="auto"/>
                    <w:rPr>
                      <w:b/>
                      <w:bCs/>
                      <w:color w:val="auto"/>
                    </w:rPr>
                  </w:pPr>
                  <w:r>
                    <w:rPr>
                      <w:b/>
                      <w:bCs/>
                      <w:color w:val="auto"/>
                    </w:rPr>
                    <w:t>固体废物性质</w:t>
                  </w:r>
                </w:p>
              </w:tc>
              <w:tc>
                <w:tcPr>
                  <w:tcW w:w="817" w:type="dxa"/>
                  <w:vAlign w:val="center"/>
                </w:tcPr>
                <w:p>
                  <w:pPr>
                    <w:pStyle w:val="37"/>
                    <w:adjustRightInd/>
                    <w:snapToGrid/>
                    <w:spacing w:line="240" w:lineRule="auto"/>
                    <w:rPr>
                      <w:b/>
                      <w:bCs/>
                      <w:color w:val="auto"/>
                    </w:rPr>
                  </w:pPr>
                  <w:r>
                    <w:rPr>
                      <w:b/>
                      <w:bCs/>
                      <w:color w:val="auto"/>
                    </w:rPr>
                    <w:t>性状</w:t>
                  </w:r>
                </w:p>
              </w:tc>
              <w:tc>
                <w:tcPr>
                  <w:tcW w:w="1693" w:type="dxa"/>
                  <w:vAlign w:val="center"/>
                </w:tcPr>
                <w:p>
                  <w:pPr>
                    <w:pStyle w:val="37"/>
                    <w:adjustRightInd/>
                    <w:snapToGrid/>
                    <w:spacing w:line="240" w:lineRule="auto"/>
                    <w:rPr>
                      <w:b/>
                      <w:bCs/>
                      <w:color w:val="auto"/>
                    </w:rPr>
                  </w:pPr>
                  <w:r>
                    <w:rPr>
                      <w:b/>
                      <w:bCs/>
                      <w:color w:val="auto"/>
                    </w:rPr>
                    <w:t>规模</w:t>
                  </w:r>
                </w:p>
              </w:tc>
              <w:tc>
                <w:tcPr>
                  <w:tcW w:w="798" w:type="dxa"/>
                  <w:vAlign w:val="center"/>
                </w:tcPr>
                <w:p>
                  <w:pPr>
                    <w:pStyle w:val="37"/>
                    <w:adjustRightInd/>
                    <w:snapToGrid/>
                    <w:spacing w:line="240" w:lineRule="auto"/>
                    <w:rPr>
                      <w:b/>
                      <w:bCs/>
                      <w:color w:val="auto"/>
                    </w:rPr>
                  </w:pPr>
                  <w:r>
                    <w:rPr>
                      <w:b/>
                      <w:bCs/>
                      <w:color w:val="auto"/>
                    </w:rPr>
                    <w:t>产生量</w:t>
                  </w:r>
                </w:p>
                <w:p>
                  <w:pPr>
                    <w:pStyle w:val="37"/>
                    <w:adjustRightInd/>
                    <w:snapToGrid/>
                    <w:spacing w:line="240" w:lineRule="auto"/>
                    <w:rPr>
                      <w:b/>
                      <w:bCs/>
                      <w:color w:val="auto"/>
                    </w:rPr>
                  </w:pPr>
                  <w:r>
                    <w:rPr>
                      <w:b/>
                      <w:bCs/>
                      <w:color w:val="auto"/>
                    </w:rPr>
                    <w:t>t/a</w:t>
                  </w:r>
                </w:p>
              </w:tc>
              <w:tc>
                <w:tcPr>
                  <w:tcW w:w="1742" w:type="dxa"/>
                  <w:vAlign w:val="center"/>
                </w:tcPr>
                <w:p>
                  <w:pPr>
                    <w:pStyle w:val="37"/>
                    <w:adjustRightInd/>
                    <w:snapToGrid/>
                    <w:spacing w:line="240" w:lineRule="auto"/>
                    <w:rPr>
                      <w:b/>
                      <w:bCs/>
                      <w:color w:val="auto"/>
                    </w:rPr>
                  </w:pPr>
                  <w:r>
                    <w:rPr>
                      <w:b/>
                      <w:bCs/>
                      <w:color w:val="auto"/>
                    </w:rPr>
                    <w:t>处理或处置措施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5" w:type="dxa"/>
                  <w:vAlign w:val="center"/>
                </w:tcPr>
                <w:p>
                  <w:pPr>
                    <w:pStyle w:val="37"/>
                    <w:adjustRightInd/>
                    <w:snapToGrid/>
                    <w:spacing w:line="240" w:lineRule="auto"/>
                    <w:rPr>
                      <w:color w:val="auto"/>
                    </w:rPr>
                  </w:pPr>
                  <w:r>
                    <w:rPr>
                      <w:color w:val="auto"/>
                    </w:rPr>
                    <w:t>1</w:t>
                  </w:r>
                </w:p>
              </w:tc>
              <w:tc>
                <w:tcPr>
                  <w:tcW w:w="1121" w:type="dxa"/>
                  <w:vAlign w:val="center"/>
                </w:tcPr>
                <w:p>
                  <w:pPr>
                    <w:pStyle w:val="37"/>
                    <w:adjustRightInd/>
                    <w:snapToGrid/>
                    <w:spacing w:line="240" w:lineRule="auto"/>
                    <w:rPr>
                      <w:color w:val="auto"/>
                    </w:rPr>
                  </w:pPr>
                  <w:r>
                    <w:rPr>
                      <w:color w:val="auto"/>
                    </w:rPr>
                    <w:t>生活垃圾</w:t>
                  </w:r>
                </w:p>
              </w:tc>
              <w:tc>
                <w:tcPr>
                  <w:tcW w:w="1638" w:type="dxa"/>
                  <w:vAlign w:val="center"/>
                </w:tcPr>
                <w:p>
                  <w:pPr>
                    <w:pStyle w:val="37"/>
                    <w:adjustRightInd/>
                    <w:snapToGrid/>
                    <w:spacing w:line="240" w:lineRule="auto"/>
                    <w:rPr>
                      <w:color w:val="auto"/>
                    </w:rPr>
                  </w:pPr>
                  <w:r>
                    <w:rPr>
                      <w:color w:val="auto"/>
                    </w:rPr>
                    <w:t>一般固废</w:t>
                  </w:r>
                </w:p>
              </w:tc>
              <w:tc>
                <w:tcPr>
                  <w:tcW w:w="817" w:type="dxa"/>
                  <w:vAlign w:val="center"/>
                </w:tcPr>
                <w:p>
                  <w:pPr>
                    <w:pStyle w:val="37"/>
                    <w:adjustRightInd/>
                    <w:snapToGrid/>
                    <w:spacing w:line="240" w:lineRule="auto"/>
                    <w:rPr>
                      <w:bCs/>
                      <w:color w:val="auto"/>
                      <w:kern w:val="24"/>
                    </w:rPr>
                  </w:pPr>
                  <w:r>
                    <w:rPr>
                      <w:bCs/>
                      <w:color w:val="auto"/>
                      <w:kern w:val="24"/>
                    </w:rPr>
                    <w:t>固液混合</w:t>
                  </w:r>
                </w:p>
              </w:tc>
              <w:tc>
                <w:tcPr>
                  <w:tcW w:w="1693" w:type="dxa"/>
                  <w:vAlign w:val="center"/>
                </w:tcPr>
                <w:p>
                  <w:pPr>
                    <w:pStyle w:val="37"/>
                    <w:adjustRightInd/>
                    <w:snapToGrid/>
                    <w:spacing w:line="240" w:lineRule="auto"/>
                    <w:rPr>
                      <w:color w:val="auto"/>
                      <w:sz w:val="21"/>
                      <w:szCs w:val="21"/>
                    </w:rPr>
                  </w:pPr>
                  <w:r>
                    <w:rPr>
                      <w:rFonts w:hint="eastAsia"/>
                      <w:color w:val="auto"/>
                      <w:sz w:val="21"/>
                      <w:szCs w:val="21"/>
                      <w:lang w:val="en-US" w:eastAsia="zh-CN"/>
                    </w:rPr>
                    <w:t>2931</w:t>
                  </w:r>
                  <w:r>
                    <w:rPr>
                      <w:color w:val="auto"/>
                      <w:sz w:val="21"/>
                      <w:szCs w:val="21"/>
                    </w:rPr>
                    <w:t>人*</w:t>
                  </w:r>
                </w:p>
                <w:p>
                  <w:pPr>
                    <w:pStyle w:val="37"/>
                    <w:adjustRightInd/>
                    <w:snapToGrid/>
                    <w:spacing w:line="240" w:lineRule="auto"/>
                    <w:rPr>
                      <w:color w:val="auto"/>
                      <w:sz w:val="21"/>
                      <w:szCs w:val="21"/>
                    </w:rPr>
                  </w:pPr>
                  <w:r>
                    <w:rPr>
                      <w:bCs/>
                      <w:color w:val="auto"/>
                      <w:kern w:val="24"/>
                      <w:sz w:val="21"/>
                      <w:szCs w:val="21"/>
                    </w:rPr>
                    <w:t>0.</w:t>
                  </w:r>
                  <w:r>
                    <w:rPr>
                      <w:rFonts w:hint="eastAsia"/>
                      <w:bCs/>
                      <w:color w:val="auto"/>
                      <w:kern w:val="24"/>
                      <w:sz w:val="21"/>
                      <w:szCs w:val="21"/>
                    </w:rPr>
                    <w:t>6</w:t>
                  </w:r>
                  <w:r>
                    <w:rPr>
                      <w:bCs/>
                      <w:color w:val="auto"/>
                      <w:kern w:val="24"/>
                      <w:sz w:val="21"/>
                      <w:szCs w:val="21"/>
                    </w:rPr>
                    <w:t>kg/人·d</w:t>
                  </w:r>
                  <w:r>
                    <w:rPr>
                      <w:color w:val="auto"/>
                      <w:sz w:val="21"/>
                      <w:szCs w:val="21"/>
                    </w:rPr>
                    <w:t>*365d</w:t>
                  </w:r>
                </w:p>
              </w:tc>
              <w:tc>
                <w:tcPr>
                  <w:tcW w:w="798" w:type="dxa"/>
                  <w:vAlign w:val="center"/>
                </w:tcPr>
                <w:p>
                  <w:pPr>
                    <w:pStyle w:val="37"/>
                    <w:adjustRightInd/>
                    <w:snapToGrid/>
                    <w:spacing w:line="240" w:lineRule="auto"/>
                    <w:rPr>
                      <w:color w:val="auto"/>
                      <w:sz w:val="21"/>
                      <w:szCs w:val="21"/>
                    </w:rPr>
                  </w:pPr>
                  <w:r>
                    <w:rPr>
                      <w:rFonts w:hint="eastAsia" w:cs="Times New Roman"/>
                      <w:color w:val="auto"/>
                      <w:sz w:val="21"/>
                      <w:szCs w:val="21"/>
                      <w:lang w:val="en-US" w:eastAsia="zh-CN"/>
                    </w:rPr>
                    <w:t>641.889</w:t>
                  </w:r>
                </w:p>
              </w:tc>
              <w:tc>
                <w:tcPr>
                  <w:tcW w:w="1742" w:type="dxa"/>
                  <w:vMerge w:val="restart"/>
                  <w:vAlign w:val="center"/>
                </w:tcPr>
                <w:p>
                  <w:pPr>
                    <w:pStyle w:val="37"/>
                    <w:adjustRightInd/>
                    <w:snapToGrid/>
                    <w:spacing w:line="240" w:lineRule="auto"/>
                    <w:rPr>
                      <w:color w:val="auto"/>
                    </w:rPr>
                  </w:pPr>
                  <w:r>
                    <w:rPr>
                      <w:bCs/>
                      <w:color w:val="auto"/>
                      <w:kern w:val="24"/>
                    </w:rPr>
                    <w:t>移动式垃圾收集桶+垃圾</w:t>
                  </w:r>
                  <w:r>
                    <w:rPr>
                      <w:rFonts w:hint="eastAsia"/>
                      <w:bCs/>
                      <w:color w:val="auto"/>
                      <w:kern w:val="24"/>
                    </w:rPr>
                    <w:t>转运</w:t>
                  </w:r>
                  <w:r>
                    <w:rPr>
                      <w:bCs/>
                      <w:color w:val="auto"/>
                      <w:kern w:val="24"/>
                    </w:rPr>
                    <w:t>站+环卫部门定期转运处置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4"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2</w:t>
                  </w:r>
                </w:p>
              </w:tc>
              <w:tc>
                <w:tcPr>
                  <w:tcW w:w="1121" w:type="dxa"/>
                  <w:vAlign w:val="center"/>
                </w:tcPr>
                <w:p>
                  <w:pPr>
                    <w:pStyle w:val="37"/>
                    <w:adjustRightInd/>
                    <w:snapToGrid/>
                    <w:spacing w:line="240" w:lineRule="auto"/>
                    <w:rPr>
                      <w:color w:val="auto"/>
                    </w:rPr>
                  </w:pPr>
                  <w:r>
                    <w:rPr>
                      <w:color w:val="auto"/>
                    </w:rPr>
                    <w:t>生活垃圾（物管）</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bCs/>
                      <w:color w:val="auto"/>
                      <w:kern w:val="24"/>
                    </w:rPr>
                  </w:pPr>
                  <w:r>
                    <w:rPr>
                      <w:bCs/>
                      <w:color w:val="auto"/>
                      <w:kern w:val="24"/>
                    </w:rPr>
                    <w:t>固液混合</w:t>
                  </w:r>
                </w:p>
              </w:tc>
              <w:tc>
                <w:tcPr>
                  <w:tcW w:w="1693" w:type="dxa"/>
                  <w:vAlign w:val="center"/>
                </w:tcPr>
                <w:p>
                  <w:pPr>
                    <w:pStyle w:val="37"/>
                    <w:adjustRightInd/>
                    <w:snapToGrid/>
                    <w:spacing w:line="240" w:lineRule="auto"/>
                    <w:rPr>
                      <w:color w:val="auto"/>
                    </w:rPr>
                  </w:pPr>
                  <w:r>
                    <w:rPr>
                      <w:rFonts w:hint="eastAsia"/>
                      <w:color w:val="auto"/>
                      <w:lang w:val="en-US" w:eastAsia="zh-CN"/>
                    </w:rPr>
                    <w:t>15</w:t>
                  </w:r>
                  <w:r>
                    <w:rPr>
                      <w:color w:val="auto"/>
                    </w:rPr>
                    <w:t>人*</w:t>
                  </w:r>
                </w:p>
                <w:p>
                  <w:pPr>
                    <w:pStyle w:val="37"/>
                    <w:adjustRightInd/>
                    <w:snapToGrid/>
                    <w:spacing w:line="240" w:lineRule="auto"/>
                    <w:rPr>
                      <w:bCs/>
                      <w:color w:val="auto"/>
                      <w:kern w:val="24"/>
                    </w:rPr>
                  </w:pPr>
                  <w:r>
                    <w:rPr>
                      <w:bCs/>
                      <w:color w:val="auto"/>
                      <w:kern w:val="24"/>
                    </w:rPr>
                    <w:t>0.</w:t>
                  </w:r>
                  <w:r>
                    <w:rPr>
                      <w:rFonts w:hint="eastAsia"/>
                      <w:bCs/>
                      <w:color w:val="auto"/>
                      <w:kern w:val="24"/>
                    </w:rPr>
                    <w:t>6</w:t>
                  </w:r>
                  <w:r>
                    <w:rPr>
                      <w:bCs/>
                      <w:color w:val="auto"/>
                      <w:kern w:val="24"/>
                    </w:rPr>
                    <w:t>kg/人·d</w:t>
                  </w:r>
                  <w:r>
                    <w:rPr>
                      <w:color w:val="auto"/>
                    </w:rPr>
                    <w:t>*330d</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2.97</w:t>
                  </w:r>
                </w:p>
              </w:tc>
              <w:tc>
                <w:tcPr>
                  <w:tcW w:w="1742" w:type="dxa"/>
                  <w:vMerge w:val="continue"/>
                  <w:vAlign w:val="center"/>
                </w:tcPr>
                <w:p>
                  <w:pPr>
                    <w:pStyle w:val="37"/>
                    <w:adjustRightInd/>
                    <w:snapToGrid/>
                    <w:spacing w:line="240" w:lineRule="auto"/>
                    <w:rPr>
                      <w:bCs/>
                      <w:color w:val="auto"/>
                      <w:kern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2"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3</w:t>
                  </w:r>
                </w:p>
              </w:tc>
              <w:tc>
                <w:tcPr>
                  <w:tcW w:w="1121" w:type="dxa"/>
                  <w:vAlign w:val="center"/>
                </w:tcPr>
                <w:p>
                  <w:pPr>
                    <w:pStyle w:val="37"/>
                    <w:adjustRightInd/>
                    <w:snapToGrid/>
                    <w:spacing w:line="240" w:lineRule="auto"/>
                    <w:rPr>
                      <w:color w:val="auto"/>
                    </w:rPr>
                  </w:pPr>
                  <w:r>
                    <w:rPr>
                      <w:color w:val="auto"/>
                    </w:rPr>
                    <w:t>商业垃圾</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color w:val="auto"/>
                    </w:rPr>
                  </w:pPr>
                  <w:r>
                    <w:rPr>
                      <w:color w:val="auto"/>
                    </w:rPr>
                    <w:t>固态</w:t>
                  </w:r>
                </w:p>
              </w:tc>
              <w:tc>
                <w:tcPr>
                  <w:tcW w:w="1693" w:type="dxa"/>
                  <w:vAlign w:val="center"/>
                </w:tcPr>
                <w:p>
                  <w:pPr>
                    <w:pStyle w:val="37"/>
                    <w:adjustRightInd/>
                    <w:snapToGrid/>
                    <w:spacing w:line="240" w:lineRule="auto"/>
                    <w:rPr>
                      <w:color w:val="auto"/>
                    </w:rPr>
                  </w:pPr>
                  <w:r>
                    <w:rPr>
                      <w:color w:val="auto"/>
                    </w:rPr>
                    <w:t>0.1kg/m</w:t>
                  </w:r>
                  <w:r>
                    <w:rPr>
                      <w:color w:val="auto"/>
                      <w:vertAlign w:val="superscript"/>
                    </w:rPr>
                    <w:t>2</w:t>
                  </w:r>
                  <w:r>
                    <w:rPr>
                      <w:color w:val="auto"/>
                    </w:rPr>
                    <w:t>·d*</w:t>
                  </w:r>
                </w:p>
                <w:p>
                  <w:pPr>
                    <w:pStyle w:val="37"/>
                    <w:adjustRightInd/>
                    <w:snapToGrid/>
                    <w:spacing w:line="240" w:lineRule="auto"/>
                    <w:rPr>
                      <w:rFonts w:hint="eastAsia" w:eastAsia="宋体"/>
                      <w:color w:val="auto"/>
                      <w:lang w:val="en-US" w:eastAsia="zh-CN"/>
                    </w:rPr>
                  </w:pPr>
                  <w:r>
                    <w:rPr>
                      <w:rFonts w:hint="eastAsia"/>
                      <w:color w:val="auto"/>
                      <w:szCs w:val="21"/>
                      <w:lang w:val="en-US" w:eastAsia="zh-CN"/>
                    </w:rPr>
                    <w:t>1602.964</w:t>
                  </w:r>
                  <w:r>
                    <w:rPr>
                      <w:color w:val="auto"/>
                    </w:rPr>
                    <w:t>m</w:t>
                  </w:r>
                  <w:r>
                    <w:rPr>
                      <w:color w:val="auto"/>
                      <w:vertAlign w:val="superscript"/>
                    </w:rPr>
                    <w:t>2</w:t>
                  </w:r>
                  <w:r>
                    <w:rPr>
                      <w:rFonts w:hint="eastAsia"/>
                      <w:color w:val="auto"/>
                    </w:rPr>
                    <w:t>*365</w:t>
                  </w:r>
                  <w:r>
                    <w:rPr>
                      <w:rFonts w:hint="eastAsia"/>
                      <w:color w:val="auto"/>
                      <w:lang w:val="en-US" w:eastAsia="zh-CN"/>
                    </w:rPr>
                    <w:t>d</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58.5</w:t>
                  </w:r>
                </w:p>
              </w:tc>
              <w:tc>
                <w:tcPr>
                  <w:tcW w:w="1742" w:type="dxa"/>
                  <w:vMerge w:val="continue"/>
                  <w:vAlign w:val="center"/>
                </w:tcPr>
                <w:p>
                  <w:pPr>
                    <w:pStyle w:val="37"/>
                    <w:adjustRightInd/>
                    <w:snapToGrid/>
                    <w:spacing w:line="24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4</w:t>
                  </w:r>
                </w:p>
              </w:tc>
              <w:tc>
                <w:tcPr>
                  <w:tcW w:w="1121" w:type="dxa"/>
                  <w:vAlign w:val="center"/>
                </w:tcPr>
                <w:p>
                  <w:pPr>
                    <w:pStyle w:val="37"/>
                    <w:adjustRightInd/>
                    <w:snapToGrid/>
                    <w:spacing w:line="240" w:lineRule="auto"/>
                    <w:rPr>
                      <w:color w:val="auto"/>
                    </w:rPr>
                  </w:pPr>
                  <w:r>
                    <w:rPr>
                      <w:color w:val="auto"/>
                    </w:rPr>
                    <w:t>化粪池污泥</w:t>
                  </w:r>
                </w:p>
              </w:tc>
              <w:tc>
                <w:tcPr>
                  <w:tcW w:w="1638" w:type="dxa"/>
                  <w:vAlign w:val="center"/>
                </w:tcPr>
                <w:p>
                  <w:pPr>
                    <w:jc w:val="center"/>
                    <w:rPr>
                      <w:color w:val="auto"/>
                      <w:szCs w:val="21"/>
                    </w:rPr>
                  </w:pPr>
                  <w:r>
                    <w:rPr>
                      <w:color w:val="auto"/>
                      <w:szCs w:val="21"/>
                    </w:rPr>
                    <w:t>一般固废</w:t>
                  </w:r>
                </w:p>
              </w:tc>
              <w:tc>
                <w:tcPr>
                  <w:tcW w:w="817" w:type="dxa"/>
                  <w:vAlign w:val="center"/>
                </w:tcPr>
                <w:p>
                  <w:pPr>
                    <w:pStyle w:val="37"/>
                    <w:adjustRightInd/>
                    <w:snapToGrid/>
                    <w:spacing w:line="240" w:lineRule="auto"/>
                    <w:rPr>
                      <w:bCs/>
                      <w:color w:val="auto"/>
                      <w:kern w:val="24"/>
                    </w:rPr>
                  </w:pPr>
                  <w:r>
                    <w:rPr>
                      <w:bCs/>
                      <w:color w:val="auto"/>
                      <w:kern w:val="24"/>
                    </w:rPr>
                    <w:t>固液</w:t>
                  </w:r>
                </w:p>
                <w:p>
                  <w:pPr>
                    <w:pStyle w:val="37"/>
                    <w:adjustRightInd/>
                    <w:snapToGrid/>
                    <w:spacing w:line="240" w:lineRule="auto"/>
                    <w:rPr>
                      <w:bCs/>
                      <w:color w:val="auto"/>
                      <w:kern w:val="24"/>
                    </w:rPr>
                  </w:pPr>
                  <w:r>
                    <w:rPr>
                      <w:bCs/>
                      <w:color w:val="auto"/>
                      <w:kern w:val="24"/>
                    </w:rPr>
                    <w:t>混合</w:t>
                  </w:r>
                </w:p>
              </w:tc>
              <w:tc>
                <w:tcPr>
                  <w:tcW w:w="1693" w:type="dxa"/>
                  <w:vAlign w:val="center"/>
                </w:tcPr>
                <w:p>
                  <w:pPr>
                    <w:pStyle w:val="37"/>
                    <w:adjustRightInd/>
                    <w:snapToGrid/>
                    <w:spacing w:line="240" w:lineRule="auto"/>
                    <w:rPr>
                      <w:color w:val="auto"/>
                    </w:rPr>
                  </w:pPr>
                  <w:r>
                    <w:rPr>
                      <w:color w:val="auto"/>
                    </w:rPr>
                    <w:t>/</w:t>
                  </w:r>
                </w:p>
              </w:tc>
              <w:tc>
                <w:tcPr>
                  <w:tcW w:w="798"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28.85</w:t>
                  </w:r>
                </w:p>
              </w:tc>
              <w:tc>
                <w:tcPr>
                  <w:tcW w:w="1742" w:type="dxa"/>
                  <w:vAlign w:val="center"/>
                </w:tcPr>
                <w:p>
                  <w:pPr>
                    <w:pStyle w:val="37"/>
                    <w:adjustRightInd/>
                    <w:snapToGrid/>
                    <w:spacing w:line="240" w:lineRule="auto"/>
                    <w:rPr>
                      <w:color w:val="auto"/>
                    </w:rPr>
                  </w:pPr>
                  <w:r>
                    <w:rPr>
                      <w:color w:val="auto"/>
                    </w:rPr>
                    <w:t>定期清掏</w:t>
                  </w:r>
                  <w:r>
                    <w:rPr>
                      <w:bCs/>
                      <w:color w:val="auto"/>
                      <w:kern w:val="24"/>
                    </w:rPr>
                    <w:t>+环卫部门无害化处置</w:t>
                  </w:r>
                </w:p>
              </w:tc>
            </w:tr>
          </w:tbl>
          <w:p>
            <w:pPr>
              <w:pStyle w:val="17"/>
              <w:widowControl/>
              <w:adjustRightInd/>
              <w:snapToGrid/>
              <w:spacing w:beforeLines="0" w:line="240" w:lineRule="auto"/>
              <w:ind w:firstLine="422"/>
              <w:jc w:val="center"/>
              <w:rPr>
                <w:b/>
                <w:color w:val="auto"/>
                <w:sz w:val="21"/>
                <w:szCs w:val="18"/>
              </w:rPr>
            </w:pPr>
            <w:r>
              <w:rPr>
                <w:b/>
                <w:color w:val="auto"/>
                <w:sz w:val="21"/>
                <w:szCs w:val="18"/>
              </w:rPr>
              <w:t>表4-</w:t>
            </w:r>
            <w:r>
              <w:rPr>
                <w:rFonts w:hint="eastAsia"/>
                <w:b/>
                <w:color w:val="auto"/>
                <w:sz w:val="21"/>
                <w:szCs w:val="18"/>
              </w:rPr>
              <w:t>1</w:t>
            </w:r>
            <w:r>
              <w:rPr>
                <w:rFonts w:hint="eastAsia"/>
                <w:b/>
                <w:color w:val="auto"/>
                <w:sz w:val="21"/>
                <w:szCs w:val="18"/>
                <w:lang w:val="en-US" w:eastAsia="zh-CN"/>
              </w:rPr>
              <w:t xml:space="preserve">7 </w:t>
            </w:r>
            <w:r>
              <w:rPr>
                <w:b/>
                <w:color w:val="auto"/>
                <w:sz w:val="21"/>
                <w:szCs w:val="18"/>
              </w:rPr>
              <w:t xml:space="preserve"> </w:t>
            </w:r>
            <w:r>
              <w:rPr>
                <w:rFonts w:hint="eastAsia"/>
                <w:b/>
                <w:color w:val="auto"/>
                <w:sz w:val="21"/>
                <w:szCs w:val="18"/>
                <w:lang w:val="en-US" w:eastAsia="zh-CN"/>
              </w:rPr>
              <w:t>04#地块</w:t>
            </w:r>
            <w:r>
              <w:rPr>
                <w:b/>
                <w:color w:val="auto"/>
                <w:sz w:val="21"/>
                <w:szCs w:val="18"/>
              </w:rPr>
              <w:t>固废污染源情况表</w:t>
            </w:r>
          </w:p>
          <w:tbl>
            <w:tblPr>
              <w:tblStyle w:val="18"/>
              <w:tblW w:w="81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25"/>
              <w:gridCol w:w="1106"/>
              <w:gridCol w:w="1602"/>
              <w:gridCol w:w="804"/>
              <w:gridCol w:w="1692"/>
              <w:gridCol w:w="902"/>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0" w:hRule="atLeast"/>
                <w:jc w:val="center"/>
              </w:trPr>
              <w:tc>
                <w:tcPr>
                  <w:tcW w:w="325" w:type="dxa"/>
                  <w:vAlign w:val="center"/>
                </w:tcPr>
                <w:p>
                  <w:pPr>
                    <w:pStyle w:val="37"/>
                    <w:adjustRightInd/>
                    <w:snapToGrid/>
                    <w:spacing w:line="240" w:lineRule="auto"/>
                    <w:rPr>
                      <w:b/>
                      <w:bCs/>
                      <w:color w:val="auto"/>
                    </w:rPr>
                  </w:pPr>
                  <w:r>
                    <w:rPr>
                      <w:b/>
                      <w:bCs/>
                      <w:color w:val="auto"/>
                    </w:rPr>
                    <w:t>序号</w:t>
                  </w:r>
                </w:p>
              </w:tc>
              <w:tc>
                <w:tcPr>
                  <w:tcW w:w="1106" w:type="dxa"/>
                  <w:vAlign w:val="center"/>
                </w:tcPr>
                <w:p>
                  <w:pPr>
                    <w:pStyle w:val="37"/>
                    <w:adjustRightInd/>
                    <w:snapToGrid/>
                    <w:spacing w:line="240" w:lineRule="auto"/>
                    <w:rPr>
                      <w:b/>
                      <w:bCs/>
                      <w:color w:val="auto"/>
                    </w:rPr>
                  </w:pPr>
                  <w:r>
                    <w:rPr>
                      <w:b/>
                      <w:bCs/>
                      <w:color w:val="auto"/>
                    </w:rPr>
                    <w:t>固废名称</w:t>
                  </w:r>
                </w:p>
              </w:tc>
              <w:tc>
                <w:tcPr>
                  <w:tcW w:w="1602" w:type="dxa"/>
                  <w:vAlign w:val="center"/>
                </w:tcPr>
                <w:p>
                  <w:pPr>
                    <w:pStyle w:val="37"/>
                    <w:adjustRightInd/>
                    <w:snapToGrid/>
                    <w:spacing w:line="240" w:lineRule="auto"/>
                    <w:rPr>
                      <w:b/>
                      <w:bCs/>
                      <w:color w:val="auto"/>
                    </w:rPr>
                  </w:pPr>
                  <w:r>
                    <w:rPr>
                      <w:b/>
                      <w:bCs/>
                      <w:color w:val="auto"/>
                    </w:rPr>
                    <w:t>固体废物性质</w:t>
                  </w:r>
                </w:p>
              </w:tc>
              <w:tc>
                <w:tcPr>
                  <w:tcW w:w="804" w:type="dxa"/>
                  <w:vAlign w:val="center"/>
                </w:tcPr>
                <w:p>
                  <w:pPr>
                    <w:pStyle w:val="37"/>
                    <w:adjustRightInd/>
                    <w:snapToGrid/>
                    <w:spacing w:line="240" w:lineRule="auto"/>
                    <w:rPr>
                      <w:b/>
                      <w:bCs/>
                      <w:color w:val="auto"/>
                    </w:rPr>
                  </w:pPr>
                  <w:r>
                    <w:rPr>
                      <w:b/>
                      <w:bCs/>
                      <w:color w:val="auto"/>
                    </w:rPr>
                    <w:t>性状</w:t>
                  </w:r>
                </w:p>
              </w:tc>
              <w:tc>
                <w:tcPr>
                  <w:tcW w:w="1692" w:type="dxa"/>
                  <w:vAlign w:val="center"/>
                </w:tcPr>
                <w:p>
                  <w:pPr>
                    <w:pStyle w:val="37"/>
                    <w:adjustRightInd/>
                    <w:snapToGrid/>
                    <w:spacing w:line="240" w:lineRule="auto"/>
                    <w:rPr>
                      <w:b/>
                      <w:bCs/>
                      <w:color w:val="auto"/>
                    </w:rPr>
                  </w:pPr>
                  <w:r>
                    <w:rPr>
                      <w:b/>
                      <w:bCs/>
                      <w:color w:val="auto"/>
                    </w:rPr>
                    <w:t>规模</w:t>
                  </w:r>
                </w:p>
              </w:tc>
              <w:tc>
                <w:tcPr>
                  <w:tcW w:w="902" w:type="dxa"/>
                  <w:vAlign w:val="center"/>
                </w:tcPr>
                <w:p>
                  <w:pPr>
                    <w:pStyle w:val="37"/>
                    <w:adjustRightInd/>
                    <w:snapToGrid/>
                    <w:spacing w:line="240" w:lineRule="auto"/>
                    <w:rPr>
                      <w:b/>
                      <w:bCs/>
                      <w:color w:val="auto"/>
                    </w:rPr>
                  </w:pPr>
                  <w:r>
                    <w:rPr>
                      <w:b/>
                      <w:bCs/>
                      <w:color w:val="auto"/>
                    </w:rPr>
                    <w:t>产生量</w:t>
                  </w:r>
                </w:p>
                <w:p>
                  <w:pPr>
                    <w:pStyle w:val="37"/>
                    <w:adjustRightInd/>
                    <w:snapToGrid/>
                    <w:spacing w:line="240" w:lineRule="auto"/>
                    <w:rPr>
                      <w:b/>
                      <w:bCs/>
                      <w:color w:val="auto"/>
                    </w:rPr>
                  </w:pPr>
                  <w:r>
                    <w:rPr>
                      <w:b/>
                      <w:bCs/>
                      <w:color w:val="auto"/>
                    </w:rPr>
                    <w:t>t/a</w:t>
                  </w:r>
                </w:p>
              </w:tc>
              <w:tc>
                <w:tcPr>
                  <w:tcW w:w="1703" w:type="dxa"/>
                  <w:vAlign w:val="center"/>
                </w:tcPr>
                <w:p>
                  <w:pPr>
                    <w:pStyle w:val="37"/>
                    <w:adjustRightInd/>
                    <w:snapToGrid/>
                    <w:spacing w:line="240" w:lineRule="auto"/>
                    <w:rPr>
                      <w:b/>
                      <w:bCs/>
                      <w:color w:val="auto"/>
                    </w:rPr>
                  </w:pPr>
                  <w:r>
                    <w:rPr>
                      <w:b/>
                      <w:bCs/>
                      <w:color w:val="auto"/>
                    </w:rPr>
                    <w:t>处理或处置措施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5" w:type="dxa"/>
                  <w:vAlign w:val="center"/>
                </w:tcPr>
                <w:p>
                  <w:pPr>
                    <w:pStyle w:val="37"/>
                    <w:adjustRightInd/>
                    <w:snapToGrid/>
                    <w:spacing w:line="240" w:lineRule="auto"/>
                    <w:rPr>
                      <w:color w:val="auto"/>
                    </w:rPr>
                  </w:pPr>
                  <w:r>
                    <w:rPr>
                      <w:color w:val="auto"/>
                    </w:rPr>
                    <w:t>1</w:t>
                  </w:r>
                </w:p>
              </w:tc>
              <w:tc>
                <w:tcPr>
                  <w:tcW w:w="1106"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SOHO</w:t>
                  </w:r>
                  <w:r>
                    <w:rPr>
                      <w:rFonts w:hint="eastAsia"/>
                      <w:color w:val="auto"/>
                      <w:lang w:eastAsia="zh-CN"/>
                    </w:rPr>
                    <w:t>公寓垃圾</w:t>
                  </w:r>
                </w:p>
              </w:tc>
              <w:tc>
                <w:tcPr>
                  <w:tcW w:w="1602" w:type="dxa"/>
                  <w:vAlign w:val="center"/>
                </w:tcPr>
                <w:p>
                  <w:pPr>
                    <w:pStyle w:val="37"/>
                    <w:adjustRightInd/>
                    <w:snapToGrid/>
                    <w:spacing w:line="240" w:lineRule="auto"/>
                    <w:rPr>
                      <w:color w:val="auto"/>
                    </w:rPr>
                  </w:pPr>
                  <w:r>
                    <w:rPr>
                      <w:color w:val="auto"/>
                    </w:rPr>
                    <w:t>一般固废</w:t>
                  </w:r>
                </w:p>
              </w:tc>
              <w:tc>
                <w:tcPr>
                  <w:tcW w:w="804" w:type="dxa"/>
                  <w:vAlign w:val="center"/>
                </w:tcPr>
                <w:p>
                  <w:pPr>
                    <w:pStyle w:val="37"/>
                    <w:adjustRightInd/>
                    <w:snapToGrid/>
                    <w:spacing w:line="240" w:lineRule="auto"/>
                    <w:rPr>
                      <w:bCs/>
                      <w:color w:val="auto"/>
                      <w:kern w:val="24"/>
                    </w:rPr>
                  </w:pPr>
                  <w:r>
                    <w:rPr>
                      <w:bCs/>
                      <w:color w:val="auto"/>
                      <w:kern w:val="24"/>
                    </w:rPr>
                    <w:t>固液混合</w:t>
                  </w:r>
                </w:p>
              </w:tc>
              <w:tc>
                <w:tcPr>
                  <w:tcW w:w="1692" w:type="dxa"/>
                  <w:vAlign w:val="center"/>
                </w:tcPr>
                <w:p>
                  <w:pPr>
                    <w:pStyle w:val="37"/>
                    <w:adjustRightInd/>
                    <w:snapToGrid/>
                    <w:spacing w:line="240" w:lineRule="auto"/>
                    <w:rPr>
                      <w:color w:val="auto"/>
                    </w:rPr>
                  </w:pPr>
                  <w:r>
                    <w:rPr>
                      <w:color w:val="auto"/>
                    </w:rPr>
                    <w:t>0.1kg/m</w:t>
                  </w:r>
                  <w:r>
                    <w:rPr>
                      <w:color w:val="auto"/>
                      <w:vertAlign w:val="superscript"/>
                    </w:rPr>
                    <w:t>2</w:t>
                  </w:r>
                  <w:r>
                    <w:rPr>
                      <w:color w:val="auto"/>
                    </w:rPr>
                    <w:t>·d*</w:t>
                  </w:r>
                </w:p>
                <w:p>
                  <w:pPr>
                    <w:pStyle w:val="37"/>
                    <w:adjustRightInd/>
                    <w:snapToGrid/>
                    <w:spacing w:line="240" w:lineRule="auto"/>
                    <w:rPr>
                      <w:color w:val="auto"/>
                    </w:rPr>
                  </w:pPr>
                  <w:r>
                    <w:rPr>
                      <w:rFonts w:hint="eastAsia"/>
                      <w:color w:val="auto"/>
                      <w:szCs w:val="21"/>
                      <w:lang w:val="en-US" w:eastAsia="zh-CN"/>
                    </w:rPr>
                    <w:t>39556.317</w:t>
                  </w:r>
                  <w:r>
                    <w:rPr>
                      <w:color w:val="auto"/>
                    </w:rPr>
                    <w:t>m</w:t>
                  </w:r>
                  <w:r>
                    <w:rPr>
                      <w:color w:val="auto"/>
                      <w:vertAlign w:val="superscript"/>
                    </w:rPr>
                    <w:t>2</w:t>
                  </w:r>
                  <w:r>
                    <w:rPr>
                      <w:rFonts w:hint="eastAsia"/>
                      <w:color w:val="auto"/>
                    </w:rPr>
                    <w:t>*365</w:t>
                  </w:r>
                </w:p>
              </w:tc>
              <w:tc>
                <w:tcPr>
                  <w:tcW w:w="902"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1143.8</w:t>
                  </w:r>
                </w:p>
              </w:tc>
              <w:tc>
                <w:tcPr>
                  <w:tcW w:w="1703" w:type="dxa"/>
                  <w:vMerge w:val="restart"/>
                  <w:vAlign w:val="center"/>
                </w:tcPr>
                <w:p>
                  <w:pPr>
                    <w:pStyle w:val="37"/>
                    <w:adjustRightInd/>
                    <w:snapToGrid/>
                    <w:spacing w:line="240" w:lineRule="auto"/>
                    <w:rPr>
                      <w:color w:val="auto"/>
                    </w:rPr>
                  </w:pPr>
                  <w:r>
                    <w:rPr>
                      <w:bCs/>
                      <w:color w:val="auto"/>
                      <w:kern w:val="24"/>
                    </w:rPr>
                    <w:t>移动式垃圾收集桶+垃圾</w:t>
                  </w:r>
                  <w:r>
                    <w:rPr>
                      <w:rFonts w:hint="eastAsia"/>
                      <w:bCs/>
                      <w:color w:val="auto"/>
                      <w:kern w:val="24"/>
                    </w:rPr>
                    <w:t>转运</w:t>
                  </w:r>
                  <w:r>
                    <w:rPr>
                      <w:bCs/>
                      <w:color w:val="auto"/>
                      <w:kern w:val="24"/>
                    </w:rPr>
                    <w:t>站+环卫部门定期转运处置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4"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2</w:t>
                  </w:r>
                </w:p>
              </w:tc>
              <w:tc>
                <w:tcPr>
                  <w:tcW w:w="1106" w:type="dxa"/>
                  <w:vAlign w:val="center"/>
                </w:tcPr>
                <w:p>
                  <w:pPr>
                    <w:pStyle w:val="37"/>
                    <w:adjustRightInd/>
                    <w:snapToGrid/>
                    <w:spacing w:line="240" w:lineRule="auto"/>
                    <w:rPr>
                      <w:color w:val="auto"/>
                    </w:rPr>
                  </w:pPr>
                  <w:r>
                    <w:rPr>
                      <w:color w:val="auto"/>
                    </w:rPr>
                    <w:t>生活垃圾（物管）</w:t>
                  </w:r>
                </w:p>
              </w:tc>
              <w:tc>
                <w:tcPr>
                  <w:tcW w:w="1602" w:type="dxa"/>
                  <w:vAlign w:val="center"/>
                </w:tcPr>
                <w:p>
                  <w:pPr>
                    <w:jc w:val="center"/>
                    <w:rPr>
                      <w:color w:val="auto"/>
                      <w:szCs w:val="21"/>
                    </w:rPr>
                  </w:pPr>
                  <w:r>
                    <w:rPr>
                      <w:color w:val="auto"/>
                      <w:szCs w:val="21"/>
                    </w:rPr>
                    <w:t>一般固废</w:t>
                  </w:r>
                </w:p>
              </w:tc>
              <w:tc>
                <w:tcPr>
                  <w:tcW w:w="804" w:type="dxa"/>
                  <w:vAlign w:val="center"/>
                </w:tcPr>
                <w:p>
                  <w:pPr>
                    <w:pStyle w:val="37"/>
                    <w:adjustRightInd/>
                    <w:snapToGrid/>
                    <w:spacing w:line="240" w:lineRule="auto"/>
                    <w:rPr>
                      <w:bCs/>
                      <w:color w:val="auto"/>
                      <w:kern w:val="24"/>
                    </w:rPr>
                  </w:pPr>
                  <w:r>
                    <w:rPr>
                      <w:bCs/>
                      <w:color w:val="auto"/>
                      <w:kern w:val="24"/>
                    </w:rPr>
                    <w:t>固液混合</w:t>
                  </w:r>
                </w:p>
              </w:tc>
              <w:tc>
                <w:tcPr>
                  <w:tcW w:w="1692" w:type="dxa"/>
                  <w:vAlign w:val="center"/>
                </w:tcPr>
                <w:p>
                  <w:pPr>
                    <w:pStyle w:val="37"/>
                    <w:adjustRightInd/>
                    <w:snapToGrid/>
                    <w:spacing w:line="240" w:lineRule="auto"/>
                    <w:rPr>
                      <w:color w:val="auto"/>
                    </w:rPr>
                  </w:pPr>
                  <w:r>
                    <w:rPr>
                      <w:rFonts w:hint="eastAsia"/>
                      <w:color w:val="auto"/>
                    </w:rPr>
                    <w:t>60</w:t>
                  </w:r>
                  <w:r>
                    <w:rPr>
                      <w:color w:val="auto"/>
                    </w:rPr>
                    <w:t>人*</w:t>
                  </w:r>
                </w:p>
                <w:p>
                  <w:pPr>
                    <w:pStyle w:val="37"/>
                    <w:adjustRightInd/>
                    <w:snapToGrid/>
                    <w:spacing w:line="240" w:lineRule="auto"/>
                    <w:rPr>
                      <w:bCs/>
                      <w:color w:val="auto"/>
                      <w:kern w:val="24"/>
                    </w:rPr>
                  </w:pPr>
                  <w:r>
                    <w:rPr>
                      <w:bCs/>
                      <w:color w:val="auto"/>
                      <w:kern w:val="24"/>
                    </w:rPr>
                    <w:t>0.</w:t>
                  </w:r>
                  <w:r>
                    <w:rPr>
                      <w:rFonts w:hint="eastAsia"/>
                      <w:bCs/>
                      <w:color w:val="auto"/>
                      <w:kern w:val="24"/>
                    </w:rPr>
                    <w:t>6</w:t>
                  </w:r>
                  <w:r>
                    <w:rPr>
                      <w:bCs/>
                      <w:color w:val="auto"/>
                      <w:kern w:val="24"/>
                    </w:rPr>
                    <w:t>kg/人·d</w:t>
                  </w:r>
                  <w:r>
                    <w:rPr>
                      <w:color w:val="auto"/>
                    </w:rPr>
                    <w:t>*330d</w:t>
                  </w:r>
                </w:p>
              </w:tc>
              <w:tc>
                <w:tcPr>
                  <w:tcW w:w="902"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2.97</w:t>
                  </w:r>
                </w:p>
              </w:tc>
              <w:tc>
                <w:tcPr>
                  <w:tcW w:w="1703" w:type="dxa"/>
                  <w:vMerge w:val="continue"/>
                  <w:vAlign w:val="center"/>
                </w:tcPr>
                <w:p>
                  <w:pPr>
                    <w:pStyle w:val="37"/>
                    <w:adjustRightInd/>
                    <w:snapToGrid/>
                    <w:spacing w:line="240" w:lineRule="auto"/>
                    <w:rPr>
                      <w:bCs/>
                      <w:color w:val="auto"/>
                      <w:kern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2"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3</w:t>
                  </w:r>
                </w:p>
              </w:tc>
              <w:tc>
                <w:tcPr>
                  <w:tcW w:w="1106" w:type="dxa"/>
                  <w:vAlign w:val="center"/>
                </w:tcPr>
                <w:p>
                  <w:pPr>
                    <w:pStyle w:val="37"/>
                    <w:adjustRightInd/>
                    <w:snapToGrid/>
                    <w:spacing w:line="240" w:lineRule="auto"/>
                    <w:rPr>
                      <w:color w:val="auto"/>
                    </w:rPr>
                  </w:pPr>
                  <w:r>
                    <w:rPr>
                      <w:color w:val="auto"/>
                    </w:rPr>
                    <w:t>商业垃圾</w:t>
                  </w:r>
                </w:p>
              </w:tc>
              <w:tc>
                <w:tcPr>
                  <w:tcW w:w="1602" w:type="dxa"/>
                  <w:vAlign w:val="center"/>
                </w:tcPr>
                <w:p>
                  <w:pPr>
                    <w:jc w:val="center"/>
                    <w:rPr>
                      <w:color w:val="auto"/>
                      <w:szCs w:val="21"/>
                    </w:rPr>
                  </w:pPr>
                  <w:r>
                    <w:rPr>
                      <w:color w:val="auto"/>
                      <w:szCs w:val="21"/>
                    </w:rPr>
                    <w:t>一般固废</w:t>
                  </w:r>
                </w:p>
              </w:tc>
              <w:tc>
                <w:tcPr>
                  <w:tcW w:w="804" w:type="dxa"/>
                  <w:vAlign w:val="center"/>
                </w:tcPr>
                <w:p>
                  <w:pPr>
                    <w:pStyle w:val="37"/>
                    <w:adjustRightInd/>
                    <w:snapToGrid/>
                    <w:spacing w:line="240" w:lineRule="auto"/>
                    <w:rPr>
                      <w:color w:val="auto"/>
                    </w:rPr>
                  </w:pPr>
                  <w:r>
                    <w:rPr>
                      <w:color w:val="auto"/>
                    </w:rPr>
                    <w:t>固态</w:t>
                  </w:r>
                </w:p>
              </w:tc>
              <w:tc>
                <w:tcPr>
                  <w:tcW w:w="1692" w:type="dxa"/>
                  <w:vAlign w:val="center"/>
                </w:tcPr>
                <w:p>
                  <w:pPr>
                    <w:pStyle w:val="37"/>
                    <w:adjustRightInd/>
                    <w:snapToGrid/>
                    <w:spacing w:line="240" w:lineRule="auto"/>
                    <w:rPr>
                      <w:color w:val="auto"/>
                    </w:rPr>
                  </w:pPr>
                  <w:r>
                    <w:rPr>
                      <w:color w:val="auto"/>
                    </w:rPr>
                    <w:t>0.1kg/m</w:t>
                  </w:r>
                  <w:r>
                    <w:rPr>
                      <w:color w:val="auto"/>
                      <w:vertAlign w:val="superscript"/>
                    </w:rPr>
                    <w:t>2</w:t>
                  </w:r>
                  <w:r>
                    <w:rPr>
                      <w:color w:val="auto"/>
                    </w:rPr>
                    <w:t>·d*</w:t>
                  </w:r>
                </w:p>
                <w:p>
                  <w:pPr>
                    <w:pStyle w:val="37"/>
                    <w:adjustRightInd/>
                    <w:snapToGrid/>
                    <w:spacing w:line="240" w:lineRule="auto"/>
                    <w:rPr>
                      <w:rFonts w:hint="eastAsia" w:eastAsia="宋体"/>
                      <w:color w:val="auto"/>
                      <w:lang w:val="en-US" w:eastAsia="zh-CN"/>
                    </w:rPr>
                  </w:pPr>
                  <w:r>
                    <w:rPr>
                      <w:rFonts w:hint="eastAsia"/>
                      <w:color w:val="auto"/>
                      <w:szCs w:val="21"/>
                      <w:lang w:val="en-US" w:eastAsia="zh-CN"/>
                    </w:rPr>
                    <w:t>8548.917</w:t>
                  </w:r>
                  <w:r>
                    <w:rPr>
                      <w:color w:val="auto"/>
                    </w:rPr>
                    <w:t>m</w:t>
                  </w:r>
                  <w:r>
                    <w:rPr>
                      <w:color w:val="auto"/>
                      <w:vertAlign w:val="superscript"/>
                    </w:rPr>
                    <w:t>2</w:t>
                  </w:r>
                  <w:r>
                    <w:rPr>
                      <w:rFonts w:hint="eastAsia"/>
                      <w:color w:val="auto"/>
                    </w:rPr>
                    <w:t>*365</w:t>
                  </w:r>
                  <w:r>
                    <w:rPr>
                      <w:rFonts w:hint="eastAsia"/>
                      <w:color w:val="auto"/>
                      <w:lang w:val="en-US" w:eastAsia="zh-CN"/>
                    </w:rPr>
                    <w:t>d</w:t>
                  </w:r>
                </w:p>
              </w:tc>
              <w:tc>
                <w:tcPr>
                  <w:tcW w:w="902"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312.035</w:t>
                  </w:r>
                </w:p>
              </w:tc>
              <w:tc>
                <w:tcPr>
                  <w:tcW w:w="1703" w:type="dxa"/>
                  <w:vMerge w:val="continue"/>
                  <w:vAlign w:val="center"/>
                </w:tcPr>
                <w:p>
                  <w:pPr>
                    <w:pStyle w:val="37"/>
                    <w:adjustRightInd/>
                    <w:snapToGrid/>
                    <w:spacing w:line="24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325" w:type="dxa"/>
                  <w:vAlign w:val="center"/>
                </w:tcPr>
                <w:p>
                  <w:pPr>
                    <w:pStyle w:val="37"/>
                    <w:adjustRightInd/>
                    <w:snapToGrid/>
                    <w:spacing w:line="240" w:lineRule="auto"/>
                    <w:rPr>
                      <w:rFonts w:hint="eastAsia" w:eastAsia="宋体"/>
                      <w:color w:val="auto"/>
                      <w:lang w:eastAsia="zh-CN"/>
                    </w:rPr>
                  </w:pPr>
                  <w:r>
                    <w:rPr>
                      <w:rFonts w:hint="eastAsia"/>
                      <w:color w:val="auto"/>
                      <w:lang w:val="en-US" w:eastAsia="zh-CN"/>
                    </w:rPr>
                    <w:t>4</w:t>
                  </w:r>
                </w:p>
              </w:tc>
              <w:tc>
                <w:tcPr>
                  <w:tcW w:w="1106" w:type="dxa"/>
                  <w:vAlign w:val="center"/>
                </w:tcPr>
                <w:p>
                  <w:pPr>
                    <w:pStyle w:val="37"/>
                    <w:adjustRightInd/>
                    <w:snapToGrid/>
                    <w:spacing w:line="240" w:lineRule="auto"/>
                    <w:rPr>
                      <w:color w:val="auto"/>
                    </w:rPr>
                  </w:pPr>
                  <w:r>
                    <w:rPr>
                      <w:color w:val="auto"/>
                    </w:rPr>
                    <w:t>化粪池污泥</w:t>
                  </w:r>
                </w:p>
              </w:tc>
              <w:tc>
                <w:tcPr>
                  <w:tcW w:w="1602" w:type="dxa"/>
                  <w:vAlign w:val="center"/>
                </w:tcPr>
                <w:p>
                  <w:pPr>
                    <w:jc w:val="center"/>
                    <w:rPr>
                      <w:color w:val="auto"/>
                      <w:szCs w:val="21"/>
                    </w:rPr>
                  </w:pPr>
                  <w:r>
                    <w:rPr>
                      <w:color w:val="auto"/>
                      <w:szCs w:val="21"/>
                    </w:rPr>
                    <w:t>一般固废</w:t>
                  </w:r>
                </w:p>
              </w:tc>
              <w:tc>
                <w:tcPr>
                  <w:tcW w:w="804" w:type="dxa"/>
                  <w:vAlign w:val="center"/>
                </w:tcPr>
                <w:p>
                  <w:pPr>
                    <w:pStyle w:val="37"/>
                    <w:adjustRightInd/>
                    <w:snapToGrid/>
                    <w:spacing w:line="240" w:lineRule="auto"/>
                    <w:rPr>
                      <w:bCs/>
                      <w:color w:val="auto"/>
                      <w:kern w:val="24"/>
                    </w:rPr>
                  </w:pPr>
                  <w:r>
                    <w:rPr>
                      <w:bCs/>
                      <w:color w:val="auto"/>
                      <w:kern w:val="24"/>
                    </w:rPr>
                    <w:t>固液</w:t>
                  </w:r>
                </w:p>
                <w:p>
                  <w:pPr>
                    <w:pStyle w:val="37"/>
                    <w:adjustRightInd/>
                    <w:snapToGrid/>
                    <w:spacing w:line="240" w:lineRule="auto"/>
                    <w:rPr>
                      <w:bCs/>
                      <w:color w:val="auto"/>
                      <w:kern w:val="24"/>
                    </w:rPr>
                  </w:pPr>
                  <w:r>
                    <w:rPr>
                      <w:bCs/>
                      <w:color w:val="auto"/>
                      <w:kern w:val="24"/>
                    </w:rPr>
                    <w:t>混合</w:t>
                  </w:r>
                </w:p>
              </w:tc>
              <w:tc>
                <w:tcPr>
                  <w:tcW w:w="1692" w:type="dxa"/>
                  <w:vAlign w:val="center"/>
                </w:tcPr>
                <w:p>
                  <w:pPr>
                    <w:pStyle w:val="37"/>
                    <w:adjustRightInd/>
                    <w:snapToGrid/>
                    <w:spacing w:line="240" w:lineRule="auto"/>
                    <w:rPr>
                      <w:color w:val="auto"/>
                    </w:rPr>
                  </w:pPr>
                  <w:r>
                    <w:rPr>
                      <w:color w:val="auto"/>
                    </w:rPr>
                    <w:t>/</w:t>
                  </w:r>
                </w:p>
              </w:tc>
              <w:tc>
                <w:tcPr>
                  <w:tcW w:w="902" w:type="dxa"/>
                  <w:vAlign w:val="center"/>
                </w:tcPr>
                <w:p>
                  <w:pPr>
                    <w:pStyle w:val="37"/>
                    <w:adjustRightInd/>
                    <w:snapToGrid/>
                    <w:spacing w:line="240" w:lineRule="auto"/>
                    <w:rPr>
                      <w:rFonts w:hint="default" w:eastAsia="宋体"/>
                      <w:color w:val="auto"/>
                      <w:lang w:val="en-US" w:eastAsia="zh-CN"/>
                    </w:rPr>
                  </w:pPr>
                  <w:r>
                    <w:rPr>
                      <w:rFonts w:hint="eastAsia"/>
                      <w:color w:val="auto"/>
                      <w:lang w:val="en-US" w:eastAsia="zh-CN"/>
                    </w:rPr>
                    <w:t>22.95</w:t>
                  </w:r>
                </w:p>
              </w:tc>
              <w:tc>
                <w:tcPr>
                  <w:tcW w:w="1703" w:type="dxa"/>
                  <w:vAlign w:val="center"/>
                </w:tcPr>
                <w:p>
                  <w:pPr>
                    <w:pStyle w:val="37"/>
                    <w:adjustRightInd/>
                    <w:snapToGrid/>
                    <w:spacing w:line="240" w:lineRule="auto"/>
                    <w:rPr>
                      <w:color w:val="auto"/>
                    </w:rPr>
                  </w:pPr>
                  <w:r>
                    <w:rPr>
                      <w:color w:val="auto"/>
                    </w:rPr>
                    <w:t>定期清掏</w:t>
                  </w:r>
                  <w:r>
                    <w:rPr>
                      <w:bCs/>
                      <w:color w:val="auto"/>
                      <w:kern w:val="24"/>
                    </w:rPr>
                    <w:t>+环卫部门无害化处置</w:t>
                  </w:r>
                </w:p>
              </w:tc>
            </w:tr>
          </w:tbl>
          <w:p>
            <w:pPr>
              <w:pStyle w:val="2"/>
              <w:ind w:firstLine="480"/>
              <w:rPr>
                <w:rFonts w:hint="eastAsia"/>
                <w:bCs/>
                <w:color w:val="auto"/>
                <w:kern w:val="24"/>
                <w:lang w:eastAsia="zh-CN"/>
              </w:rPr>
            </w:pPr>
            <w:r>
              <w:rPr>
                <w:rFonts w:hint="eastAsia"/>
                <w:color w:val="auto"/>
                <w:lang w:eastAsia="zh-CN"/>
              </w:rPr>
              <w:t>本项目仅在</w:t>
            </w:r>
            <w:r>
              <w:rPr>
                <w:rFonts w:hint="eastAsia"/>
                <w:color w:val="auto"/>
                <w:lang w:val="en-US" w:eastAsia="zh-CN"/>
              </w:rPr>
              <w:t>02#、04#地块设置垃圾站，03#地块各建筑物周边均设置移动式垃圾桶，03#地块产生的固体废物依托移动式垃圾桶+04#地块垃圾站进行处理。04#地块的地面垃圾站与03#地块边界距离为6.7m，与03#地块中最近住宅高层距离为22.7m。03#地块产生的固体废弃物经垃圾桶收集后再转运到04#地块垃圾站，因此，03#地块产生的生活、商业垃圾和化粪池污泥等固体废物依托04#地块地面垃圾站进行处理是可行的。</w:t>
            </w:r>
          </w:p>
          <w:p>
            <w:pPr>
              <w:pStyle w:val="2"/>
              <w:ind w:firstLine="480"/>
            </w:pPr>
            <w:r>
              <w:rPr>
                <w:bCs/>
                <w:kern w:val="24"/>
              </w:rPr>
              <w:t>经上述措施处理后，项目固体废物对区域环境产生影响较小。</w:t>
            </w:r>
          </w:p>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40" w:hRule="atLeast"/>
          <w:jc w:val="center"/>
        </w:trPr>
        <w:tc>
          <w:tcPr>
            <w:tcW w:w="879" w:type="dxa"/>
            <w:vAlign w:val="center"/>
          </w:tcPr>
          <w:p>
            <w:pPr>
              <w:pStyle w:val="15"/>
              <w:adjustRightInd w:val="0"/>
              <w:snapToGrid w:val="0"/>
              <w:spacing w:before="0" w:beforeAutospacing="0" w:after="0" w:afterAutospacing="0"/>
              <w:jc w:val="center"/>
              <w:rPr>
                <w:rFonts w:cs="宋体"/>
                <w:bCs/>
                <w:kern w:val="2"/>
              </w:rPr>
            </w:pPr>
            <w:r>
              <w:rPr>
                <w:rFonts w:hint="eastAsia" w:cs="宋体"/>
                <w:bCs/>
                <w:kern w:val="2"/>
              </w:rPr>
              <w:t>选址选线环境合理性分析</w:t>
            </w:r>
          </w:p>
        </w:tc>
        <w:tc>
          <w:tcPr>
            <w:tcW w:w="8363" w:type="dxa"/>
          </w:tcPr>
          <w:p>
            <w:pPr>
              <w:pStyle w:val="2"/>
              <w:ind w:firstLine="480"/>
            </w:pPr>
            <w:r>
              <w:rPr>
                <w:rFonts w:hint="eastAsia"/>
              </w:rPr>
              <w:t>本项目为房地产开发项目，不属于工业建设项目，</w:t>
            </w:r>
            <w:r>
              <w:t>项目建设内容主要为居住小区</w:t>
            </w:r>
            <w:r>
              <w:rPr>
                <w:rFonts w:hint="eastAsia"/>
              </w:rPr>
              <w:t>、商业</w:t>
            </w:r>
            <w:r>
              <w:t>及相关配套建设开发</w:t>
            </w:r>
            <w:r>
              <w:rPr>
                <w:rFonts w:hint="eastAsia"/>
              </w:rPr>
              <w:t>，</w:t>
            </w:r>
            <w:r>
              <w:t>项目所在地交通便利、生活便捷；区域环境质量良好，</w:t>
            </w:r>
            <w:r>
              <w:rPr>
                <w:rFonts w:hint="eastAsia"/>
              </w:rPr>
              <w:t>项目周边无环境制约因素。项目建成后产生的污染物在做好本次评价提出的措施后，产生的污染对周围环境影响较小。因此本项目选址、选线合理。</w:t>
            </w:r>
          </w:p>
        </w:tc>
      </w:tr>
    </w:tbl>
    <w:p>
      <w:pPr>
        <w:pStyle w:val="15"/>
        <w:jc w:val="center"/>
        <w:rPr>
          <w:rFonts w:ascii="黑体" w:hAnsi="黑体" w:eastAsia="黑体"/>
          <w:snapToGrid w:val="0"/>
          <w:sz w:val="36"/>
          <w:szCs w:val="36"/>
        </w:rPr>
        <w:sectPr>
          <w:pgSz w:w="11906" w:h="16838"/>
          <w:pgMar w:top="1440" w:right="1800" w:bottom="1440" w:left="1800" w:header="851" w:footer="1077" w:gutter="0"/>
          <w:cols w:space="425" w:num="1"/>
          <w:docGrid w:linePitch="312" w:charSpace="0"/>
        </w:sectPr>
      </w:pPr>
    </w:p>
    <w:p>
      <w:pPr>
        <w:pStyle w:val="15"/>
        <w:adjustRightInd w:val="0"/>
        <w:snapToGrid w:val="0"/>
        <w:spacing w:before="0" w:beforeAutospacing="0" w:after="0" w:afterAutospacing="0" w:line="14" w:lineRule="auto"/>
        <w:jc w:val="center"/>
        <w:outlineLvl w:val="0"/>
        <w:rPr>
          <w:rFonts w:ascii="黑体" w:hAnsi="黑体" w:eastAsia="黑体"/>
          <w:snapToGrid w:val="0"/>
          <w:sz w:val="30"/>
          <w:szCs w:val="30"/>
        </w:rPr>
      </w:pPr>
    </w:p>
    <w:p>
      <w:pPr>
        <w:pStyle w:val="15"/>
        <w:jc w:val="center"/>
        <w:outlineLvl w:val="0"/>
        <w:rPr>
          <w:rFonts w:ascii="黑体" w:hAnsi="黑体" w:eastAsia="黑体"/>
          <w:snapToGrid w:val="0"/>
          <w:sz w:val="30"/>
          <w:szCs w:val="30"/>
        </w:rPr>
      </w:pPr>
      <w:r>
        <w:rPr>
          <w:rFonts w:hint="eastAsia" w:ascii="黑体" w:hAnsi="黑体" w:eastAsia="黑体"/>
          <w:snapToGrid w:val="0"/>
          <w:sz w:val="30"/>
          <w:szCs w:val="30"/>
        </w:rPr>
        <w:t>五、主要生态环境保护措施</w:t>
      </w:r>
    </w:p>
    <w:tbl>
      <w:tblPr>
        <w:tblStyle w:val="18"/>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2" w:hRule="atLeast"/>
          <w:jc w:val="center"/>
        </w:trPr>
        <w:tc>
          <w:tcPr>
            <w:tcW w:w="753" w:type="dxa"/>
            <w:tcMar>
              <w:left w:w="28" w:type="dxa"/>
              <w:right w:w="28" w:type="dxa"/>
            </w:tcMar>
            <w:vAlign w:val="center"/>
          </w:tcPr>
          <w:p>
            <w:pPr>
              <w:adjustRightInd w:val="0"/>
              <w:snapToGrid w:val="0"/>
              <w:jc w:val="center"/>
              <w:rPr>
                <w:rFonts w:ascii="宋体" w:hAnsi="宋体"/>
                <w:bCs/>
                <w:sz w:val="24"/>
              </w:rPr>
            </w:pPr>
            <w:r>
              <w:rPr>
                <w:rFonts w:hint="eastAsia" w:ascii="宋体" w:hAnsi="宋体" w:cs="宋体"/>
                <w:bCs/>
                <w:spacing w:val="10"/>
                <w:sz w:val="24"/>
              </w:rPr>
              <w:t>施工期生态环境保护措施</w:t>
            </w:r>
          </w:p>
        </w:tc>
        <w:tc>
          <w:tcPr>
            <w:tcW w:w="8457" w:type="dxa"/>
          </w:tcPr>
          <w:p>
            <w:pPr>
              <w:pStyle w:val="2"/>
              <w:ind w:firstLine="0" w:firstLineChars="0"/>
              <w:rPr>
                <w:b/>
                <w:bCs/>
              </w:rPr>
            </w:pPr>
            <w:r>
              <w:rPr>
                <w:rFonts w:hint="eastAsia"/>
                <w:b/>
                <w:bCs/>
              </w:rPr>
              <w:t>项目施工期生态环境主要保护措施如下：</w:t>
            </w:r>
          </w:p>
          <w:p>
            <w:pPr>
              <w:pStyle w:val="2"/>
              <w:ind w:firstLine="482"/>
              <w:rPr>
                <w:b/>
                <w:bCs/>
              </w:rPr>
            </w:pPr>
            <w:r>
              <w:rPr>
                <w:rFonts w:hint="eastAsia"/>
                <w:b/>
                <w:bCs/>
              </w:rPr>
              <w:t>一、植物的生态保护措施</w:t>
            </w:r>
          </w:p>
          <w:p>
            <w:pPr>
              <w:pStyle w:val="2"/>
              <w:ind w:firstLine="480"/>
            </w:pPr>
            <w:r>
              <w:rPr>
                <w:rFonts w:hint="eastAsia"/>
              </w:rPr>
              <w:t>工程施工建设期间，将对工程占地区生态环境产生一定影响，主要表现为施工占地导致地表局部破坏、植物资源减少、干扰区域内动植物的生长环境、水土流失和生态环境质量有所下降。针对这些影响，主要采取以下生态环境保护恢复措施。</w:t>
            </w:r>
          </w:p>
          <w:p>
            <w:pPr>
              <w:pStyle w:val="2"/>
              <w:ind w:firstLine="480"/>
            </w:pPr>
            <w:r>
              <w:rPr>
                <w:rFonts w:hint="eastAsia"/>
              </w:rPr>
              <w:t>（1）严格划定施工范围和人员、车辆的行走路线及施工和生活区域，避免对施工范围之外的区域的植被造成不必要的碾压和破坏；项目施工完成后，需对施工营地临时占地进行覆土、绿化等生态恢复措施。</w:t>
            </w:r>
          </w:p>
          <w:p>
            <w:pPr>
              <w:pStyle w:val="2"/>
              <w:ind w:firstLine="480"/>
            </w:pPr>
            <w:r>
              <w:rPr>
                <w:rFonts w:hint="eastAsia"/>
              </w:rPr>
              <w:t>（2）项目</w:t>
            </w:r>
            <w:r>
              <w:rPr>
                <w:rFonts w:hint="eastAsia"/>
                <w:lang w:val="en-US" w:eastAsia="zh-CN"/>
              </w:rPr>
              <w:t>02#地块主体工程</w:t>
            </w:r>
            <w:r>
              <w:rPr>
                <w:rFonts w:hint="eastAsia"/>
                <w:sz w:val="24"/>
                <w:lang w:val="en-US" w:eastAsia="zh-CN"/>
              </w:rPr>
              <w:t>已建成部分</w:t>
            </w:r>
            <w:r>
              <w:rPr>
                <w:rFonts w:hint="eastAsia"/>
                <w:lang w:val="en-US" w:eastAsia="zh-CN"/>
              </w:rPr>
              <w:t>、03#地块主体工程已建成，04#地块正处于土方开挖阶段，根据现场勘察，04#地块</w:t>
            </w:r>
            <w:r>
              <w:rPr>
                <w:rFonts w:hint="eastAsia"/>
              </w:rPr>
              <w:t>占用建设用地区域无古树名木，施工完成后要尽快进行绿化与生态恢复建设，减少水土流失。</w:t>
            </w:r>
          </w:p>
          <w:p>
            <w:pPr>
              <w:pStyle w:val="2"/>
              <w:ind w:firstLine="480"/>
            </w:pPr>
            <w:r>
              <w:rPr>
                <w:rFonts w:hint="eastAsia"/>
              </w:rPr>
              <w:t>（3）绿化恢复措施采用因地制宜采用规则式、自然式、混合式等多种配套方式种植。</w:t>
            </w:r>
          </w:p>
          <w:p>
            <w:pPr>
              <w:pStyle w:val="2"/>
              <w:ind w:firstLine="482"/>
              <w:rPr>
                <w:b/>
                <w:bCs/>
              </w:rPr>
            </w:pPr>
            <w:bookmarkStart w:id="7" w:name="_Toc496628812"/>
            <w:r>
              <w:rPr>
                <w:rFonts w:hint="eastAsia"/>
                <w:b/>
                <w:bCs/>
              </w:rPr>
              <w:t>二、动物的生态保护措施</w:t>
            </w:r>
            <w:bookmarkEnd w:id="7"/>
          </w:p>
          <w:p>
            <w:pPr>
              <w:pStyle w:val="2"/>
              <w:ind w:firstLine="480"/>
            </w:pPr>
            <w:r>
              <w:rPr>
                <w:rFonts w:hint="eastAsia"/>
              </w:rPr>
              <w:t>（1）施工开始时间最好选择在鸟类非繁殖期，以避免对项目区内外鸟类繁殖造成消极影响；应合理安排施工季节和作业时间，严禁夜间施工及在施工场地使用强光照明设备，施工期间严格控制工程施工噪声对各类动物的影响。在候鸟迁徙季节，应在施工区域树立警示牌、宣传标语等。</w:t>
            </w:r>
          </w:p>
          <w:p>
            <w:pPr>
              <w:pStyle w:val="2"/>
              <w:ind w:firstLine="480"/>
            </w:pPr>
            <w:r>
              <w:rPr>
                <w:rFonts w:hint="eastAsia"/>
              </w:rPr>
              <w:t>（2）施工期间对施工人员的行为加强约束，做到文明施工，管理好生活垃圾、油料、涂料，禁止随意向周边堆放；尽量选择噪音小、污染少新型机械，禁止性能差、排污（浓烟）多、噪音大、效率低的老（旧）机械进入施工场地；加强对施工机械的定期维护和检修，确保机械的正常高效运转；对机械的废油和油污的管理必须严格控制，禁止随地倾倒和排放，有效避免对附近地表水体的污染。</w:t>
            </w:r>
          </w:p>
          <w:p>
            <w:pPr>
              <w:pStyle w:val="2"/>
              <w:ind w:firstLine="480"/>
            </w:pPr>
            <w:r>
              <w:rPr>
                <w:rFonts w:hint="eastAsia"/>
              </w:rPr>
              <w:t>（3）一旦在施工期间在施工区域发现野生保护两栖爬行动物后，应及时进行应急救援。在施工区域设置警示牌、标示牌，并采取常规观察和重点巡查，如发现需要特殊保护的湿地鸟类，应对其保护，可有效减少施工对保护区的生态影响。</w:t>
            </w:r>
          </w:p>
          <w:p>
            <w:pPr>
              <w:pStyle w:val="2"/>
              <w:ind w:firstLine="480"/>
            </w:pPr>
            <w:r>
              <w:rPr>
                <w:rFonts w:hint="eastAsia"/>
              </w:rPr>
              <w:t>（4）施工期后期应及时进行绿化工程，植树种草，可招引扩散出去的野生动物回归。</w:t>
            </w:r>
          </w:p>
          <w:p>
            <w:pPr>
              <w:pStyle w:val="2"/>
              <w:ind w:firstLine="482"/>
              <w:rPr>
                <w:b/>
                <w:bCs/>
              </w:rPr>
            </w:pPr>
            <w:r>
              <w:rPr>
                <w:rFonts w:hint="eastAsia"/>
                <w:b/>
                <w:bCs/>
              </w:rPr>
              <w:t>三、水保措施</w:t>
            </w:r>
          </w:p>
          <w:p>
            <w:pPr>
              <w:pStyle w:val="2"/>
              <w:ind w:firstLine="480"/>
            </w:pPr>
            <w:r>
              <w:rPr>
                <w:rFonts w:hint="eastAsia"/>
                <w:sz w:val="24"/>
                <w:lang w:eastAsia="zh-CN"/>
              </w:rPr>
              <w:t>本项目目前只有</w:t>
            </w:r>
            <w:r>
              <w:rPr>
                <w:rFonts w:hint="eastAsia"/>
                <w:sz w:val="24"/>
                <w:lang w:val="en-US" w:eastAsia="zh-CN"/>
              </w:rPr>
              <w:t>04#地块处于土方开挖阶段，</w:t>
            </w:r>
            <w:r>
              <w:rPr>
                <w:rFonts w:hint="eastAsia"/>
              </w:rPr>
              <w:t>为防止施工期间雨水对施工场地边坡的影响，04#地块开挖边坡上已设置截水沟，截水沟采用砖砌排水沟，截水沟两端出水口处布置砖砌沉砂池；在临时堆土场周边采取袋装土垒砌、彩条布覆盖等临时防护措施，使施工过程中出现的临时堆土产生的水土流失在“点”上集中拦蓄；沿用地红线设置施工围栏，隔离项目区和非项目区，场地内修建排水沟，收集项目区内降雨形成的水流，将水流引入沉沙池内进行泥沙沉淀，避免直接流出项目区，使水土流失在“线”上有效控制，总体控制输出泥沙量；同时对内部景观及周边高地与主体工程用地在场地平整后存在的高差进行生态护坡，不仅能增强项目区的景观效果、保证项目施工安全，还能结合主体工程措施，保持项目区内水土，防治水土流失，使水土流失形成“面”的防治。这样通过点、线、面的综合防治措施有机结合、相互作用，形成立体的综合防治体系，达到保护地表，防止水土流失，改善生态环境的目的。</w:t>
            </w:r>
          </w:p>
          <w:p>
            <w:pPr>
              <w:pStyle w:val="2"/>
              <w:ind w:firstLine="0" w:firstLineChars="0"/>
              <w:rPr>
                <w:b/>
                <w:bCs/>
              </w:rPr>
            </w:pPr>
            <w:r>
              <w:rPr>
                <w:rFonts w:hint="eastAsia"/>
                <w:b/>
                <w:bCs/>
              </w:rPr>
              <w:t>项目施工期涉及污染物影响的主要保护措施如下：</w:t>
            </w:r>
          </w:p>
          <w:p>
            <w:pPr>
              <w:pStyle w:val="2"/>
              <w:ind w:firstLine="482"/>
              <w:rPr>
                <w:b/>
                <w:bCs/>
              </w:rPr>
            </w:pPr>
            <w:r>
              <w:rPr>
                <w:rFonts w:hint="eastAsia"/>
                <w:b/>
                <w:bCs/>
              </w:rPr>
              <w:t>一、废气</w:t>
            </w:r>
          </w:p>
          <w:p>
            <w:pPr>
              <w:pStyle w:val="2"/>
              <w:ind w:firstLine="480"/>
            </w:pPr>
            <w:r>
              <w:rPr>
                <w:rFonts w:hint="eastAsia"/>
              </w:rPr>
              <w:t>本项目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lang w:val="en-US" w:eastAsia="zh-CN"/>
              </w:rPr>
              <w:t>，</w:t>
            </w:r>
            <w:r>
              <w:rPr>
                <w:rFonts w:hint="eastAsia"/>
                <w:lang w:eastAsia="zh-CN"/>
              </w:rPr>
              <w:t>项目</w:t>
            </w:r>
            <w:r>
              <w:rPr>
                <w:rFonts w:hint="eastAsia"/>
              </w:rPr>
              <w:t>施工期间，为了降低施工期扬尘对周围居民及项目所在区域空气环境的影响，建设单位应按照《岳阳市扬尘污染防治条例》（岳阳市第八届人民代表大会常务委员会公告2019年第3号）和《湖南省大气污染物防治条例》中相关要求对施工现场进行如下措施：</w:t>
            </w:r>
          </w:p>
          <w:p>
            <w:pPr>
              <w:pStyle w:val="2"/>
              <w:ind w:firstLine="480"/>
            </w:pPr>
            <w:r>
              <w:rPr>
                <w:rFonts w:hint="eastAsia"/>
              </w:rPr>
              <w:t>（1）城市主要路段、一般路段的施工工地应当分别设置高度不低于二点五米、一点八米的硬质封闭围挡或者围墙</w:t>
            </w:r>
            <w:r>
              <w:rPr>
                <w:rStyle w:val="22"/>
                <w:rFonts w:hint="eastAsia"/>
              </w:rPr>
              <w:t>；</w:t>
            </w:r>
          </w:p>
          <w:p>
            <w:pPr>
              <w:pStyle w:val="2"/>
              <w:ind w:firstLine="480"/>
            </w:pPr>
            <w:r>
              <w:rPr>
                <w:rFonts w:hint="eastAsia"/>
              </w:rPr>
              <w:t>（2）合理选择建筑材料的运输线路，施工工地进出道路必须进行硬化处理，易产生扬尘的散装物料、渣土和建筑垃圾的运输必须进行密闭式运输；在进行产生泥浆的施工作业时，应当配备相应的泥浆池、泥浆沟、废浆应当采用密闭式罐车外运；</w:t>
            </w:r>
          </w:p>
          <w:p>
            <w:pPr>
              <w:pStyle w:val="2"/>
              <w:ind w:firstLine="480"/>
            </w:pPr>
            <w:r>
              <w:rPr>
                <w:rFonts w:hint="eastAsia"/>
              </w:rPr>
              <w:t>（3）合理安排混凝土搅拌与建筑材料的堆放场地，对易起尘的建筑材料加盖篷布或实行库内堆放的管理，并由施工员负责覆盖工作，并经常检查覆盖情况，如发现有破损或未覆盖处立即进行修补、覆盖。汽车运输沙土和建材时也采取相应的措施，并对主要施工运输道路定期清扫、洒水（每天4~5次），如遇到风沙天气，相应增加洒水次数，这样可以使空气中扬尘量大大减少（减70%左右），达到较好的降尘效果。</w:t>
            </w:r>
          </w:p>
          <w:p>
            <w:pPr>
              <w:pStyle w:val="2"/>
              <w:ind w:firstLine="480"/>
            </w:pPr>
            <w:r>
              <w:rPr>
                <w:rFonts w:hint="eastAsia"/>
              </w:rPr>
              <w:t>（4）建筑垃圾、工程渣土在48小时内不能完成清运的，应当在施工工地内设置临时堆放场，临时堆放场应当采取围挡、覆盖等防尘措施。管线工程施工堆土应当采取边挖边装边运等扬尘污染防治措施；</w:t>
            </w:r>
          </w:p>
          <w:p>
            <w:pPr>
              <w:pStyle w:val="2"/>
              <w:ind w:firstLine="480"/>
            </w:pPr>
            <w:r>
              <w:rPr>
                <w:rFonts w:hint="eastAsia"/>
              </w:rPr>
              <w:t>（5）根据《岳阳市扬尘污染防治条例》要求，本项目施工工地需达到“六个100%”（工地周边围挡、裸露土地和物料堆放覆盖、土方开挖湿法作业、路面硬化、出入车辆清洗、渣土车辆密闭运输达到100%），以减轻施工扬尘对大气的污染；</w:t>
            </w:r>
          </w:p>
          <w:p>
            <w:pPr>
              <w:pStyle w:val="2"/>
              <w:ind w:firstLine="480"/>
            </w:pPr>
            <w:r>
              <w:rPr>
                <w:rFonts w:hint="eastAsia"/>
              </w:rPr>
              <w:t>（6）采用商品混凝土，不进行现场搅拌混凝土，并定期进行洒水；工程脚手架外侧使用密闭安全网进行封闭；</w:t>
            </w:r>
          </w:p>
          <w:p>
            <w:pPr>
              <w:pStyle w:val="2"/>
              <w:ind w:firstLine="480"/>
            </w:pPr>
            <w:r>
              <w:rPr>
                <w:rFonts w:hint="eastAsia"/>
              </w:rPr>
              <w:t>（7）合理选择施工工期，尽量避免在雨季，施工完成后，不得闲置土地，应尽快对建设区进行水土保持设施和环境绿化工程等建设，使场地土面及时得到绿化覆盖，避免水土流失，美化环境。</w:t>
            </w:r>
          </w:p>
          <w:p>
            <w:pPr>
              <w:pStyle w:val="2"/>
              <w:ind w:firstLine="480"/>
            </w:pPr>
            <w:r>
              <w:rPr>
                <w:rFonts w:hint="eastAsia"/>
              </w:rPr>
              <w:t>（8）禁止在大风天气时进行搅拌作业、减少建筑材料的露天堆放；严禁燃烧废物；严禁高空抛撒垃圾。</w:t>
            </w:r>
          </w:p>
          <w:p>
            <w:pPr>
              <w:pStyle w:val="2"/>
              <w:ind w:firstLine="480"/>
            </w:pPr>
            <w:r>
              <w:rPr>
                <w:rFonts w:hint="eastAsia"/>
              </w:rPr>
              <w:t>（9）在施工场地范围内应设置噪声与扬尘在线监测系统。</w:t>
            </w:r>
          </w:p>
          <w:p>
            <w:pPr>
              <w:pStyle w:val="2"/>
              <w:ind w:firstLine="482"/>
              <w:rPr>
                <w:b/>
                <w:bCs/>
              </w:rPr>
            </w:pPr>
            <w:r>
              <w:rPr>
                <w:rFonts w:hint="eastAsia"/>
                <w:b/>
                <w:bCs/>
              </w:rPr>
              <w:t>二、废水</w:t>
            </w:r>
          </w:p>
          <w:p>
            <w:pPr>
              <w:pStyle w:val="2"/>
              <w:ind w:firstLine="480"/>
            </w:pPr>
            <w:r>
              <w:t>为减小施工废水、雨季施工期地表径流低洼渍水及水土流失对区域地表水环境和周边居民的影响，</w:t>
            </w:r>
            <w:r>
              <w:rPr>
                <w:rFonts w:hint="eastAsia"/>
              </w:rPr>
              <w:t>应</w:t>
            </w:r>
            <w:r>
              <w:t>采取如下防治措施：</w:t>
            </w:r>
          </w:p>
          <w:p>
            <w:pPr>
              <w:pStyle w:val="2"/>
              <w:ind w:firstLine="480"/>
            </w:pPr>
            <w:r>
              <w:rPr>
                <w:rFonts w:hint="eastAsia"/>
              </w:rPr>
              <w:t>（1）</w:t>
            </w:r>
            <w:r>
              <w:t>工程施工场地应设置完善的配套排水系统、泥浆沉淀设施。在施工围墙（挡）内四周应设置排水沟，排水沟废水进入</w:t>
            </w:r>
            <w:r>
              <w:rPr>
                <w:rFonts w:hint="eastAsia"/>
              </w:rPr>
              <w:t>隔油沉淀池</w:t>
            </w:r>
            <w:r>
              <w:t>。严禁废水未经任何处理直排区域地表水体，造成现状水体环境水质恶化。</w:t>
            </w:r>
          </w:p>
          <w:p>
            <w:pPr>
              <w:pStyle w:val="2"/>
              <w:ind w:firstLine="480"/>
            </w:pPr>
            <w:r>
              <w:t>（2）合理选择施工工期，尽量避免在雨季，施工完成后，不得闲置土地，应尽快对建设区进行水土保持设施和环境绿化工程等建设，使场地土面及时得到绿化覆盖，避免水土流失，美化环境。</w:t>
            </w:r>
          </w:p>
          <w:p>
            <w:pPr>
              <w:pStyle w:val="2"/>
              <w:ind w:firstLine="480"/>
            </w:pPr>
            <w:r>
              <w:t>（3）建筑工程施工现场大门出入口处必须设置车辆冲洗设施，</w:t>
            </w:r>
            <w:r>
              <w:rPr>
                <w:rFonts w:hint="eastAsia"/>
              </w:rPr>
              <w:t>清洗施工机械、车辆所产生的含油废水或废弃物，不得随意弃置和倾流，含油污水不得随意排放，</w:t>
            </w:r>
            <w:r>
              <w:t>对驶出施工现场的机动车辆冲洗干净后方可上路行驶，严禁施工现场内的泥土和污水污染城市道路。</w:t>
            </w:r>
          </w:p>
          <w:p>
            <w:pPr>
              <w:pStyle w:val="2"/>
              <w:ind w:firstLine="480"/>
            </w:pPr>
            <w:r>
              <w:rPr>
                <w:rFonts w:hint="eastAsia"/>
              </w:rPr>
              <w:t>（4）</w:t>
            </w:r>
            <w:r>
              <w:t>施工中采取临时防护措施，如在场地周围设临时排洪沟，并用草席、沙袋等对坡面进行护理，必须同时建设护墙等辅助工程，以稳定施工裸露地表的边坡，确保下雨时不出现大量水土流失，控制施工期间污泥悬浮物的浓度。</w:t>
            </w:r>
          </w:p>
          <w:p>
            <w:pPr>
              <w:pStyle w:val="2"/>
              <w:ind w:firstLine="482"/>
              <w:rPr>
                <w:b/>
                <w:bCs/>
              </w:rPr>
            </w:pPr>
            <w:r>
              <w:rPr>
                <w:rFonts w:hint="eastAsia"/>
                <w:b/>
                <w:bCs/>
              </w:rPr>
              <w:t>三、噪声</w:t>
            </w:r>
          </w:p>
          <w:p>
            <w:pPr>
              <w:pStyle w:val="2"/>
              <w:ind w:firstLine="480"/>
            </w:pPr>
            <w:r>
              <w:t>针对施工期声环境影响，</w:t>
            </w:r>
            <w:r>
              <w:rPr>
                <w:rFonts w:hint="eastAsia"/>
              </w:rPr>
              <w:t>本项目施工期须采取如下措施防止噪声污染：</w:t>
            </w:r>
          </w:p>
          <w:p>
            <w:pPr>
              <w:pStyle w:val="2"/>
              <w:ind w:firstLine="480"/>
            </w:pPr>
            <w:r>
              <w:rPr>
                <w:rFonts w:hint="eastAsia"/>
              </w:rPr>
              <w:t>（1）合理安排施工时间，严禁</w:t>
            </w:r>
            <w:r>
              <w:t>在12:00~2:00</w:t>
            </w:r>
            <w:r>
              <w:rPr>
                <w:rFonts w:hint="eastAsia"/>
              </w:rPr>
              <w:t>时段</w:t>
            </w:r>
            <w:r>
              <w:t>和22:00~6:00</w:t>
            </w:r>
            <w:r>
              <w:rPr>
                <w:rFonts w:hint="eastAsia"/>
              </w:rPr>
              <w:t>时段施工，如工艺要求必须夜间施工时，必须先向环境保护主管部门申请同意，并公告四邻；</w:t>
            </w:r>
          </w:p>
          <w:p>
            <w:pPr>
              <w:pStyle w:val="2"/>
              <w:ind w:firstLine="480"/>
            </w:pPr>
            <w:r>
              <w:rPr>
                <w:rFonts w:hint="eastAsia"/>
              </w:rPr>
              <w:t>（2）建设方应严格按照施工规范加以控制。选用低噪声机械，并进行隔声及减振处理；对环境噪声污染严重的落后施工机械和施工方式实施淘汰制度。施工中应采用先进的生产工艺和低噪声新技术，使噪声污染在施工中得到控制；</w:t>
            </w:r>
          </w:p>
          <w:p>
            <w:pPr>
              <w:pStyle w:val="2"/>
              <w:ind w:firstLine="480"/>
            </w:pPr>
            <w:r>
              <w:rPr>
                <w:rFonts w:hint="eastAsia"/>
              </w:rPr>
              <w:t>（3）合理布局施工场地，将有固定工作地点的施工机械尽量设置在距居民区较远的位置，并采取适当的封闭和隔声措施；</w:t>
            </w:r>
          </w:p>
          <w:p>
            <w:pPr>
              <w:pStyle w:val="2"/>
              <w:ind w:firstLine="480"/>
            </w:pPr>
            <w:r>
              <w:rPr>
                <w:rFonts w:hint="eastAsia"/>
              </w:rPr>
              <w:t>（4）在施工机械与设备与基础或连接部位之间采用弹簧减震、橡胶减震、管道减震、阻尼减震技术，可减少动量，确保本项目噪声对周围居民的影响降至最低；</w:t>
            </w:r>
          </w:p>
          <w:p>
            <w:pPr>
              <w:pStyle w:val="2"/>
              <w:ind w:firstLine="480"/>
            </w:pPr>
            <w:r>
              <w:rPr>
                <w:rFonts w:hint="eastAsia"/>
              </w:rPr>
              <w:t>（5）项目还应该加强对施工人员的管理，做到文明施工，避免人为噪声的产生。</w:t>
            </w:r>
          </w:p>
          <w:p>
            <w:pPr>
              <w:pStyle w:val="2"/>
              <w:ind w:firstLine="482"/>
              <w:rPr>
                <w:b/>
                <w:bCs/>
              </w:rPr>
            </w:pPr>
            <w:r>
              <w:rPr>
                <w:rFonts w:hint="eastAsia"/>
                <w:b/>
                <w:bCs/>
              </w:rPr>
              <w:t>四、固体废物</w:t>
            </w:r>
          </w:p>
          <w:p>
            <w:pPr>
              <w:pStyle w:val="2"/>
              <w:ind w:firstLine="480"/>
            </w:pPr>
            <w:r>
              <w:rPr>
                <w:rFonts w:hint="eastAsia"/>
              </w:rPr>
              <w:t>本项目施工期产生的固体废弃物应分类堆放在指定的堆放点，根据不同的成分采用不同的处理方式：</w:t>
            </w:r>
          </w:p>
          <w:p>
            <w:pPr>
              <w:pStyle w:val="2"/>
              <w:ind w:firstLine="480"/>
            </w:pPr>
            <w:r>
              <w:rPr>
                <w:rFonts w:hint="eastAsia"/>
              </w:rPr>
              <w:t>（1）对于开挖过程产生的土石方，应尽量回填处理，剩余部分委托有资质的专业渣土运输公司进行处置，并做好台账记录，严禁随意倾倒土石方；</w:t>
            </w:r>
          </w:p>
          <w:p>
            <w:pPr>
              <w:pStyle w:val="2"/>
              <w:ind w:firstLine="480"/>
            </w:pPr>
            <w:r>
              <w:rPr>
                <w:rFonts w:hint="eastAsia"/>
              </w:rPr>
              <w:t>（2）应尽量考虑废料的回收利用，将一些有用的建筑固体废物回收利用，如钢筋、钢板、木材等下角料，避免浪费；</w:t>
            </w:r>
          </w:p>
          <w:p>
            <w:pPr>
              <w:pStyle w:val="2"/>
              <w:ind w:firstLine="480"/>
            </w:pPr>
            <w:r>
              <w:rPr>
                <w:rFonts w:hint="eastAsia"/>
              </w:rPr>
              <w:t>（3）无用的建筑垃圾</w:t>
            </w:r>
            <w:r>
              <w:t>应集中堆放，定时清运</w:t>
            </w:r>
            <w:r>
              <w:rPr>
                <w:rFonts w:hint="eastAsia"/>
              </w:rPr>
              <w:t>至指定的建筑垃圾填埋进行场安全填埋</w:t>
            </w:r>
            <w:r>
              <w:t>；</w:t>
            </w:r>
          </w:p>
          <w:p>
            <w:pPr>
              <w:pStyle w:val="2"/>
              <w:ind w:firstLine="480"/>
            </w:pPr>
            <w:r>
              <w:rPr>
                <w:rFonts w:hint="eastAsia"/>
              </w:rPr>
              <w:t>（4）</w:t>
            </w:r>
            <w:r>
              <w:t>对于一些有害的建筑垃圾，如废油漆涂料及其废弃的盛装容器，要集中</w:t>
            </w:r>
            <w:r>
              <w:rPr>
                <w:rFonts w:hint="eastAsia"/>
              </w:rPr>
              <w:t>交有</w:t>
            </w:r>
            <w:r>
              <w:t>资质的危废</w:t>
            </w:r>
            <w:r>
              <w:rPr>
                <w:rFonts w:hint="eastAsia"/>
              </w:rPr>
              <w:t>处置</w:t>
            </w:r>
            <w:r>
              <w:t>单位</w:t>
            </w:r>
            <w:r>
              <w:rPr>
                <w:rFonts w:hint="eastAsia"/>
              </w:rPr>
              <w:t>进行</w:t>
            </w:r>
            <w:r>
              <w:t>处置</w:t>
            </w:r>
            <w:r>
              <w:rPr>
                <w:rFonts w:hint="eastAsia"/>
              </w:rPr>
              <w:t>；</w:t>
            </w:r>
          </w:p>
          <w:p>
            <w:pPr>
              <w:pStyle w:val="2"/>
              <w:ind w:firstLine="480"/>
            </w:pPr>
            <w:r>
              <w:rPr>
                <w:rFonts w:hint="eastAsia"/>
              </w:rPr>
              <w:t>（5）废弃的包装材料可交由废品收购中心进行处理；</w:t>
            </w:r>
          </w:p>
          <w:p>
            <w:pPr>
              <w:pStyle w:val="2"/>
              <w:ind w:firstLine="480"/>
            </w:pPr>
            <w:r>
              <w:rPr>
                <w:rFonts w:hint="eastAsia"/>
              </w:rPr>
              <w:t>（6）施工人员生活垃圾定期交由环卫部门清运；</w:t>
            </w:r>
          </w:p>
          <w:p>
            <w:pPr>
              <w:pStyle w:val="2"/>
              <w:ind w:firstLine="480"/>
            </w:pPr>
            <w:r>
              <w:rPr>
                <w:rFonts w:hint="eastAsia"/>
              </w:rPr>
              <w:t>（7）运输渣土的车辆应采用密闭装置防扬尘和遗撒且需符合《建筑垃圾运输车辆标识、监控和密闭技术要求》中的相关规定。</w:t>
            </w:r>
          </w:p>
          <w:p>
            <w:pPr>
              <w:pStyle w:val="2"/>
              <w:ind w:firstLine="480"/>
            </w:pPr>
          </w:p>
          <w:p>
            <w:pPr>
              <w:pStyle w:val="13"/>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753" w:type="dxa"/>
            <w:tcMar>
              <w:left w:w="28" w:type="dxa"/>
              <w:right w:w="28" w:type="dxa"/>
            </w:tcMar>
            <w:vAlign w:val="center"/>
          </w:tcPr>
          <w:p>
            <w:pPr>
              <w:adjustRightInd w:val="0"/>
              <w:snapToGrid w:val="0"/>
              <w:jc w:val="center"/>
              <w:rPr>
                <w:rFonts w:ascii="宋体" w:hAnsi="宋体" w:cs="宋体"/>
                <w:bCs/>
                <w:spacing w:val="10"/>
                <w:sz w:val="24"/>
              </w:rPr>
            </w:pPr>
            <w:r>
              <w:rPr>
                <w:rFonts w:hint="eastAsia" w:ascii="宋体" w:hAnsi="宋体" w:cs="宋体"/>
                <w:bCs/>
                <w:spacing w:val="10"/>
                <w:sz w:val="24"/>
              </w:rPr>
              <w:t>运营期生态环境保护措施</w:t>
            </w:r>
          </w:p>
        </w:tc>
        <w:tc>
          <w:tcPr>
            <w:tcW w:w="8457" w:type="dxa"/>
          </w:tcPr>
          <w:p>
            <w:pPr>
              <w:pStyle w:val="2"/>
              <w:ind w:firstLine="0" w:firstLineChars="0"/>
              <w:rPr>
                <w:b/>
                <w:bCs/>
              </w:rPr>
            </w:pPr>
            <w:r>
              <w:rPr>
                <w:rFonts w:hint="eastAsia"/>
                <w:b/>
                <w:bCs/>
              </w:rPr>
              <w:t>项目运营期生态环境主要保护措施如下：</w:t>
            </w:r>
          </w:p>
          <w:p>
            <w:pPr>
              <w:pStyle w:val="2"/>
              <w:ind w:firstLine="480"/>
            </w:pPr>
            <w:bookmarkStart w:id="8" w:name="_Toc500854743"/>
            <w:bookmarkStart w:id="9" w:name="_Toc499280438"/>
            <w:bookmarkStart w:id="10" w:name="_Toc496628817"/>
            <w:r>
              <w:t>施工期间，由于建设需要，</w:t>
            </w:r>
            <w:r>
              <w:rPr>
                <w:rFonts w:hint="eastAsia"/>
              </w:rPr>
              <w:t>会破坏</w:t>
            </w:r>
            <w:r>
              <w:t>项目所在地原有的</w:t>
            </w:r>
            <w:r>
              <w:rPr>
                <w:rFonts w:hint="eastAsia"/>
              </w:rPr>
              <w:t>地表</w:t>
            </w:r>
            <w:r>
              <w:t>，这样应破坏了项目所在地原有的生态系统平衡，对环境生态造成影响。此外，施工期间开挖的土石方，造成水土流失也会对生态环境造成影响。</w:t>
            </w:r>
          </w:p>
          <w:p>
            <w:pPr>
              <w:pStyle w:val="2"/>
              <w:ind w:firstLine="480"/>
            </w:pPr>
            <w:r>
              <w:t>为了有效恢复原有生态环境，为营造一个优美、舒适、清浩、的生活环境，减轻环境污染，建议建设单位在设计上做好绿化措施，力求增加绿化面积，广场花草树木，注重景观建设。在项目空隙地方建设一些小型花坛，种植一些观赏价值高，生命力强，易成活的花草，在小区的围墙及栏杆周围移植一些容易成活的树木，并注意花草、树木的浇水和施肥工作，花草的维护应有专门的园林师进行管理，确保小区的绿化工作。</w:t>
            </w:r>
          </w:p>
          <w:p>
            <w:pPr>
              <w:pStyle w:val="2"/>
              <w:ind w:firstLine="480"/>
            </w:pPr>
            <w:r>
              <w:t>经过对项目的绿化，及时在项目裸土上种植草皮，特别是移植一些大的观赏树木，使被破坏的生态能得到尽快的恢复。项目四周及道路两侧绿化以种植成年树为主，以尽快形成能起防风、减尘、降噪、美化环境、减轻污染作用的绿化带。小区内采用园林式绿化，营造出一种层次丰富、布局活波的视觉效果。通过以上措施可营造优美的生活环境，又可有效保护良好的生态环境。以上关于恢复建设项目生态的措施是成熟、经济可行的，可以有效恢复项目周围生态，将施工过程中对环境造成的破坏降到最低。</w:t>
            </w:r>
          </w:p>
          <w:p>
            <w:pPr>
              <w:pStyle w:val="2"/>
              <w:ind w:firstLine="480"/>
            </w:pPr>
            <w:r>
              <w:rPr>
                <w:rFonts w:hint="eastAsia"/>
              </w:rPr>
              <w:t>综上所述，建设单位只有合理规划，并制定切可行的生态建设方案，保证生态建设方案与项目规划同步进行，注重对生物物种、土地土壤质量的保护，改善区域的生态环境，使其与周围景观协调发展，并保证较高比率的绿地规模，弥补项目的建设对项目区域原有景观的不利影响，方可使项目区域形成更为和谐、美观的景观区域。</w:t>
            </w:r>
          </w:p>
          <w:bookmarkEnd w:id="8"/>
          <w:bookmarkEnd w:id="9"/>
          <w:bookmarkEnd w:id="10"/>
          <w:p>
            <w:pPr>
              <w:pStyle w:val="2"/>
              <w:ind w:firstLine="0" w:firstLineChars="0"/>
              <w:rPr>
                <w:b/>
                <w:bCs/>
              </w:rPr>
            </w:pPr>
            <w:r>
              <w:rPr>
                <w:rFonts w:hint="eastAsia"/>
                <w:b/>
                <w:bCs/>
              </w:rPr>
              <w:t>项目运营期涉及污染物影响的主要保护措施如下：</w:t>
            </w:r>
          </w:p>
          <w:p>
            <w:pPr>
              <w:pStyle w:val="2"/>
              <w:ind w:firstLine="482"/>
              <w:rPr>
                <w:b/>
                <w:bCs/>
              </w:rPr>
            </w:pPr>
            <w:r>
              <w:rPr>
                <w:rFonts w:hint="eastAsia"/>
                <w:b/>
                <w:bCs/>
              </w:rPr>
              <w:t>一、废气</w:t>
            </w:r>
          </w:p>
          <w:p>
            <w:pPr>
              <w:pStyle w:val="2"/>
              <w:ind w:firstLine="480"/>
            </w:pPr>
            <w:r>
              <w:rPr>
                <w:rFonts w:hint="eastAsia"/>
              </w:rPr>
              <w:t>1、油烟、天然气燃烧废气</w:t>
            </w:r>
          </w:p>
          <w:p>
            <w:pPr>
              <w:pStyle w:val="2"/>
              <w:ind w:firstLine="480"/>
            </w:pPr>
            <w:r>
              <w:rPr>
                <w:rFonts w:hint="eastAsia"/>
              </w:rPr>
              <w:t>本项目产生的幼儿园、居民厨房油烟以及天然气燃烧废气</w:t>
            </w:r>
            <w:r>
              <w:t>通过家庭油烟机脱油烟处理后经楼内专用排烟管道排放浓度低于2.0mg/m</w:t>
            </w:r>
            <w:r>
              <w:rPr>
                <w:vertAlign w:val="superscript"/>
              </w:rPr>
              <w:t>3</w:t>
            </w:r>
            <w:r>
              <w:rPr>
                <w:rFonts w:hint="eastAsia"/>
              </w:rPr>
              <w:t>，</w:t>
            </w:r>
            <w:r>
              <w:t>符合《饮食业油烟排放标准（试行）》（GB 18483-2001）中相关标准要求。</w:t>
            </w:r>
          </w:p>
          <w:p>
            <w:pPr>
              <w:pStyle w:val="2"/>
              <w:ind w:firstLine="480"/>
            </w:pPr>
            <w:r>
              <w:rPr>
                <w:rFonts w:hint="eastAsia"/>
              </w:rPr>
              <w:t>2、汽车尾气</w:t>
            </w:r>
          </w:p>
          <w:p>
            <w:pPr>
              <w:pStyle w:val="2"/>
              <w:ind w:firstLine="480"/>
            </w:pPr>
            <w:r>
              <w:rPr>
                <w:rFonts w:hint="eastAsia"/>
              </w:rPr>
              <w:t>本项目地面停车场</w:t>
            </w:r>
            <w:r>
              <w:t>汽车在地面进出小区的时间较短，行驶距离不长，地面车辆行驶</w:t>
            </w:r>
            <w:r>
              <w:rPr>
                <w:rFonts w:hint="eastAsia"/>
              </w:rPr>
              <w:t>的</w:t>
            </w:r>
            <w:r>
              <w:t>尾气通过自然逸散</w:t>
            </w:r>
            <w:r>
              <w:rPr>
                <w:rFonts w:hint="eastAsia"/>
              </w:rPr>
              <w:t>和周围绿植吸附后</w:t>
            </w:r>
            <w:r>
              <w:t>，产生的污染</w:t>
            </w:r>
            <w:r>
              <w:rPr>
                <w:rFonts w:hint="eastAsia"/>
              </w:rPr>
              <w:t>影响</w:t>
            </w:r>
            <w:r>
              <w:t>较小</w:t>
            </w:r>
            <w:r>
              <w:rPr>
                <w:rFonts w:hint="eastAsia"/>
              </w:rPr>
              <w:t>。</w:t>
            </w:r>
            <w:r>
              <w:t>地下车库废气通过换气排风系统将排放口设置在小区绿化带隐蔽处，排放口高于地面2.5m且远离住户窗口，同时对排放口周边进行美化，不会影响区域空气环境质量。</w:t>
            </w:r>
          </w:p>
          <w:p>
            <w:pPr>
              <w:pStyle w:val="2"/>
              <w:ind w:firstLine="480"/>
            </w:pPr>
            <w:r>
              <w:rPr>
                <w:rFonts w:hint="eastAsia"/>
              </w:rPr>
              <w:t>3、</w:t>
            </w:r>
            <w:r>
              <w:t>恶臭气体</w:t>
            </w:r>
          </w:p>
          <w:p>
            <w:pPr>
              <w:pStyle w:val="2"/>
              <w:ind w:firstLine="480"/>
            </w:pPr>
            <w:r>
              <w:rPr>
                <w:rFonts w:hint="eastAsia"/>
              </w:rPr>
              <w:t>（1）通过定时给公厕喷除臭剂或空气清新剂，保持室内自然通风良好；加强对公厕设施的维护；尤其在夏季时，加大公厕清扫保洁力度等措施，可有效降低恶臭对环境的影响，公厕臭气对环境影响极小。</w:t>
            </w:r>
          </w:p>
          <w:p>
            <w:pPr>
              <w:pStyle w:val="2"/>
              <w:ind w:firstLine="480"/>
            </w:pPr>
            <w:r>
              <w:rPr>
                <w:rFonts w:hint="eastAsia"/>
              </w:rPr>
              <w:t>（2）</w:t>
            </w:r>
            <w:r>
              <w:t>项目垃圾收集点采用密闭带盖分类塑料垃圾桶储存收集垃圾，并用塑料袋分装，</w:t>
            </w:r>
            <w:r>
              <w:rPr>
                <w:rFonts w:hint="eastAsia"/>
              </w:rPr>
              <w:t>02#地块东北角的垃圾站采用地埋式进行垃圾处理，地埋式垃圾站产生的废气污染影响较小，04#地块东南角垃圾站距离周边建筑物有一定的距离，在做好每日清扫工作之后，产生的废气对周围环境影响较小。</w:t>
            </w:r>
          </w:p>
          <w:p>
            <w:pPr>
              <w:pStyle w:val="2"/>
              <w:ind w:firstLine="480"/>
            </w:pPr>
            <w:r>
              <w:rPr>
                <w:rFonts w:hint="eastAsia"/>
              </w:rPr>
              <w:t>（3）在</w:t>
            </w:r>
            <w:r>
              <w:t>垃圾</w:t>
            </w:r>
            <w:r>
              <w:rPr>
                <w:rFonts w:hint="eastAsia"/>
              </w:rPr>
              <w:t>收集点</w:t>
            </w:r>
            <w:r>
              <w:t>和公厕周边加大种植高大乔木和绿化带建设，即可减少垃圾暂存和公厕运行时产生异味对区域环境敏感点的影响，</w:t>
            </w:r>
            <w:r>
              <w:rPr>
                <w:rFonts w:hint="eastAsia"/>
              </w:rPr>
              <w:t>还能</w:t>
            </w:r>
            <w:r>
              <w:t>起到景观美化的效果。</w:t>
            </w:r>
          </w:p>
          <w:p>
            <w:pPr>
              <w:pStyle w:val="2"/>
              <w:ind w:firstLine="482"/>
              <w:rPr>
                <w:b/>
                <w:bCs/>
              </w:rPr>
            </w:pPr>
            <w:r>
              <w:rPr>
                <w:rFonts w:hint="eastAsia"/>
                <w:b/>
                <w:bCs/>
              </w:rPr>
              <w:t>二、废水</w:t>
            </w:r>
          </w:p>
          <w:p>
            <w:pPr>
              <w:pStyle w:val="2"/>
              <w:ind w:firstLine="480"/>
            </w:pPr>
            <w:r>
              <w:rPr>
                <w:rFonts w:hint="eastAsia"/>
              </w:rPr>
              <w:t>本项目</w:t>
            </w:r>
            <w:r>
              <w:t>产生的地下车库地面冲洗废水经隔油池预处理后与居民、商业区生活污水一起进入化粪池处理可达到《污水综合排放标准》（GB8978-1996）表4中的三级标准并</w:t>
            </w:r>
            <w:r>
              <w:rPr>
                <w:rFonts w:hint="eastAsia"/>
              </w:rPr>
              <w:t>能</w:t>
            </w:r>
            <w:r>
              <w:t>满足岳阳</w:t>
            </w:r>
            <w:r>
              <w:rPr>
                <w:rFonts w:hint="eastAsia"/>
              </w:rPr>
              <w:t>市马壕污水</w:t>
            </w:r>
            <w:r>
              <w:t>处理厂进水水质要求</w:t>
            </w:r>
            <w:r>
              <w:rPr>
                <w:rFonts w:hint="eastAsia"/>
              </w:rPr>
              <w:t>。经项目废水防治设施进行预处理后的生活污水经小区内污水管网收集后将通过市政污水管网排入岳阳市马壕污水处理厂进行深度处理达到</w:t>
            </w:r>
            <w:r>
              <w:t>《城镇污水处理厂污染物排放标准》（GB 18918-2002）中一级A标准后</w:t>
            </w:r>
            <w:r>
              <w:rPr>
                <w:rFonts w:hint="eastAsia"/>
              </w:rPr>
              <w:t>排入东风湖</w:t>
            </w:r>
            <w:r>
              <w:t>。</w:t>
            </w:r>
            <w:r>
              <w:rPr>
                <w:rFonts w:hint="eastAsia"/>
              </w:rPr>
              <w:t>根据本文第四章“运营期涉及污染物的影响分析”中的废水章节可知，本项目废水防治设施技术可行，间接排放进入岳阳市马壕污水处理出进行深度处理可行，且不会对周围环境造成明显影响。</w:t>
            </w:r>
          </w:p>
          <w:p>
            <w:pPr>
              <w:pStyle w:val="2"/>
              <w:ind w:firstLine="482"/>
              <w:rPr>
                <w:b/>
                <w:bCs/>
              </w:rPr>
            </w:pPr>
            <w:r>
              <w:rPr>
                <w:rFonts w:hint="eastAsia"/>
                <w:b/>
                <w:bCs/>
              </w:rPr>
              <w:t>三、噪声</w:t>
            </w:r>
          </w:p>
          <w:p>
            <w:pPr>
              <w:pStyle w:val="2"/>
              <w:ind w:firstLine="480"/>
            </w:pPr>
            <w:r>
              <w:t>针对</w:t>
            </w:r>
            <w:r>
              <w:rPr>
                <w:rFonts w:hint="eastAsia"/>
              </w:rPr>
              <w:t>运营期</w:t>
            </w:r>
            <w:r>
              <w:t>声环境影响，</w:t>
            </w:r>
            <w:r>
              <w:rPr>
                <w:rFonts w:hint="eastAsia"/>
              </w:rPr>
              <w:t>本项目须采取如下措施防止噪声污染：</w:t>
            </w:r>
          </w:p>
          <w:p>
            <w:pPr>
              <w:pStyle w:val="2"/>
              <w:ind w:firstLine="480"/>
            </w:pPr>
            <w:r>
              <w:rPr>
                <w:rFonts w:hint="eastAsia"/>
              </w:rPr>
              <w:t>（1）对有商业噪声产生的、且可能影响项目声环境的商业经营项目，业主或物业部门应当进行严格控制，合理布置其商业的使用功能。</w:t>
            </w:r>
          </w:p>
          <w:p>
            <w:pPr>
              <w:pStyle w:val="2"/>
              <w:ind w:firstLine="480"/>
            </w:pPr>
            <w:r>
              <w:rPr>
                <w:rFonts w:hint="eastAsia"/>
              </w:rPr>
              <w:t>（2）项目营运期间，主要为小型汽车，噪声排放具有间歇性。为减少噪声对周边环境的影响，本次评价建议在场区内应设置限速、禁止鸣笛等标志；在项目地下车库出入口坡道位置应加筑隔声防护墙和防雨顶棚，防止出入车库的车辆对小区内较近住宅楼产生噪声污染影响。</w:t>
            </w:r>
          </w:p>
          <w:p>
            <w:pPr>
              <w:pStyle w:val="2"/>
              <w:ind w:firstLine="480"/>
              <w:rPr>
                <w:sz w:val="24"/>
                <w:szCs w:val="24"/>
              </w:rPr>
            </w:pPr>
            <w:r>
              <w:rPr>
                <w:rFonts w:hint="eastAsia"/>
              </w:rPr>
              <w:t>（3）水泵、发电机、风机等设备选型时必须选用优质低噪设备；对于水泵、发电机应采取隔振降噪措施，水泵、发电机的基底与其四周的基础之间用缓冲材料减振，同时，水泵进出口处装可绕曲橡胶软接头；对于机械排风系统，加隔声罩，底座用减震器，风口设置消声器，并采用消声风管，风机和风管之间用软接头等；对配电间、发电机设备工作间，铺设30~60%的吸声材料，隔声门加橡皮条处理，设备运行时关闭门窗；居民空调机噪声主要是选择低噪声的空调机和注意选择合适的位置安装来控制。采取这些措施后，水泵、发电机和风机</w:t>
            </w:r>
            <w:r>
              <w:rPr>
                <w:rFonts w:hint="eastAsia"/>
                <w:sz w:val="24"/>
                <w:szCs w:val="24"/>
              </w:rPr>
              <w:t>等设备的噪声对周围环境影响较小。</w:t>
            </w:r>
          </w:p>
          <w:p>
            <w:pPr>
              <w:spacing w:line="360" w:lineRule="auto"/>
              <w:ind w:firstLine="480" w:firstLineChars="200"/>
              <w:rPr>
                <w:sz w:val="24"/>
                <w:szCs w:val="24"/>
              </w:rPr>
            </w:pPr>
            <w:r>
              <w:rPr>
                <w:sz w:val="24"/>
                <w:szCs w:val="24"/>
              </w:rPr>
              <w:t>项目采取上述噪声防护措施后，</w:t>
            </w:r>
            <w:r>
              <w:rPr>
                <w:rFonts w:hint="eastAsia"/>
                <w:sz w:val="24"/>
                <w:szCs w:val="24"/>
              </w:rPr>
              <w:t>东侧区域可达到《工业企业厂界环境噪声</w:t>
            </w:r>
            <w:r>
              <w:rPr>
                <w:sz w:val="24"/>
                <w:szCs w:val="24"/>
              </w:rPr>
              <w:t>排放标准》（GB</w:t>
            </w:r>
            <w:r>
              <w:rPr>
                <w:rFonts w:hint="eastAsia"/>
                <w:sz w:val="24"/>
                <w:szCs w:val="24"/>
              </w:rPr>
              <w:t>12348</w:t>
            </w:r>
            <w:r>
              <w:rPr>
                <w:sz w:val="24"/>
                <w:szCs w:val="24"/>
              </w:rPr>
              <w:t>-2008）</w:t>
            </w:r>
            <w:r>
              <w:rPr>
                <w:rFonts w:hint="eastAsia"/>
                <w:sz w:val="24"/>
                <w:szCs w:val="24"/>
              </w:rPr>
              <w:t>4类</w:t>
            </w:r>
            <w:r>
              <w:rPr>
                <w:sz w:val="24"/>
                <w:szCs w:val="24"/>
              </w:rPr>
              <w:t>标准</w:t>
            </w:r>
            <w:r>
              <w:rPr>
                <w:rFonts w:hint="eastAsia"/>
                <w:sz w:val="24"/>
                <w:szCs w:val="24"/>
              </w:rPr>
              <w:t>，其他区域可达到《工业企业厂界环境噪声</w:t>
            </w:r>
            <w:r>
              <w:rPr>
                <w:sz w:val="24"/>
                <w:szCs w:val="24"/>
              </w:rPr>
              <w:t>排放标准》（GB</w:t>
            </w:r>
            <w:r>
              <w:rPr>
                <w:rFonts w:hint="eastAsia"/>
                <w:sz w:val="24"/>
                <w:szCs w:val="24"/>
              </w:rPr>
              <w:t>12348</w:t>
            </w:r>
            <w:r>
              <w:rPr>
                <w:sz w:val="24"/>
                <w:szCs w:val="24"/>
              </w:rPr>
              <w:t>-2008）</w:t>
            </w:r>
            <w:r>
              <w:rPr>
                <w:rFonts w:hint="eastAsia"/>
                <w:sz w:val="24"/>
                <w:szCs w:val="24"/>
              </w:rPr>
              <w:t>2类</w:t>
            </w:r>
            <w:r>
              <w:rPr>
                <w:sz w:val="24"/>
                <w:szCs w:val="24"/>
              </w:rPr>
              <w:t>标准</w:t>
            </w:r>
            <w:r>
              <w:rPr>
                <w:rFonts w:hint="eastAsia"/>
                <w:sz w:val="24"/>
                <w:szCs w:val="24"/>
              </w:rPr>
              <w:t>。</w:t>
            </w:r>
          </w:p>
          <w:p>
            <w:pPr>
              <w:pStyle w:val="2"/>
              <w:ind w:firstLine="482"/>
              <w:rPr>
                <w:b/>
                <w:bCs/>
              </w:rPr>
            </w:pPr>
            <w:r>
              <w:rPr>
                <w:rFonts w:hint="eastAsia"/>
                <w:b/>
                <w:bCs/>
              </w:rPr>
              <w:t>四、固体废物</w:t>
            </w:r>
          </w:p>
          <w:p>
            <w:pPr>
              <w:pStyle w:val="2"/>
              <w:ind w:firstLine="480"/>
              <w:rPr>
                <w:rFonts w:hint="eastAsia" w:eastAsia="宋体"/>
                <w:lang w:eastAsia="zh-CN"/>
              </w:rPr>
            </w:pPr>
            <w:r>
              <w:rPr>
                <w:rFonts w:hint="eastAsia"/>
              </w:rPr>
              <w:t>本项目产生的生活垃圾及商业垃圾通过垃圾收集点的移动式垃圾收集桶进行收集后再转运到本项目的地埋式垃圾站和</w:t>
            </w:r>
            <w:r>
              <w:rPr>
                <w:rFonts w:hint="eastAsia"/>
                <w:lang w:eastAsia="zh-CN"/>
              </w:rPr>
              <w:t>地面</w:t>
            </w:r>
            <w:r>
              <w:rPr>
                <w:rFonts w:hint="eastAsia"/>
              </w:rPr>
              <w:t>垃圾站中，定期收集后交由当地环卫部门进行处置；化粪池污泥由专人进行清掏后交由环卫部门进行无害化处理</w:t>
            </w:r>
            <w:r>
              <w:rPr>
                <w:rFonts w:hint="eastAsia"/>
                <w:lang w:eastAsia="zh-CN"/>
              </w:rPr>
              <w:t>。</w:t>
            </w:r>
          </w:p>
          <w:p>
            <w:pPr>
              <w:pStyle w:val="2"/>
              <w:ind w:firstLine="482"/>
              <w:rPr>
                <w:rFonts w:hint="eastAsia" w:eastAsia="宋体"/>
                <w:b/>
                <w:bCs/>
                <w:color w:val="auto"/>
                <w:lang w:val="en-US" w:eastAsia="zh-CN"/>
              </w:rPr>
            </w:pPr>
            <w:r>
              <w:rPr>
                <w:rFonts w:hint="eastAsia"/>
                <w:b/>
                <w:bCs/>
                <w:color w:val="auto"/>
                <w:lang w:val="en-US" w:eastAsia="zh-CN"/>
              </w:rPr>
              <w:t>五</w:t>
            </w:r>
            <w:r>
              <w:rPr>
                <w:rFonts w:hint="eastAsia"/>
                <w:b/>
                <w:bCs/>
                <w:color w:val="auto"/>
              </w:rPr>
              <w:t>、</w:t>
            </w:r>
            <w:r>
              <w:rPr>
                <w:rFonts w:hint="eastAsia"/>
                <w:b/>
                <w:bCs/>
                <w:color w:val="auto"/>
                <w:lang w:val="en-US" w:eastAsia="zh-CN"/>
              </w:rPr>
              <w:t>外环境对本项目的影响</w:t>
            </w:r>
          </w:p>
          <w:p>
            <w:pPr>
              <w:pStyle w:val="2"/>
              <w:bidi w:val="0"/>
              <w:rPr>
                <w:rFonts w:hint="eastAsia"/>
                <w:color w:val="auto"/>
              </w:rPr>
            </w:pPr>
            <w:r>
              <w:rPr>
                <w:rFonts w:hint="eastAsia"/>
                <w:color w:val="auto"/>
              </w:rPr>
              <w:t>本项目周边</w:t>
            </w:r>
            <w:r>
              <w:rPr>
                <w:rFonts w:hint="eastAsia"/>
                <w:color w:val="auto"/>
                <w:lang w:eastAsia="zh-CN"/>
              </w:rPr>
              <w:t>有一个加油站，</w:t>
            </w:r>
            <w:r>
              <w:rPr>
                <w:rFonts w:hint="eastAsia"/>
                <w:color w:val="auto"/>
              </w:rPr>
              <w:t>无大型工业、企业，</w:t>
            </w:r>
            <w:r>
              <w:rPr>
                <w:rFonts w:hint="eastAsia"/>
                <w:color w:val="auto"/>
                <w:lang w:eastAsia="zh-CN"/>
              </w:rPr>
              <w:t>大气</w:t>
            </w:r>
            <w:r>
              <w:rPr>
                <w:rFonts w:hint="eastAsia"/>
                <w:color w:val="auto"/>
              </w:rPr>
              <w:t>污染</w:t>
            </w:r>
            <w:r>
              <w:rPr>
                <w:rFonts w:hint="eastAsia"/>
                <w:color w:val="auto"/>
                <w:lang w:eastAsia="zh-CN"/>
              </w:rPr>
              <w:t>影响</w:t>
            </w:r>
            <w:r>
              <w:rPr>
                <w:rFonts w:hint="eastAsia"/>
                <w:color w:val="auto"/>
              </w:rPr>
              <w:t>较小，建成后外环境对本项目的影响主要是</w:t>
            </w:r>
            <w:r>
              <w:rPr>
                <w:rFonts w:hint="eastAsia"/>
                <w:color w:val="auto"/>
                <w:lang w:eastAsia="zh-CN"/>
              </w:rPr>
              <w:t>加油站对本项目的安全事故影响和周边道路的</w:t>
            </w:r>
            <w:r>
              <w:rPr>
                <w:rFonts w:hint="eastAsia"/>
                <w:color w:val="auto"/>
              </w:rPr>
              <w:t>噪声影响。</w:t>
            </w:r>
          </w:p>
          <w:p>
            <w:pPr>
              <w:pStyle w:val="2"/>
              <w:bidi w:val="0"/>
              <w:rPr>
                <w:rFonts w:hint="default" w:eastAsia="宋体"/>
                <w:color w:val="auto"/>
                <w:lang w:val="en-US" w:eastAsia="zh-CN"/>
              </w:rPr>
            </w:pPr>
            <w:r>
              <w:rPr>
                <w:rFonts w:hint="eastAsia"/>
                <w:color w:val="auto"/>
                <w:lang w:eastAsia="zh-CN"/>
              </w:rPr>
              <w:t>本项目周边加油站位于</w:t>
            </w:r>
            <w:r>
              <w:rPr>
                <w:rFonts w:hint="eastAsia"/>
                <w:color w:val="auto"/>
                <w:lang w:val="en-US" w:eastAsia="zh-CN"/>
              </w:rPr>
              <w:t>04#地块东北侧，与本项目最近建筑物的距离为50.27m，与03#地块居民住宅的距离为80.27m，</w:t>
            </w:r>
            <w:r>
              <w:rPr>
                <w:rFonts w:hint="eastAsia"/>
                <w:color w:val="auto"/>
                <w:lang w:eastAsia="zh-CN"/>
              </w:rPr>
              <w:t>该距离</w:t>
            </w:r>
            <w:r>
              <w:rPr>
                <w:rFonts w:hint="eastAsia" w:hAnsi="宋体"/>
                <w:color w:val="auto"/>
                <w:szCs w:val="24"/>
                <w:lang w:val="en-US" w:eastAsia="zh-CN"/>
              </w:rPr>
              <w:t>满足</w:t>
            </w:r>
            <w:r>
              <w:rPr>
                <w:rFonts w:hint="eastAsia" w:hAnsi="宋体"/>
                <w:color w:val="auto"/>
                <w:szCs w:val="24"/>
              </w:rPr>
              <w:t>《汽车加油加气站设计与施工规范》GB 50156-2012</w:t>
            </w:r>
            <w:r>
              <w:rPr>
                <w:rFonts w:hint="eastAsia" w:hAnsi="宋体"/>
                <w:color w:val="auto"/>
                <w:szCs w:val="24"/>
                <w:lang w:eastAsia="zh-CN"/>
              </w:rPr>
              <w:t>中表</w:t>
            </w:r>
            <w:r>
              <w:rPr>
                <w:rFonts w:hint="eastAsia" w:hAnsi="宋体"/>
                <w:color w:val="auto"/>
                <w:szCs w:val="24"/>
                <w:lang w:val="en-US" w:eastAsia="zh-CN"/>
              </w:rPr>
              <w:t>4.0.4的要求</w:t>
            </w:r>
            <w:r>
              <w:rPr>
                <w:rFonts w:hint="eastAsia"/>
                <w:color w:val="auto"/>
                <w:lang w:val="en-US" w:eastAsia="zh-CN"/>
              </w:rPr>
              <w:t>，若加油站发生意外事故，不会对本项目产生较大影响。</w:t>
            </w:r>
          </w:p>
          <w:p>
            <w:pPr>
              <w:pStyle w:val="2"/>
              <w:bidi w:val="0"/>
              <w:rPr>
                <w:color w:val="auto"/>
              </w:rPr>
            </w:pPr>
            <w:r>
              <w:rPr>
                <w:rFonts w:hint="eastAsia"/>
                <w:color w:val="auto"/>
              </w:rPr>
              <w:t>项目北侧</w:t>
            </w:r>
            <w:r>
              <w:rPr>
                <w:rFonts w:hint="eastAsia"/>
                <w:color w:val="auto"/>
                <w:lang w:eastAsia="zh-CN"/>
              </w:rPr>
              <w:t>、东侧、南侧</w:t>
            </w:r>
            <w:r>
              <w:rPr>
                <w:rFonts w:hint="eastAsia"/>
                <w:color w:val="auto"/>
              </w:rPr>
              <w:t>靠近城市道路，车辆通行时会产生交通噪声，故交通噪声对本项目居民住宅楼的声环境有一定的影响。根据本项目</w:t>
            </w:r>
            <w:r>
              <w:rPr>
                <w:rFonts w:hint="eastAsia"/>
                <w:color w:val="auto"/>
                <w:lang w:eastAsia="zh-CN"/>
              </w:rPr>
              <w:t>周边</w:t>
            </w:r>
            <w:r>
              <w:rPr>
                <w:rFonts w:hint="eastAsia"/>
                <w:color w:val="auto"/>
              </w:rPr>
              <w:t>的声环境</w:t>
            </w:r>
            <w:r>
              <w:rPr>
                <w:rFonts w:hint="eastAsia"/>
                <w:color w:val="auto"/>
                <w:lang w:eastAsia="zh-CN"/>
              </w:rPr>
              <w:t>敏感目标点</w:t>
            </w:r>
            <w:r>
              <w:rPr>
                <w:rFonts w:hint="eastAsia"/>
                <w:color w:val="auto"/>
              </w:rPr>
              <w:t>监测结果可知，项目</w:t>
            </w:r>
            <w:r>
              <w:rPr>
                <w:rFonts w:hint="eastAsia"/>
                <w:color w:val="auto"/>
                <w:lang w:eastAsia="zh-CN"/>
              </w:rPr>
              <w:t>西侧、北侧区域</w:t>
            </w:r>
            <w:r>
              <w:rPr>
                <w:rFonts w:hint="eastAsia"/>
                <w:color w:val="auto"/>
              </w:rPr>
              <w:t>的声</w:t>
            </w:r>
            <w:r>
              <w:rPr>
                <w:rFonts w:hint="eastAsia"/>
                <w:color w:val="auto"/>
                <w:lang w:eastAsia="zh-CN"/>
              </w:rPr>
              <w:t>环境敏感目标点</w:t>
            </w:r>
            <w:r>
              <w:rPr>
                <w:rFonts w:hint="eastAsia"/>
                <w:color w:val="auto"/>
              </w:rPr>
              <w:t>均达到《工业企业厂界环境噪声排放标准》（</w:t>
            </w:r>
            <w:r>
              <w:rPr>
                <w:color w:val="auto"/>
              </w:rPr>
              <w:t>GB12348-2008</w:t>
            </w:r>
            <w:r>
              <w:rPr>
                <w:rFonts w:hint="eastAsia"/>
                <w:color w:val="auto"/>
              </w:rPr>
              <w:t>）</w:t>
            </w:r>
            <w:r>
              <w:rPr>
                <w:rFonts w:hint="eastAsia"/>
                <w:color w:val="auto"/>
                <w:lang w:val="en-US" w:eastAsia="zh-CN"/>
              </w:rPr>
              <w:t>2</w:t>
            </w:r>
            <w:r>
              <w:rPr>
                <w:rFonts w:hint="eastAsia"/>
                <w:color w:val="auto"/>
              </w:rPr>
              <w:t>类标准。</w:t>
            </w:r>
          </w:p>
          <w:p>
            <w:pPr>
              <w:pStyle w:val="2"/>
              <w:bidi w:val="0"/>
            </w:pPr>
            <w:r>
              <w:rPr>
                <w:rFonts w:hint="eastAsia"/>
              </w:rPr>
              <w:t>区外交通噪声防治措施：</w:t>
            </w:r>
          </w:p>
          <w:p>
            <w:pPr>
              <w:pStyle w:val="2"/>
              <w:rPr>
                <w:rFonts w:hint="eastAsia"/>
                <w:lang w:eastAsia="zh-CN"/>
              </w:rPr>
            </w:pPr>
            <w:r>
              <w:rPr>
                <w:rFonts w:hint="eastAsia"/>
              </w:rPr>
              <w:t>（1）临道路一侧建筑墙体和门窗需进行隔声设计，提高门和窗的隔声性能，尽量减少缝隙面积，窗户首先考虑双层窗户设计，然后是双层真空玻璃窗户设计。</w:t>
            </w:r>
          </w:p>
          <w:p>
            <w:pPr>
              <w:pStyle w:val="2"/>
            </w:pPr>
            <w:r>
              <w:rPr>
                <w:rFonts w:hint="eastAsia"/>
              </w:rPr>
              <w:t>（2）对临路一侧地面进行有重点的绿化，可种植高大密叶型长绿树种，经测算，成片林可以较大幅度地减轻区外道路交通噪声的影响。</w:t>
            </w:r>
          </w:p>
          <w:p>
            <w:pPr>
              <w:pStyle w:val="2"/>
            </w:pPr>
            <w:r>
              <w:rPr>
                <w:rFonts w:hint="eastAsia"/>
              </w:rPr>
              <w:t>采取以上措施后，交通噪声对项目区的影响较小。可较大程度上减小外环境道路交通噪声对小区住户的影响，改善小区内部住户居住环境。</w:t>
            </w:r>
          </w:p>
          <w:p>
            <w:pPr>
              <w:pStyle w:val="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753" w:type="dxa"/>
            <w:vAlign w:val="center"/>
          </w:tcPr>
          <w:p>
            <w:pPr>
              <w:adjustRightInd w:val="0"/>
              <w:snapToGrid w:val="0"/>
              <w:jc w:val="center"/>
              <w:rPr>
                <w:rFonts w:ascii="宋体" w:hAnsi="宋体" w:cs="宋体"/>
                <w:bCs/>
                <w:spacing w:val="10"/>
                <w:sz w:val="24"/>
              </w:rPr>
            </w:pPr>
            <w:r>
              <w:rPr>
                <w:rFonts w:hint="eastAsia" w:ascii="宋体" w:hAnsi="宋体"/>
                <w:bCs/>
                <w:sz w:val="24"/>
              </w:rPr>
              <w:t>其他</w:t>
            </w:r>
          </w:p>
        </w:tc>
        <w:tc>
          <w:tcPr>
            <w:tcW w:w="8457" w:type="dxa"/>
          </w:tcPr>
          <w:p>
            <w:pPr>
              <w:pStyle w:val="2"/>
              <w:ind w:firstLine="480"/>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vAlign w:val="center"/>
          </w:tcPr>
          <w:p>
            <w:pPr>
              <w:adjustRightInd w:val="0"/>
              <w:snapToGrid w:val="0"/>
              <w:jc w:val="center"/>
              <w:rPr>
                <w:rFonts w:ascii="宋体" w:hAnsi="宋体" w:cs="宋体"/>
                <w:bCs/>
                <w:spacing w:val="10"/>
                <w:sz w:val="24"/>
              </w:rPr>
            </w:pPr>
            <w:r>
              <w:rPr>
                <w:rFonts w:hint="eastAsia" w:ascii="宋体" w:hAnsi="宋体"/>
                <w:bCs/>
                <w:sz w:val="24"/>
              </w:rPr>
              <w:t>环保投资</w:t>
            </w:r>
          </w:p>
        </w:tc>
        <w:tc>
          <w:tcPr>
            <w:tcW w:w="8457" w:type="dxa"/>
          </w:tcPr>
          <w:p>
            <w:pPr>
              <w:spacing w:line="360" w:lineRule="auto"/>
              <w:jc w:val="center"/>
              <w:rPr>
                <w:b/>
                <w:sz w:val="24"/>
              </w:rPr>
            </w:pPr>
            <w:r>
              <w:rPr>
                <w:rFonts w:hint="eastAsia"/>
                <w:b/>
                <w:szCs w:val="21"/>
              </w:rPr>
              <w:t>表5-1</w:t>
            </w:r>
            <w:r>
              <w:rPr>
                <w:b/>
                <w:szCs w:val="21"/>
              </w:rPr>
              <w:t>项目生态保护</w:t>
            </w:r>
            <w:r>
              <w:rPr>
                <w:rFonts w:hint="eastAsia"/>
                <w:b/>
                <w:szCs w:val="21"/>
              </w:rPr>
              <w:t>及污染防治措施</w:t>
            </w:r>
            <w:r>
              <w:rPr>
                <w:b/>
                <w:szCs w:val="21"/>
              </w:rPr>
              <w:t>投资估算表</w:t>
            </w:r>
          </w:p>
          <w:tbl>
            <w:tblPr>
              <w:tblStyle w:val="18"/>
              <w:tblW w:w="82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328"/>
              <w:gridCol w:w="833"/>
              <w:gridCol w:w="5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4" w:type="dxa"/>
                  <w:vAlign w:val="center"/>
                </w:tcPr>
                <w:p>
                  <w:pPr>
                    <w:tabs>
                      <w:tab w:val="left" w:pos="8820"/>
                    </w:tabs>
                    <w:jc w:val="center"/>
                    <w:rPr>
                      <w:szCs w:val="21"/>
                    </w:rPr>
                  </w:pPr>
                  <w:r>
                    <w:rPr>
                      <w:szCs w:val="21"/>
                    </w:rPr>
                    <w:t>序号</w:t>
                  </w:r>
                </w:p>
              </w:tc>
              <w:tc>
                <w:tcPr>
                  <w:tcW w:w="1328" w:type="dxa"/>
                  <w:vAlign w:val="center"/>
                </w:tcPr>
                <w:p>
                  <w:pPr>
                    <w:tabs>
                      <w:tab w:val="left" w:pos="8820"/>
                    </w:tabs>
                    <w:jc w:val="center"/>
                    <w:rPr>
                      <w:szCs w:val="21"/>
                    </w:rPr>
                  </w:pPr>
                  <w:r>
                    <w:rPr>
                      <w:szCs w:val="21"/>
                    </w:rPr>
                    <w:t>项目及费用名称</w:t>
                  </w:r>
                </w:p>
              </w:tc>
              <w:tc>
                <w:tcPr>
                  <w:tcW w:w="833" w:type="dxa"/>
                  <w:vAlign w:val="center"/>
                </w:tcPr>
                <w:p>
                  <w:pPr>
                    <w:tabs>
                      <w:tab w:val="left" w:pos="8820"/>
                    </w:tabs>
                    <w:jc w:val="center"/>
                    <w:rPr>
                      <w:szCs w:val="21"/>
                    </w:rPr>
                  </w:pPr>
                  <w:r>
                    <w:rPr>
                      <w:rFonts w:hint="eastAsia"/>
                      <w:szCs w:val="21"/>
                    </w:rPr>
                    <w:t>投资</w:t>
                  </w:r>
                  <w:r>
                    <w:rPr>
                      <w:szCs w:val="21"/>
                    </w:rPr>
                    <w:t>/万元</w:t>
                  </w:r>
                </w:p>
              </w:tc>
              <w:tc>
                <w:tcPr>
                  <w:tcW w:w="5643" w:type="dxa"/>
                  <w:vAlign w:val="center"/>
                </w:tcPr>
                <w:p>
                  <w:pPr>
                    <w:tabs>
                      <w:tab w:val="left" w:pos="8820"/>
                    </w:tabs>
                    <w:jc w:val="center"/>
                    <w:rPr>
                      <w:szCs w:val="21"/>
                    </w:rPr>
                  </w:pPr>
                  <w:r>
                    <w:rPr>
                      <w:szCs w:val="21"/>
                    </w:rPr>
                    <w:t>说明</w:t>
                  </w:r>
                  <w:r>
                    <w:rPr>
                      <w:rFonts w:hint="eastAsia"/>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szCs w:val="21"/>
                    </w:rPr>
                    <w:t>一</w:t>
                  </w:r>
                </w:p>
              </w:tc>
              <w:tc>
                <w:tcPr>
                  <w:tcW w:w="7804" w:type="dxa"/>
                  <w:gridSpan w:val="3"/>
                  <w:vAlign w:val="center"/>
                </w:tcPr>
                <w:p>
                  <w:pPr>
                    <w:tabs>
                      <w:tab w:val="left" w:pos="8820"/>
                    </w:tabs>
                    <w:jc w:val="center"/>
                    <w:rPr>
                      <w:szCs w:val="21"/>
                    </w:rPr>
                  </w:pPr>
                  <w:r>
                    <w:rPr>
                      <w:b/>
                      <w:bCs/>
                      <w:szCs w:val="21"/>
                    </w:rPr>
                    <w:t>生态保护措施与宣传教育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szCs w:val="21"/>
                    </w:rPr>
                    <w:t>1</w:t>
                  </w:r>
                </w:p>
              </w:tc>
              <w:tc>
                <w:tcPr>
                  <w:tcW w:w="1328" w:type="dxa"/>
                  <w:vAlign w:val="center"/>
                </w:tcPr>
                <w:p>
                  <w:pPr>
                    <w:tabs>
                      <w:tab w:val="left" w:pos="8820"/>
                    </w:tabs>
                    <w:jc w:val="center"/>
                    <w:rPr>
                      <w:szCs w:val="21"/>
                    </w:rPr>
                  </w:pPr>
                  <w:r>
                    <w:rPr>
                      <w:szCs w:val="21"/>
                    </w:rPr>
                    <w:t>生物多样性保护宣教</w:t>
                  </w:r>
                </w:p>
              </w:tc>
              <w:tc>
                <w:tcPr>
                  <w:tcW w:w="833" w:type="dxa"/>
                  <w:vAlign w:val="center"/>
                </w:tcPr>
                <w:p>
                  <w:pPr>
                    <w:tabs>
                      <w:tab w:val="left" w:pos="8820"/>
                    </w:tabs>
                    <w:jc w:val="center"/>
                    <w:rPr>
                      <w:rFonts w:hint="default" w:eastAsia="宋体"/>
                      <w:szCs w:val="21"/>
                      <w:lang w:val="en-US" w:eastAsia="zh-CN"/>
                    </w:rPr>
                  </w:pPr>
                  <w:r>
                    <w:rPr>
                      <w:rFonts w:hint="eastAsia"/>
                      <w:szCs w:val="21"/>
                      <w:lang w:val="en-US" w:eastAsia="zh-CN"/>
                    </w:rPr>
                    <w:t>1.5</w:t>
                  </w:r>
                </w:p>
              </w:tc>
              <w:tc>
                <w:tcPr>
                  <w:tcW w:w="5643" w:type="dxa"/>
                  <w:vAlign w:val="center"/>
                </w:tcPr>
                <w:p>
                  <w:pPr>
                    <w:tabs>
                      <w:tab w:val="left" w:pos="8820"/>
                    </w:tabs>
                    <w:jc w:val="center"/>
                    <w:rPr>
                      <w:szCs w:val="21"/>
                    </w:rPr>
                  </w:pPr>
                  <w:r>
                    <w:rPr>
                      <w:szCs w:val="21"/>
                    </w:rPr>
                    <w:t>含珍稀动植物</w:t>
                  </w:r>
                  <w:r>
                    <w:rPr>
                      <w:rFonts w:hint="eastAsia"/>
                      <w:szCs w:val="21"/>
                    </w:rPr>
                    <w:t>和</w:t>
                  </w:r>
                  <w:r>
                    <w:rPr>
                      <w:szCs w:val="21"/>
                    </w:rPr>
                    <w:t>生态敏感区保护宣传及环境教育，由建设单位负责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szCs w:val="21"/>
                    </w:rPr>
                    <w:t>2</w:t>
                  </w:r>
                </w:p>
              </w:tc>
              <w:tc>
                <w:tcPr>
                  <w:tcW w:w="1328" w:type="dxa"/>
                  <w:vAlign w:val="center"/>
                </w:tcPr>
                <w:p>
                  <w:pPr>
                    <w:tabs>
                      <w:tab w:val="left" w:pos="8820"/>
                    </w:tabs>
                    <w:jc w:val="center"/>
                    <w:rPr>
                      <w:szCs w:val="21"/>
                    </w:rPr>
                  </w:pPr>
                  <w:r>
                    <w:rPr>
                      <w:szCs w:val="21"/>
                    </w:rPr>
                    <w:t>警示牌及宣传保护标志</w:t>
                  </w:r>
                </w:p>
              </w:tc>
              <w:tc>
                <w:tcPr>
                  <w:tcW w:w="833" w:type="dxa"/>
                  <w:vAlign w:val="center"/>
                </w:tcPr>
                <w:p>
                  <w:pPr>
                    <w:tabs>
                      <w:tab w:val="left" w:pos="8820"/>
                    </w:tabs>
                    <w:jc w:val="center"/>
                    <w:rPr>
                      <w:rFonts w:hint="default" w:eastAsia="宋体"/>
                      <w:szCs w:val="21"/>
                      <w:lang w:val="en-US" w:eastAsia="zh-CN"/>
                    </w:rPr>
                  </w:pPr>
                  <w:r>
                    <w:rPr>
                      <w:rFonts w:hint="eastAsia"/>
                      <w:szCs w:val="21"/>
                      <w:lang w:val="en-US" w:eastAsia="zh-CN"/>
                    </w:rPr>
                    <w:t>1.5</w:t>
                  </w:r>
                </w:p>
              </w:tc>
              <w:tc>
                <w:tcPr>
                  <w:tcW w:w="5643" w:type="dxa"/>
                  <w:vAlign w:val="center"/>
                </w:tcPr>
                <w:p>
                  <w:pPr>
                    <w:tabs>
                      <w:tab w:val="left" w:pos="8820"/>
                    </w:tabs>
                    <w:jc w:val="center"/>
                    <w:rPr>
                      <w:szCs w:val="21"/>
                    </w:rPr>
                  </w:pPr>
                  <w:r>
                    <w:rPr>
                      <w:szCs w:val="21"/>
                    </w:rPr>
                    <w:t>重点设置在工程施工区等区域，由建设单位负责</w:t>
                  </w:r>
                  <w:r>
                    <w:rPr>
                      <w:rFonts w:hint="eastAsia"/>
                      <w:szCs w:val="21"/>
                    </w:rPr>
                    <w:t>，禁止任何人员捕捉猎杀野生动物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2" w:type="dxa"/>
                  <w:gridSpan w:val="2"/>
                  <w:vAlign w:val="center"/>
                </w:tcPr>
                <w:p>
                  <w:pPr>
                    <w:tabs>
                      <w:tab w:val="left" w:pos="8820"/>
                    </w:tabs>
                    <w:jc w:val="center"/>
                    <w:rPr>
                      <w:b/>
                      <w:szCs w:val="21"/>
                    </w:rPr>
                  </w:pPr>
                  <w:r>
                    <w:rPr>
                      <w:rFonts w:hint="eastAsia"/>
                      <w:b/>
                      <w:szCs w:val="21"/>
                    </w:rPr>
                    <w:t>小计</w:t>
                  </w:r>
                </w:p>
              </w:tc>
              <w:tc>
                <w:tcPr>
                  <w:tcW w:w="833" w:type="dxa"/>
                  <w:vAlign w:val="center"/>
                </w:tcPr>
                <w:p>
                  <w:pPr>
                    <w:tabs>
                      <w:tab w:val="left" w:pos="8820"/>
                    </w:tabs>
                    <w:jc w:val="center"/>
                    <w:rPr>
                      <w:rFonts w:hint="eastAsia" w:eastAsia="宋体"/>
                      <w:b/>
                      <w:szCs w:val="21"/>
                      <w:lang w:eastAsia="zh-CN"/>
                    </w:rPr>
                  </w:pPr>
                  <w:r>
                    <w:rPr>
                      <w:rFonts w:hint="eastAsia"/>
                      <w:b/>
                      <w:szCs w:val="21"/>
                      <w:lang w:val="en-US" w:eastAsia="zh-CN"/>
                    </w:rPr>
                    <w:t>3</w:t>
                  </w:r>
                </w:p>
              </w:tc>
              <w:tc>
                <w:tcPr>
                  <w:tcW w:w="5643" w:type="dxa"/>
                  <w:vAlign w:val="center"/>
                </w:tcPr>
                <w:p>
                  <w:pPr>
                    <w:tabs>
                      <w:tab w:val="left" w:pos="8820"/>
                    </w:tabs>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b/>
                      <w:bCs/>
                      <w:szCs w:val="21"/>
                    </w:rPr>
                    <w:t>二</w:t>
                  </w:r>
                </w:p>
              </w:tc>
              <w:tc>
                <w:tcPr>
                  <w:tcW w:w="7804" w:type="dxa"/>
                  <w:gridSpan w:val="3"/>
                  <w:vAlign w:val="center"/>
                </w:tcPr>
                <w:p>
                  <w:pPr>
                    <w:tabs>
                      <w:tab w:val="left" w:pos="8820"/>
                    </w:tabs>
                    <w:jc w:val="center"/>
                    <w:rPr>
                      <w:szCs w:val="21"/>
                    </w:rPr>
                  </w:pPr>
                  <w:r>
                    <w:rPr>
                      <w:rFonts w:hint="eastAsia"/>
                      <w:b/>
                      <w:bCs/>
                      <w:szCs w:val="21"/>
                    </w:rPr>
                    <w:t>水土保持控制措施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szCs w:val="21"/>
                    </w:rPr>
                    <w:t>1</w:t>
                  </w:r>
                </w:p>
              </w:tc>
              <w:tc>
                <w:tcPr>
                  <w:tcW w:w="1328" w:type="dxa"/>
                  <w:vAlign w:val="center"/>
                </w:tcPr>
                <w:p>
                  <w:pPr>
                    <w:tabs>
                      <w:tab w:val="left" w:pos="8820"/>
                    </w:tabs>
                    <w:jc w:val="center"/>
                    <w:rPr>
                      <w:szCs w:val="21"/>
                    </w:rPr>
                  </w:pPr>
                  <w:r>
                    <w:rPr>
                      <w:rFonts w:hint="eastAsia"/>
                      <w:szCs w:val="21"/>
                    </w:rPr>
                    <w:t>工程措施</w:t>
                  </w:r>
                </w:p>
              </w:tc>
              <w:tc>
                <w:tcPr>
                  <w:tcW w:w="833" w:type="dxa"/>
                  <w:vAlign w:val="center"/>
                </w:tcPr>
                <w:p>
                  <w:pPr>
                    <w:tabs>
                      <w:tab w:val="left" w:pos="8820"/>
                    </w:tabs>
                    <w:jc w:val="center"/>
                    <w:rPr>
                      <w:szCs w:val="21"/>
                    </w:rPr>
                  </w:pPr>
                  <w:r>
                    <w:rPr>
                      <w:rFonts w:hint="eastAsia"/>
                      <w:szCs w:val="21"/>
                    </w:rPr>
                    <w:t>15</w:t>
                  </w:r>
                </w:p>
              </w:tc>
              <w:tc>
                <w:tcPr>
                  <w:tcW w:w="5643" w:type="dxa"/>
                  <w:vAlign w:val="center"/>
                </w:tcPr>
                <w:p>
                  <w:pPr>
                    <w:tabs>
                      <w:tab w:val="left" w:pos="8820"/>
                    </w:tabs>
                    <w:jc w:val="center"/>
                    <w:rPr>
                      <w:szCs w:val="21"/>
                    </w:rPr>
                  </w:pPr>
                  <w:r>
                    <w:rPr>
                      <w:rFonts w:hint="eastAsia"/>
                      <w:szCs w:val="21"/>
                    </w:rPr>
                    <w:t>周边排水管网，截水沟和沉沙池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szCs w:val="21"/>
                    </w:rPr>
                    <w:t>2</w:t>
                  </w:r>
                </w:p>
              </w:tc>
              <w:tc>
                <w:tcPr>
                  <w:tcW w:w="1328" w:type="dxa"/>
                  <w:vAlign w:val="center"/>
                </w:tcPr>
                <w:p>
                  <w:pPr>
                    <w:tabs>
                      <w:tab w:val="left" w:pos="8820"/>
                    </w:tabs>
                    <w:jc w:val="center"/>
                    <w:rPr>
                      <w:szCs w:val="21"/>
                    </w:rPr>
                  </w:pPr>
                  <w:r>
                    <w:rPr>
                      <w:rFonts w:hint="eastAsia"/>
                      <w:szCs w:val="21"/>
                    </w:rPr>
                    <w:t>植物措施</w:t>
                  </w:r>
                </w:p>
              </w:tc>
              <w:tc>
                <w:tcPr>
                  <w:tcW w:w="833" w:type="dxa"/>
                  <w:vAlign w:val="center"/>
                </w:tcPr>
                <w:p>
                  <w:pPr>
                    <w:tabs>
                      <w:tab w:val="left" w:pos="8820"/>
                    </w:tabs>
                    <w:jc w:val="center"/>
                    <w:rPr>
                      <w:szCs w:val="21"/>
                    </w:rPr>
                  </w:pPr>
                  <w:r>
                    <w:rPr>
                      <w:rFonts w:hint="eastAsia"/>
                      <w:szCs w:val="21"/>
                    </w:rPr>
                    <w:t>100</w:t>
                  </w:r>
                </w:p>
              </w:tc>
              <w:tc>
                <w:tcPr>
                  <w:tcW w:w="5643" w:type="dxa"/>
                  <w:vAlign w:val="center"/>
                </w:tcPr>
                <w:p>
                  <w:pPr>
                    <w:tabs>
                      <w:tab w:val="left" w:pos="8820"/>
                    </w:tabs>
                    <w:jc w:val="center"/>
                    <w:rPr>
                      <w:szCs w:val="21"/>
                    </w:rPr>
                  </w:pPr>
                  <w:r>
                    <w:rPr>
                      <w:rFonts w:hint="eastAsia"/>
                      <w:szCs w:val="21"/>
                    </w:rPr>
                    <w:t>占地区域及场界景观绿化、边坡和场地防护、植草沟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szCs w:val="21"/>
                    </w:rPr>
                    <w:t>3</w:t>
                  </w:r>
                </w:p>
              </w:tc>
              <w:tc>
                <w:tcPr>
                  <w:tcW w:w="1328" w:type="dxa"/>
                  <w:vAlign w:val="center"/>
                </w:tcPr>
                <w:p>
                  <w:pPr>
                    <w:tabs>
                      <w:tab w:val="left" w:pos="8820"/>
                    </w:tabs>
                    <w:jc w:val="center"/>
                    <w:rPr>
                      <w:szCs w:val="21"/>
                    </w:rPr>
                  </w:pPr>
                  <w:r>
                    <w:rPr>
                      <w:rFonts w:hint="eastAsia"/>
                      <w:szCs w:val="21"/>
                    </w:rPr>
                    <w:t>临时措施</w:t>
                  </w:r>
                </w:p>
              </w:tc>
              <w:tc>
                <w:tcPr>
                  <w:tcW w:w="833" w:type="dxa"/>
                  <w:vAlign w:val="center"/>
                </w:tcPr>
                <w:p>
                  <w:pPr>
                    <w:tabs>
                      <w:tab w:val="left" w:pos="8820"/>
                    </w:tabs>
                    <w:jc w:val="center"/>
                    <w:rPr>
                      <w:szCs w:val="21"/>
                    </w:rPr>
                  </w:pPr>
                  <w:r>
                    <w:rPr>
                      <w:rFonts w:hint="eastAsia"/>
                      <w:szCs w:val="21"/>
                    </w:rPr>
                    <w:t>8</w:t>
                  </w:r>
                </w:p>
              </w:tc>
              <w:tc>
                <w:tcPr>
                  <w:tcW w:w="5643" w:type="dxa"/>
                  <w:vAlign w:val="center"/>
                </w:tcPr>
                <w:p>
                  <w:pPr>
                    <w:tabs>
                      <w:tab w:val="left" w:pos="8820"/>
                    </w:tabs>
                    <w:jc w:val="center"/>
                    <w:rPr>
                      <w:szCs w:val="21"/>
                    </w:rPr>
                  </w:pPr>
                  <w:r>
                    <w:rPr>
                      <w:rFonts w:hint="eastAsia"/>
                      <w:szCs w:val="21"/>
                    </w:rPr>
                    <w:t>集水井、临时拦挡和覆盖、挡土板等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rFonts w:hint="eastAsia"/>
                      <w:szCs w:val="21"/>
                    </w:rPr>
                    <w:t>4</w:t>
                  </w:r>
                </w:p>
              </w:tc>
              <w:tc>
                <w:tcPr>
                  <w:tcW w:w="1328" w:type="dxa"/>
                  <w:vAlign w:val="center"/>
                </w:tcPr>
                <w:p>
                  <w:pPr>
                    <w:tabs>
                      <w:tab w:val="left" w:pos="8820"/>
                    </w:tabs>
                    <w:jc w:val="center"/>
                    <w:rPr>
                      <w:szCs w:val="21"/>
                    </w:rPr>
                  </w:pPr>
                  <w:r>
                    <w:rPr>
                      <w:rFonts w:hint="eastAsia"/>
                      <w:szCs w:val="21"/>
                    </w:rPr>
                    <w:t>管理措施</w:t>
                  </w:r>
                </w:p>
              </w:tc>
              <w:tc>
                <w:tcPr>
                  <w:tcW w:w="833" w:type="dxa"/>
                  <w:vAlign w:val="center"/>
                </w:tcPr>
                <w:p>
                  <w:pPr>
                    <w:tabs>
                      <w:tab w:val="left" w:pos="8820"/>
                    </w:tabs>
                    <w:jc w:val="center"/>
                    <w:rPr>
                      <w:szCs w:val="21"/>
                    </w:rPr>
                  </w:pPr>
                  <w:r>
                    <w:rPr>
                      <w:rFonts w:hint="eastAsia"/>
                      <w:szCs w:val="21"/>
                    </w:rPr>
                    <w:t>2</w:t>
                  </w:r>
                </w:p>
              </w:tc>
              <w:tc>
                <w:tcPr>
                  <w:tcW w:w="5643" w:type="dxa"/>
                  <w:vAlign w:val="center"/>
                </w:tcPr>
                <w:p>
                  <w:pPr>
                    <w:tabs>
                      <w:tab w:val="left" w:pos="8820"/>
                    </w:tabs>
                    <w:jc w:val="center"/>
                    <w:rPr>
                      <w:szCs w:val="21"/>
                    </w:rPr>
                  </w:pPr>
                  <w:r>
                    <w:rPr>
                      <w:rFonts w:hint="eastAsia"/>
                      <w:szCs w:val="21"/>
                    </w:rPr>
                    <w:t>建设期管理费、监理费、水保监测费及场地防护验收费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2" w:type="dxa"/>
                  <w:gridSpan w:val="2"/>
                  <w:vAlign w:val="center"/>
                </w:tcPr>
                <w:p>
                  <w:pPr>
                    <w:tabs>
                      <w:tab w:val="left" w:pos="8820"/>
                    </w:tabs>
                    <w:jc w:val="center"/>
                    <w:rPr>
                      <w:b/>
                      <w:szCs w:val="21"/>
                    </w:rPr>
                  </w:pPr>
                  <w:r>
                    <w:rPr>
                      <w:rFonts w:hint="eastAsia"/>
                      <w:b/>
                      <w:szCs w:val="21"/>
                    </w:rPr>
                    <w:t>小</w:t>
                  </w:r>
                  <w:r>
                    <w:rPr>
                      <w:b/>
                      <w:szCs w:val="21"/>
                    </w:rPr>
                    <w:t>计</w:t>
                  </w:r>
                </w:p>
              </w:tc>
              <w:tc>
                <w:tcPr>
                  <w:tcW w:w="833" w:type="dxa"/>
                  <w:vAlign w:val="center"/>
                </w:tcPr>
                <w:p>
                  <w:pPr>
                    <w:tabs>
                      <w:tab w:val="left" w:pos="8820"/>
                    </w:tabs>
                    <w:jc w:val="center"/>
                    <w:rPr>
                      <w:b/>
                      <w:szCs w:val="21"/>
                    </w:rPr>
                  </w:pPr>
                  <w:r>
                    <w:rPr>
                      <w:rFonts w:hint="eastAsia"/>
                      <w:b/>
                      <w:szCs w:val="21"/>
                    </w:rPr>
                    <w:t>125</w:t>
                  </w:r>
                </w:p>
              </w:tc>
              <w:tc>
                <w:tcPr>
                  <w:tcW w:w="5643" w:type="dxa"/>
                  <w:vAlign w:val="center"/>
                </w:tcPr>
                <w:p>
                  <w:pPr>
                    <w:tabs>
                      <w:tab w:val="left" w:pos="8820"/>
                    </w:tabs>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
                      <w:bCs/>
                      <w:szCs w:val="21"/>
                    </w:rPr>
                  </w:pPr>
                  <w:r>
                    <w:rPr>
                      <w:rFonts w:hint="eastAsia"/>
                      <w:b/>
                      <w:bCs/>
                      <w:szCs w:val="21"/>
                    </w:rPr>
                    <w:t>三</w:t>
                  </w:r>
                </w:p>
              </w:tc>
              <w:tc>
                <w:tcPr>
                  <w:tcW w:w="7804" w:type="dxa"/>
                  <w:gridSpan w:val="3"/>
                  <w:vAlign w:val="center"/>
                </w:tcPr>
                <w:p>
                  <w:pPr>
                    <w:tabs>
                      <w:tab w:val="left" w:pos="8820"/>
                    </w:tabs>
                    <w:jc w:val="center"/>
                    <w:rPr>
                      <w:b/>
                      <w:bCs/>
                      <w:szCs w:val="21"/>
                    </w:rPr>
                  </w:pPr>
                  <w:r>
                    <w:rPr>
                      <w:b/>
                      <w:bCs/>
                      <w:szCs w:val="21"/>
                    </w:rPr>
                    <w:t>环保临时措施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szCs w:val="21"/>
                    </w:rPr>
                    <w:t>1</w:t>
                  </w:r>
                </w:p>
              </w:tc>
              <w:tc>
                <w:tcPr>
                  <w:tcW w:w="1328" w:type="dxa"/>
                  <w:vAlign w:val="center"/>
                </w:tcPr>
                <w:p>
                  <w:pPr>
                    <w:tabs>
                      <w:tab w:val="left" w:pos="8820"/>
                    </w:tabs>
                    <w:jc w:val="center"/>
                    <w:rPr>
                      <w:szCs w:val="21"/>
                    </w:rPr>
                  </w:pPr>
                  <w:r>
                    <w:rPr>
                      <w:szCs w:val="21"/>
                    </w:rPr>
                    <w:t>洒水</w:t>
                  </w:r>
                </w:p>
              </w:tc>
              <w:tc>
                <w:tcPr>
                  <w:tcW w:w="833" w:type="dxa"/>
                  <w:vAlign w:val="center"/>
                </w:tcPr>
                <w:p>
                  <w:pPr>
                    <w:tabs>
                      <w:tab w:val="left" w:pos="8820"/>
                    </w:tabs>
                    <w:jc w:val="center"/>
                    <w:rPr>
                      <w:szCs w:val="21"/>
                    </w:rPr>
                  </w:pPr>
                  <w:r>
                    <w:rPr>
                      <w:rFonts w:hint="eastAsia"/>
                      <w:szCs w:val="21"/>
                    </w:rPr>
                    <w:t>10</w:t>
                  </w:r>
                </w:p>
              </w:tc>
              <w:tc>
                <w:tcPr>
                  <w:tcW w:w="5643" w:type="dxa"/>
                  <w:vAlign w:val="center"/>
                </w:tcPr>
                <w:p>
                  <w:pPr>
                    <w:tabs>
                      <w:tab w:val="left" w:pos="8820"/>
                    </w:tabs>
                    <w:jc w:val="center"/>
                    <w:rPr>
                      <w:szCs w:val="21"/>
                    </w:rPr>
                  </w:pPr>
                  <w:r>
                    <w:rPr>
                      <w:szCs w:val="21"/>
                    </w:rPr>
                    <w:t>由建设单位负责</w:t>
                  </w:r>
                  <w:r>
                    <w:rPr>
                      <w:rFonts w:hint="eastAsia"/>
                      <w:szCs w:val="21"/>
                    </w:rPr>
                    <w:t>施工期场地内、施工道路</w:t>
                  </w:r>
                  <w:r>
                    <w:rPr>
                      <w:szCs w:val="21"/>
                    </w:rPr>
                    <w:t>沿线降尘</w:t>
                  </w:r>
                  <w:r>
                    <w:rPr>
                      <w:rFonts w:hint="eastAsia"/>
                      <w:szCs w:val="21"/>
                    </w:rPr>
                    <w:t>，租用洒水车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szCs w:val="21"/>
                    </w:rPr>
                  </w:pPr>
                  <w:r>
                    <w:rPr>
                      <w:szCs w:val="21"/>
                    </w:rPr>
                    <w:t>2</w:t>
                  </w:r>
                </w:p>
              </w:tc>
              <w:tc>
                <w:tcPr>
                  <w:tcW w:w="1328" w:type="dxa"/>
                  <w:vAlign w:val="center"/>
                </w:tcPr>
                <w:p>
                  <w:pPr>
                    <w:tabs>
                      <w:tab w:val="left" w:pos="8820"/>
                    </w:tabs>
                    <w:jc w:val="center"/>
                    <w:rPr>
                      <w:szCs w:val="21"/>
                    </w:rPr>
                  </w:pPr>
                  <w:r>
                    <w:rPr>
                      <w:rFonts w:hint="eastAsia"/>
                      <w:szCs w:val="21"/>
                    </w:rPr>
                    <w:t>施工期临时生态防护</w:t>
                  </w:r>
                </w:p>
              </w:tc>
              <w:tc>
                <w:tcPr>
                  <w:tcW w:w="833" w:type="dxa"/>
                  <w:vAlign w:val="center"/>
                </w:tcPr>
                <w:p>
                  <w:pPr>
                    <w:tabs>
                      <w:tab w:val="left" w:pos="8820"/>
                    </w:tabs>
                    <w:jc w:val="center"/>
                    <w:rPr>
                      <w:szCs w:val="21"/>
                    </w:rPr>
                  </w:pPr>
                  <w:r>
                    <w:rPr>
                      <w:rFonts w:hint="eastAsia"/>
                      <w:szCs w:val="21"/>
                    </w:rPr>
                    <w:t>5</w:t>
                  </w:r>
                </w:p>
              </w:tc>
              <w:tc>
                <w:tcPr>
                  <w:tcW w:w="5643" w:type="dxa"/>
                  <w:vAlign w:val="center"/>
                </w:tcPr>
                <w:p>
                  <w:pPr>
                    <w:tabs>
                      <w:tab w:val="left" w:pos="8820"/>
                    </w:tabs>
                    <w:jc w:val="center"/>
                    <w:rPr>
                      <w:szCs w:val="21"/>
                    </w:rPr>
                  </w:pPr>
                  <w:r>
                    <w:rPr>
                      <w:szCs w:val="21"/>
                    </w:rPr>
                    <w:t>由建设单位负责</w:t>
                  </w:r>
                  <w:r>
                    <w:rPr>
                      <w:rFonts w:hint="eastAsia"/>
                      <w:szCs w:val="21"/>
                    </w:rPr>
                    <w:t>临时土方堆场生态防护等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2" w:type="dxa"/>
                  <w:gridSpan w:val="2"/>
                  <w:vAlign w:val="center"/>
                </w:tcPr>
                <w:p>
                  <w:pPr>
                    <w:tabs>
                      <w:tab w:val="left" w:pos="8820"/>
                    </w:tabs>
                    <w:jc w:val="center"/>
                    <w:rPr>
                      <w:b/>
                      <w:szCs w:val="21"/>
                    </w:rPr>
                  </w:pPr>
                  <w:r>
                    <w:rPr>
                      <w:rFonts w:hint="eastAsia"/>
                      <w:b/>
                      <w:szCs w:val="21"/>
                    </w:rPr>
                    <w:t>小</w:t>
                  </w:r>
                  <w:r>
                    <w:rPr>
                      <w:b/>
                      <w:szCs w:val="21"/>
                    </w:rPr>
                    <w:t>计</w:t>
                  </w:r>
                </w:p>
              </w:tc>
              <w:tc>
                <w:tcPr>
                  <w:tcW w:w="833" w:type="dxa"/>
                  <w:vAlign w:val="center"/>
                </w:tcPr>
                <w:p>
                  <w:pPr>
                    <w:tabs>
                      <w:tab w:val="left" w:pos="8820"/>
                    </w:tabs>
                    <w:jc w:val="center"/>
                    <w:rPr>
                      <w:b/>
                      <w:szCs w:val="21"/>
                    </w:rPr>
                  </w:pPr>
                  <w:r>
                    <w:rPr>
                      <w:b/>
                      <w:szCs w:val="21"/>
                    </w:rPr>
                    <w:fldChar w:fldCharType="begin"/>
                  </w:r>
                  <w:r>
                    <w:rPr>
                      <w:b/>
                      <w:szCs w:val="21"/>
                    </w:rPr>
                    <w:instrText xml:space="preserve"> =SUM(ABOVE) </w:instrText>
                  </w:r>
                  <w:r>
                    <w:rPr>
                      <w:b/>
                      <w:szCs w:val="21"/>
                    </w:rPr>
                    <w:fldChar w:fldCharType="separate"/>
                  </w:r>
                  <w:r>
                    <w:rPr>
                      <w:b/>
                      <w:szCs w:val="21"/>
                    </w:rPr>
                    <w:t>15</w:t>
                  </w:r>
                  <w:r>
                    <w:rPr>
                      <w:b/>
                      <w:szCs w:val="21"/>
                    </w:rPr>
                    <w:fldChar w:fldCharType="end"/>
                  </w:r>
                </w:p>
              </w:tc>
              <w:tc>
                <w:tcPr>
                  <w:tcW w:w="5643" w:type="dxa"/>
                  <w:vAlign w:val="center"/>
                </w:tcPr>
                <w:p>
                  <w:pPr>
                    <w:tabs>
                      <w:tab w:val="left" w:pos="8820"/>
                    </w:tabs>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
                      <w:szCs w:val="21"/>
                    </w:rPr>
                  </w:pPr>
                  <w:r>
                    <w:rPr>
                      <w:rFonts w:hint="eastAsia"/>
                      <w:bCs/>
                      <w:szCs w:val="21"/>
                    </w:rPr>
                    <w:t>四</w:t>
                  </w:r>
                </w:p>
              </w:tc>
              <w:tc>
                <w:tcPr>
                  <w:tcW w:w="7804" w:type="dxa"/>
                  <w:gridSpan w:val="3"/>
                  <w:vAlign w:val="center"/>
                </w:tcPr>
                <w:p>
                  <w:pPr>
                    <w:tabs>
                      <w:tab w:val="left" w:pos="8820"/>
                    </w:tabs>
                    <w:jc w:val="center"/>
                    <w:rPr>
                      <w:szCs w:val="21"/>
                    </w:rPr>
                  </w:pPr>
                  <w:r>
                    <w:rPr>
                      <w:rFonts w:hint="eastAsia"/>
                      <w:b/>
                      <w:bCs/>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1</w:t>
                  </w:r>
                </w:p>
              </w:tc>
              <w:tc>
                <w:tcPr>
                  <w:tcW w:w="1328" w:type="dxa"/>
                  <w:vAlign w:val="center"/>
                </w:tcPr>
                <w:p>
                  <w:pPr>
                    <w:tabs>
                      <w:tab w:val="left" w:pos="8820"/>
                    </w:tabs>
                    <w:jc w:val="center"/>
                    <w:rPr>
                      <w:bCs/>
                      <w:szCs w:val="21"/>
                    </w:rPr>
                  </w:pPr>
                  <w:r>
                    <w:rPr>
                      <w:rFonts w:hint="eastAsia"/>
                      <w:bCs/>
                      <w:szCs w:val="21"/>
                    </w:rPr>
                    <w:t>幼儿园、高层住宅区油烟竖井</w:t>
                  </w:r>
                </w:p>
              </w:tc>
              <w:tc>
                <w:tcPr>
                  <w:tcW w:w="833" w:type="dxa"/>
                  <w:vAlign w:val="center"/>
                </w:tcPr>
                <w:p>
                  <w:pPr>
                    <w:tabs>
                      <w:tab w:val="left" w:pos="8820"/>
                    </w:tabs>
                    <w:jc w:val="center"/>
                    <w:rPr>
                      <w:bCs/>
                      <w:szCs w:val="21"/>
                    </w:rPr>
                  </w:pPr>
                  <w:r>
                    <w:rPr>
                      <w:rFonts w:hint="eastAsia"/>
                      <w:bCs/>
                      <w:szCs w:val="21"/>
                    </w:rPr>
                    <w:t>75</w:t>
                  </w:r>
                </w:p>
              </w:tc>
              <w:tc>
                <w:tcPr>
                  <w:tcW w:w="5643" w:type="dxa"/>
                  <w:vAlign w:val="center"/>
                </w:tcPr>
                <w:p>
                  <w:pPr>
                    <w:tabs>
                      <w:tab w:val="left" w:pos="8820"/>
                    </w:tabs>
                    <w:jc w:val="center"/>
                    <w:rPr>
                      <w:szCs w:val="21"/>
                    </w:rPr>
                  </w:pPr>
                  <w:r>
                    <w:rPr>
                      <w:rFonts w:hint="eastAsia"/>
                      <w:szCs w:val="21"/>
                    </w:rPr>
                    <w:t>厨房抽油烟机+内嵌式集中排烟竖井烟道，排放口引至屋顶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2</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垃圾收集点、地埋式垃圾站</w:t>
                  </w:r>
                  <w:r>
                    <w:rPr>
                      <w:rFonts w:hint="eastAsia"/>
                      <w:bCs/>
                      <w:kern w:val="2"/>
                      <w:sz w:val="21"/>
                      <w:szCs w:val="21"/>
                      <w:lang w:eastAsia="zh-CN"/>
                    </w:rPr>
                    <w:t>、地面</w:t>
                  </w:r>
                  <w:r>
                    <w:rPr>
                      <w:rFonts w:hint="eastAsia"/>
                      <w:bCs/>
                      <w:kern w:val="2"/>
                      <w:sz w:val="21"/>
                      <w:szCs w:val="21"/>
                    </w:rPr>
                    <w:t>垃圾站、公厕恶臭治理</w:t>
                  </w:r>
                </w:p>
              </w:tc>
              <w:tc>
                <w:tcPr>
                  <w:tcW w:w="833" w:type="dxa"/>
                  <w:vAlign w:val="center"/>
                </w:tcPr>
                <w:p>
                  <w:pPr>
                    <w:tabs>
                      <w:tab w:val="left" w:pos="8820"/>
                    </w:tabs>
                    <w:jc w:val="center"/>
                    <w:rPr>
                      <w:bCs/>
                      <w:szCs w:val="21"/>
                    </w:rPr>
                  </w:pPr>
                  <w:r>
                    <w:rPr>
                      <w:rFonts w:hint="eastAsia"/>
                      <w:bCs/>
                      <w:szCs w:val="21"/>
                    </w:rPr>
                    <w:t>20</w:t>
                  </w:r>
                </w:p>
              </w:tc>
              <w:tc>
                <w:tcPr>
                  <w:tcW w:w="5643" w:type="dxa"/>
                  <w:vAlign w:val="center"/>
                </w:tcPr>
                <w:p>
                  <w:pPr>
                    <w:tabs>
                      <w:tab w:val="left" w:pos="8820"/>
                    </w:tabs>
                    <w:jc w:val="center"/>
                    <w:rPr>
                      <w:szCs w:val="21"/>
                    </w:rPr>
                  </w:pPr>
                  <w:r>
                    <w:rPr>
                      <w:rFonts w:hint="eastAsia"/>
                      <w:szCs w:val="21"/>
                    </w:rPr>
                    <w:t>垃圾日产日清，做好日常保洁、药剂喷洒等除臭工作，周边设置绿化防护带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3</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地面、地下汽车尾气污染防治</w:t>
                  </w:r>
                </w:p>
              </w:tc>
              <w:tc>
                <w:tcPr>
                  <w:tcW w:w="833" w:type="dxa"/>
                  <w:vAlign w:val="center"/>
                </w:tcPr>
                <w:p>
                  <w:pPr>
                    <w:tabs>
                      <w:tab w:val="left" w:pos="8820"/>
                    </w:tabs>
                    <w:jc w:val="center"/>
                    <w:rPr>
                      <w:bCs/>
                      <w:szCs w:val="21"/>
                    </w:rPr>
                  </w:pPr>
                  <w:r>
                    <w:rPr>
                      <w:rFonts w:hint="eastAsia"/>
                      <w:bCs/>
                      <w:szCs w:val="21"/>
                    </w:rPr>
                    <w:t>5</w:t>
                  </w:r>
                </w:p>
              </w:tc>
              <w:tc>
                <w:tcPr>
                  <w:tcW w:w="5643" w:type="dxa"/>
                  <w:vAlign w:val="center"/>
                </w:tcPr>
                <w:p>
                  <w:pPr>
                    <w:tabs>
                      <w:tab w:val="left" w:pos="8820"/>
                    </w:tabs>
                    <w:jc w:val="center"/>
                    <w:rPr>
                      <w:szCs w:val="21"/>
                    </w:rPr>
                  </w:pPr>
                  <w:r>
                    <w:rPr>
                      <w:rFonts w:hint="eastAsia"/>
                      <w:szCs w:val="21"/>
                    </w:rPr>
                    <w:t>大气扩散+绿植吸附；加强车辆出入和在小区内部管理，控制车流量；主要出入口设置内部路边绿化带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4</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噪声治理</w:t>
                  </w:r>
                </w:p>
              </w:tc>
              <w:tc>
                <w:tcPr>
                  <w:tcW w:w="833" w:type="dxa"/>
                  <w:vAlign w:val="center"/>
                </w:tcPr>
                <w:p>
                  <w:pPr>
                    <w:tabs>
                      <w:tab w:val="left" w:pos="8820"/>
                    </w:tabs>
                    <w:jc w:val="center"/>
                    <w:rPr>
                      <w:bCs/>
                      <w:szCs w:val="21"/>
                    </w:rPr>
                  </w:pPr>
                  <w:r>
                    <w:rPr>
                      <w:rFonts w:hint="eastAsia"/>
                      <w:bCs/>
                      <w:szCs w:val="21"/>
                    </w:rPr>
                    <w:t>20</w:t>
                  </w:r>
                </w:p>
              </w:tc>
              <w:tc>
                <w:tcPr>
                  <w:tcW w:w="5643" w:type="dxa"/>
                  <w:vAlign w:val="center"/>
                </w:tcPr>
                <w:p>
                  <w:pPr>
                    <w:tabs>
                      <w:tab w:val="left" w:pos="8820"/>
                    </w:tabs>
                    <w:jc w:val="center"/>
                    <w:rPr>
                      <w:szCs w:val="21"/>
                    </w:rPr>
                  </w:pPr>
                  <w:r>
                    <w:rPr>
                      <w:rFonts w:hint="eastAsia"/>
                      <w:szCs w:val="21"/>
                    </w:rPr>
                    <w:t>设置限速、禁止鸣笛标志；选用低噪设备；采取隔振、降噪等措施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5</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生活污水治理</w:t>
                  </w:r>
                </w:p>
              </w:tc>
              <w:tc>
                <w:tcPr>
                  <w:tcW w:w="833" w:type="dxa"/>
                  <w:vAlign w:val="center"/>
                </w:tcPr>
                <w:p>
                  <w:pPr>
                    <w:tabs>
                      <w:tab w:val="left" w:pos="8820"/>
                    </w:tabs>
                    <w:jc w:val="center"/>
                    <w:rPr>
                      <w:bCs/>
                      <w:szCs w:val="21"/>
                    </w:rPr>
                  </w:pPr>
                  <w:r>
                    <w:rPr>
                      <w:rFonts w:hint="eastAsia"/>
                      <w:bCs/>
                      <w:szCs w:val="21"/>
                    </w:rPr>
                    <w:t>180</w:t>
                  </w:r>
                </w:p>
              </w:tc>
              <w:tc>
                <w:tcPr>
                  <w:tcW w:w="5643" w:type="dxa"/>
                  <w:vAlign w:val="center"/>
                </w:tcPr>
                <w:p>
                  <w:pPr>
                    <w:tabs>
                      <w:tab w:val="left" w:pos="8820"/>
                    </w:tabs>
                    <w:jc w:val="center"/>
                    <w:rPr>
                      <w:szCs w:val="21"/>
                    </w:rPr>
                  </w:pPr>
                  <w:r>
                    <w:rPr>
                      <w:rFonts w:hint="eastAsia"/>
                      <w:szCs w:val="21"/>
                    </w:rPr>
                    <w:t>隔油池、化粪池综合污水经预处理后通过市政污水管网排入岳阳市马壕污水处理厂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6</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雨污分流管网</w:t>
                  </w:r>
                </w:p>
              </w:tc>
              <w:tc>
                <w:tcPr>
                  <w:tcW w:w="833" w:type="dxa"/>
                  <w:vAlign w:val="center"/>
                </w:tcPr>
                <w:p>
                  <w:pPr>
                    <w:tabs>
                      <w:tab w:val="left" w:pos="8820"/>
                    </w:tabs>
                    <w:jc w:val="center"/>
                    <w:rPr>
                      <w:bCs/>
                      <w:szCs w:val="21"/>
                    </w:rPr>
                  </w:pPr>
                  <w:r>
                    <w:rPr>
                      <w:rFonts w:hint="eastAsia"/>
                      <w:bCs/>
                      <w:szCs w:val="21"/>
                    </w:rPr>
                    <w:t>200</w:t>
                  </w:r>
                </w:p>
              </w:tc>
              <w:tc>
                <w:tcPr>
                  <w:tcW w:w="5643" w:type="dxa"/>
                  <w:vAlign w:val="center"/>
                </w:tcPr>
                <w:p>
                  <w:pPr>
                    <w:tabs>
                      <w:tab w:val="left" w:pos="8820"/>
                    </w:tabs>
                    <w:jc w:val="center"/>
                    <w:rPr>
                      <w:szCs w:val="21"/>
                    </w:rPr>
                  </w:pPr>
                  <w:r>
                    <w:rPr>
                      <w:rFonts w:hint="eastAsia"/>
                      <w:szCs w:val="21"/>
                    </w:rPr>
                    <w:t>整个项目区域按雨污分流体制建设，雨水管网排入周边城市道路市政雨水管网；污水接入地块周边城市道路上市政污水管网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7</w:t>
                  </w:r>
                </w:p>
              </w:tc>
              <w:tc>
                <w:tcPr>
                  <w:tcW w:w="1328" w:type="dxa"/>
                  <w:vAlign w:val="center"/>
                </w:tcPr>
                <w:p>
                  <w:pPr>
                    <w:pStyle w:val="33"/>
                    <w:overflowPunct/>
                    <w:autoSpaceDE/>
                    <w:autoSpaceDN/>
                    <w:snapToGrid w:val="0"/>
                    <w:spacing w:line="360" w:lineRule="exact"/>
                    <w:textAlignment w:val="auto"/>
                    <w:rPr>
                      <w:bCs/>
                      <w:kern w:val="2"/>
                      <w:sz w:val="21"/>
                      <w:szCs w:val="21"/>
                    </w:rPr>
                  </w:pPr>
                  <w:r>
                    <w:rPr>
                      <w:rFonts w:hint="eastAsia"/>
                      <w:bCs/>
                      <w:kern w:val="2"/>
                      <w:sz w:val="21"/>
                      <w:szCs w:val="21"/>
                    </w:rPr>
                    <w:t>生活垃圾治理</w:t>
                  </w:r>
                </w:p>
              </w:tc>
              <w:tc>
                <w:tcPr>
                  <w:tcW w:w="833" w:type="dxa"/>
                  <w:vAlign w:val="center"/>
                </w:tcPr>
                <w:p>
                  <w:pPr>
                    <w:tabs>
                      <w:tab w:val="left" w:pos="8820"/>
                    </w:tabs>
                    <w:jc w:val="center"/>
                    <w:rPr>
                      <w:bCs/>
                      <w:szCs w:val="21"/>
                    </w:rPr>
                  </w:pPr>
                  <w:r>
                    <w:rPr>
                      <w:rFonts w:hint="eastAsia"/>
                      <w:bCs/>
                      <w:szCs w:val="21"/>
                    </w:rPr>
                    <w:t>50</w:t>
                  </w:r>
                </w:p>
              </w:tc>
              <w:tc>
                <w:tcPr>
                  <w:tcW w:w="5643" w:type="dxa"/>
                  <w:vAlign w:val="center"/>
                </w:tcPr>
                <w:p>
                  <w:pPr>
                    <w:tabs>
                      <w:tab w:val="left" w:pos="8820"/>
                    </w:tabs>
                    <w:jc w:val="center"/>
                    <w:rPr>
                      <w:szCs w:val="21"/>
                    </w:rPr>
                  </w:pPr>
                  <w:r>
                    <w:rPr>
                      <w:rFonts w:hint="eastAsia"/>
                      <w:szCs w:val="21"/>
                    </w:rPr>
                    <w:t>设置若干移动式垃圾收集桶、地埋式垃圾站和固定式垃圾收集站，并做到每日一清，由环卫部门统一清运送垃圾场卫生填埋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8</w:t>
                  </w:r>
                </w:p>
              </w:tc>
              <w:tc>
                <w:tcPr>
                  <w:tcW w:w="1328" w:type="dxa"/>
                  <w:vAlign w:val="center"/>
                </w:tcPr>
                <w:p>
                  <w:pPr>
                    <w:contextualSpacing/>
                    <w:jc w:val="center"/>
                    <w:rPr>
                      <w:bCs/>
                      <w:szCs w:val="21"/>
                    </w:rPr>
                  </w:pPr>
                  <w:r>
                    <w:rPr>
                      <w:rFonts w:hint="eastAsia"/>
                      <w:bCs/>
                      <w:szCs w:val="21"/>
                    </w:rPr>
                    <w:t>化粪池污泥治理</w:t>
                  </w:r>
                </w:p>
              </w:tc>
              <w:tc>
                <w:tcPr>
                  <w:tcW w:w="833" w:type="dxa"/>
                  <w:vAlign w:val="center"/>
                </w:tcPr>
                <w:p>
                  <w:pPr>
                    <w:tabs>
                      <w:tab w:val="left" w:pos="8820"/>
                    </w:tabs>
                    <w:jc w:val="center"/>
                    <w:rPr>
                      <w:bCs/>
                      <w:szCs w:val="21"/>
                    </w:rPr>
                  </w:pPr>
                  <w:r>
                    <w:rPr>
                      <w:rFonts w:hint="eastAsia"/>
                      <w:bCs/>
                      <w:szCs w:val="21"/>
                    </w:rPr>
                    <w:t>5</w:t>
                  </w:r>
                </w:p>
              </w:tc>
              <w:tc>
                <w:tcPr>
                  <w:tcW w:w="5643" w:type="dxa"/>
                  <w:vAlign w:val="center"/>
                </w:tcPr>
                <w:p>
                  <w:pPr>
                    <w:pStyle w:val="39"/>
                    <w:adjustRightInd w:val="0"/>
                    <w:spacing w:line="240" w:lineRule="auto"/>
                    <w:ind w:firstLine="0" w:firstLineChars="0"/>
                    <w:contextualSpacing/>
                    <w:jc w:val="center"/>
                    <w:rPr>
                      <w:bCs/>
                      <w:sz w:val="21"/>
                      <w:szCs w:val="21"/>
                    </w:rPr>
                  </w:pPr>
                  <w:r>
                    <w:rPr>
                      <w:rFonts w:hint="eastAsia"/>
                      <w:bCs/>
                      <w:sz w:val="21"/>
                      <w:szCs w:val="21"/>
                    </w:rPr>
                    <w:t>定期清掏，委托环卫部门清运处置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dxa"/>
                  <w:vAlign w:val="center"/>
                </w:tcPr>
                <w:p>
                  <w:pPr>
                    <w:tabs>
                      <w:tab w:val="left" w:pos="8820"/>
                    </w:tabs>
                    <w:jc w:val="center"/>
                    <w:rPr>
                      <w:bCs/>
                      <w:szCs w:val="21"/>
                    </w:rPr>
                  </w:pPr>
                  <w:r>
                    <w:rPr>
                      <w:rFonts w:hint="eastAsia"/>
                      <w:bCs/>
                      <w:szCs w:val="21"/>
                    </w:rPr>
                    <w:t>9</w:t>
                  </w:r>
                </w:p>
              </w:tc>
              <w:tc>
                <w:tcPr>
                  <w:tcW w:w="1328" w:type="dxa"/>
                  <w:vAlign w:val="center"/>
                </w:tcPr>
                <w:p>
                  <w:pPr>
                    <w:contextualSpacing/>
                    <w:jc w:val="center"/>
                    <w:rPr>
                      <w:bCs/>
                      <w:szCs w:val="21"/>
                    </w:rPr>
                  </w:pPr>
                  <w:r>
                    <w:rPr>
                      <w:rFonts w:hint="eastAsia"/>
                      <w:bCs/>
                      <w:szCs w:val="21"/>
                    </w:rPr>
                    <w:t>商业垃圾治理</w:t>
                  </w:r>
                </w:p>
              </w:tc>
              <w:tc>
                <w:tcPr>
                  <w:tcW w:w="833" w:type="dxa"/>
                  <w:vAlign w:val="center"/>
                </w:tcPr>
                <w:p>
                  <w:pPr>
                    <w:tabs>
                      <w:tab w:val="left" w:pos="8820"/>
                    </w:tabs>
                    <w:jc w:val="center"/>
                    <w:rPr>
                      <w:bCs/>
                      <w:szCs w:val="21"/>
                    </w:rPr>
                  </w:pPr>
                  <w:r>
                    <w:rPr>
                      <w:rFonts w:hint="eastAsia"/>
                      <w:bCs/>
                      <w:szCs w:val="21"/>
                    </w:rPr>
                    <w:t>5</w:t>
                  </w:r>
                </w:p>
              </w:tc>
              <w:tc>
                <w:tcPr>
                  <w:tcW w:w="5643" w:type="dxa"/>
                  <w:vAlign w:val="center"/>
                </w:tcPr>
                <w:p>
                  <w:pPr>
                    <w:adjustRightInd w:val="0"/>
                    <w:ind w:left="-99"/>
                    <w:contextualSpacing/>
                    <w:jc w:val="center"/>
                    <w:rPr>
                      <w:bCs/>
                      <w:szCs w:val="21"/>
                    </w:rPr>
                  </w:pPr>
                  <w:r>
                    <w:rPr>
                      <w:rFonts w:hint="eastAsia"/>
                      <w:bCs/>
                      <w:szCs w:val="21"/>
                    </w:rPr>
                    <w:t>分类收集综合利用后，不能利用部分委托环卫部门统一清运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2" w:type="dxa"/>
                  <w:gridSpan w:val="2"/>
                  <w:vAlign w:val="center"/>
                </w:tcPr>
                <w:p>
                  <w:pPr>
                    <w:contextualSpacing/>
                    <w:jc w:val="center"/>
                    <w:rPr>
                      <w:b/>
                      <w:szCs w:val="21"/>
                    </w:rPr>
                  </w:pPr>
                  <w:r>
                    <w:rPr>
                      <w:rFonts w:hint="eastAsia"/>
                      <w:b/>
                      <w:szCs w:val="21"/>
                    </w:rPr>
                    <w:t>小计</w:t>
                  </w:r>
                </w:p>
              </w:tc>
              <w:tc>
                <w:tcPr>
                  <w:tcW w:w="833" w:type="dxa"/>
                  <w:vAlign w:val="center"/>
                </w:tcPr>
                <w:p>
                  <w:pPr>
                    <w:tabs>
                      <w:tab w:val="left" w:pos="8820"/>
                    </w:tabs>
                    <w:jc w:val="center"/>
                    <w:rPr>
                      <w:b/>
                      <w:szCs w:val="21"/>
                    </w:rPr>
                  </w:pPr>
                  <w:r>
                    <w:rPr>
                      <w:rFonts w:hint="eastAsia"/>
                      <w:b/>
                      <w:szCs w:val="21"/>
                    </w:rPr>
                    <w:t>560</w:t>
                  </w:r>
                </w:p>
              </w:tc>
              <w:tc>
                <w:tcPr>
                  <w:tcW w:w="5643" w:type="dxa"/>
                  <w:vAlign w:val="center"/>
                </w:tcPr>
                <w:p>
                  <w:pPr>
                    <w:adjustRightInd w:val="0"/>
                    <w:ind w:left="-99"/>
                    <w:contextualSpacing/>
                    <w:jc w:val="center"/>
                    <w:rPr>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2" w:type="dxa"/>
                  <w:gridSpan w:val="2"/>
                  <w:vAlign w:val="center"/>
                </w:tcPr>
                <w:p>
                  <w:pPr>
                    <w:contextualSpacing/>
                    <w:jc w:val="center"/>
                    <w:rPr>
                      <w:b/>
                      <w:szCs w:val="21"/>
                    </w:rPr>
                  </w:pPr>
                  <w:r>
                    <w:rPr>
                      <w:rFonts w:hint="eastAsia"/>
                      <w:b/>
                      <w:szCs w:val="21"/>
                    </w:rPr>
                    <w:t>合计</w:t>
                  </w:r>
                </w:p>
              </w:tc>
              <w:tc>
                <w:tcPr>
                  <w:tcW w:w="833" w:type="dxa"/>
                  <w:vAlign w:val="center"/>
                </w:tcPr>
                <w:p>
                  <w:pPr>
                    <w:tabs>
                      <w:tab w:val="left" w:pos="8820"/>
                    </w:tabs>
                    <w:jc w:val="center"/>
                    <w:rPr>
                      <w:rFonts w:hint="eastAsia" w:eastAsia="宋体"/>
                      <w:b/>
                      <w:szCs w:val="21"/>
                      <w:lang w:eastAsia="zh-CN"/>
                    </w:rPr>
                  </w:pPr>
                  <w:r>
                    <w:rPr>
                      <w:rFonts w:hint="eastAsia"/>
                      <w:b/>
                      <w:szCs w:val="21"/>
                    </w:rPr>
                    <w:t>70</w:t>
                  </w:r>
                  <w:r>
                    <w:rPr>
                      <w:rFonts w:hint="eastAsia"/>
                      <w:b/>
                      <w:szCs w:val="21"/>
                      <w:lang w:val="en-US" w:eastAsia="zh-CN"/>
                    </w:rPr>
                    <w:t>3</w:t>
                  </w:r>
                </w:p>
              </w:tc>
              <w:tc>
                <w:tcPr>
                  <w:tcW w:w="5643" w:type="dxa"/>
                  <w:vAlign w:val="center"/>
                </w:tcPr>
                <w:p>
                  <w:pPr>
                    <w:adjustRightInd w:val="0"/>
                    <w:ind w:left="-99"/>
                    <w:contextualSpacing/>
                    <w:jc w:val="center"/>
                    <w:rPr>
                      <w:bCs/>
                      <w:szCs w:val="21"/>
                    </w:rPr>
                  </w:pPr>
                </w:p>
              </w:tc>
            </w:tr>
          </w:tbl>
          <w:p>
            <w:pPr>
              <w:pStyle w:val="2"/>
              <w:ind w:firstLine="480"/>
            </w:pPr>
          </w:p>
        </w:tc>
      </w:tr>
    </w:tbl>
    <w:p>
      <w:pPr>
        <w:sectPr>
          <w:pgSz w:w="11907" w:h="16840"/>
          <w:pgMar w:top="1440" w:right="1797" w:bottom="1440" w:left="1797" w:header="851" w:footer="1077" w:gutter="0"/>
          <w:cols w:space="425" w:num="1"/>
          <w:docGrid w:linePitch="312" w:charSpace="0"/>
        </w:sectPr>
      </w:pPr>
    </w:p>
    <w:p>
      <w:pPr>
        <w:pStyle w:val="15"/>
        <w:jc w:val="center"/>
        <w:outlineLvl w:val="0"/>
        <w:rPr>
          <w:rFonts w:ascii="黑体" w:hAnsi="黑体" w:eastAsia="黑体"/>
          <w:snapToGrid w:val="0"/>
          <w:sz w:val="30"/>
          <w:szCs w:val="30"/>
        </w:rPr>
      </w:pPr>
      <w:r>
        <w:rPr>
          <w:rFonts w:hint="eastAsia" w:ascii="黑体" w:hAnsi="黑体" w:eastAsia="黑体"/>
          <w:snapToGrid w:val="0"/>
          <w:sz w:val="30"/>
          <w:szCs w:val="30"/>
        </w:rPr>
        <w:t>六、生态环境保护措施监督检查清单</w:t>
      </w:r>
    </w:p>
    <w:tbl>
      <w:tblPr>
        <w:tblStyle w:val="18"/>
        <w:tblW w:w="85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13"/>
        <w:gridCol w:w="1287"/>
        <w:gridCol w:w="1943"/>
        <w:gridCol w:w="1335"/>
        <w:gridCol w:w="19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Merge w:val="restart"/>
            <w:tcBorders>
              <w:tl2br w:val="single" w:color="auto" w:sz="4" w:space="0"/>
            </w:tcBorders>
          </w:tcPr>
          <w:p>
            <w:pPr>
              <w:pStyle w:val="15"/>
              <w:adjustRightInd w:val="0"/>
              <w:snapToGrid w:val="0"/>
              <w:spacing w:beforeLines="30" w:beforeAutospacing="0" w:after="0" w:afterAutospacing="0"/>
              <w:jc w:val="center"/>
              <w:outlineLvl w:val="0"/>
              <w:rPr>
                <w:rFonts w:ascii="黑体" w:hAnsi="黑体" w:eastAsia="黑体" w:cs="宋体"/>
                <w:kern w:val="2"/>
                <w:sz w:val="21"/>
                <w:szCs w:val="21"/>
              </w:rPr>
            </w:pPr>
          </w:p>
          <w:p>
            <w:pPr>
              <w:pStyle w:val="15"/>
              <w:adjustRightInd w:val="0"/>
              <w:snapToGrid w:val="0"/>
              <w:spacing w:beforeLines="3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 xml:space="preserve">             内容</w:t>
            </w:r>
          </w:p>
          <w:p>
            <w:pPr>
              <w:pStyle w:val="15"/>
              <w:adjustRightInd w:val="0"/>
              <w:snapToGrid w:val="0"/>
              <w:spacing w:before="0" w:beforeAutospacing="0" w:after="0" w:afterAutospacing="0" w:line="14" w:lineRule="auto"/>
              <w:outlineLvl w:val="0"/>
              <w:rPr>
                <w:rFonts w:ascii="黑体" w:hAnsi="黑体" w:eastAsia="黑体" w:cs="宋体"/>
                <w:kern w:val="2"/>
                <w:sz w:val="21"/>
                <w:szCs w:val="21"/>
              </w:rPr>
            </w:pPr>
          </w:p>
          <w:p>
            <w:pPr>
              <w:pStyle w:val="15"/>
              <w:adjustRightInd w:val="0"/>
              <w:snapToGrid w:val="0"/>
              <w:spacing w:before="0" w:beforeAutospacing="0" w:after="0" w:afterAutospacing="0"/>
              <w:outlineLvl w:val="0"/>
              <w:rPr>
                <w:rFonts w:ascii="黑体" w:hAnsi="黑体" w:eastAsia="黑体" w:cs="宋体"/>
                <w:kern w:val="2"/>
                <w:sz w:val="21"/>
                <w:szCs w:val="21"/>
              </w:rPr>
            </w:pPr>
            <w:r>
              <w:rPr>
                <w:rFonts w:hint="eastAsia" w:ascii="黑体" w:hAnsi="黑体" w:eastAsia="黑体" w:cs="宋体"/>
                <w:kern w:val="2"/>
                <w:sz w:val="21"/>
                <w:szCs w:val="21"/>
              </w:rPr>
              <w:t>要素</w:t>
            </w:r>
          </w:p>
        </w:tc>
        <w:tc>
          <w:tcPr>
            <w:tcW w:w="3230" w:type="dxa"/>
            <w:gridSpan w:val="2"/>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施工期</w:t>
            </w:r>
          </w:p>
        </w:tc>
        <w:tc>
          <w:tcPr>
            <w:tcW w:w="3279" w:type="dxa"/>
            <w:gridSpan w:val="2"/>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Merge w:val="continue"/>
          </w:tcPr>
          <w:p>
            <w:pPr>
              <w:pStyle w:val="15"/>
              <w:adjustRightInd w:val="0"/>
              <w:snapToGrid w:val="0"/>
              <w:spacing w:before="0" w:beforeAutospacing="0" w:after="0" w:afterAutospacing="0"/>
              <w:ind w:firstLine="840"/>
              <w:jc w:val="center"/>
              <w:outlineLvl w:val="0"/>
              <w:rPr>
                <w:rFonts w:ascii="黑体" w:hAnsi="黑体" w:eastAsia="黑体" w:cs="宋体"/>
                <w:kern w:val="2"/>
                <w:sz w:val="21"/>
                <w:szCs w:val="21"/>
              </w:rPr>
            </w:pPr>
          </w:p>
        </w:tc>
        <w:tc>
          <w:tcPr>
            <w:tcW w:w="1287" w:type="dxa"/>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1943" w:type="dxa"/>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c>
          <w:tcPr>
            <w:tcW w:w="1335" w:type="dxa"/>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1944" w:type="dxa"/>
            <w:vAlign w:val="center"/>
          </w:tcPr>
          <w:p>
            <w:pPr>
              <w:pStyle w:val="15"/>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陆生生态</w:t>
            </w:r>
          </w:p>
        </w:tc>
        <w:tc>
          <w:tcPr>
            <w:tcW w:w="1287" w:type="dxa"/>
            <w:vAlign w:val="center"/>
          </w:tcPr>
          <w:p>
            <w:pPr>
              <w:adjustRightInd w:val="0"/>
              <w:snapToGrid w:val="0"/>
              <w:jc w:val="center"/>
              <w:rPr>
                <w:rFonts w:ascii="宋体" w:hAnsi="宋体" w:cs="宋体"/>
                <w:szCs w:val="21"/>
              </w:rPr>
            </w:pPr>
            <w:r>
              <w:rPr>
                <w:rStyle w:val="22"/>
              </w:rPr>
              <w:t>不对施工范围外的植被造成破坏；选择在鸟类非繁殖期进行施工</w:t>
            </w:r>
          </w:p>
        </w:tc>
        <w:tc>
          <w:tcPr>
            <w:tcW w:w="1943" w:type="dxa"/>
            <w:vAlign w:val="center"/>
          </w:tcPr>
          <w:p>
            <w:pPr>
              <w:adjustRightInd w:val="0"/>
              <w:snapToGrid w:val="0"/>
              <w:jc w:val="center"/>
              <w:rPr>
                <w:rFonts w:ascii="宋体" w:hAnsi="宋体" w:cs="宋体"/>
                <w:szCs w:val="21"/>
              </w:rPr>
            </w:pPr>
            <w:r>
              <w:rPr>
                <w:szCs w:val="21"/>
              </w:rPr>
              <w:t>表土用于植被恢复，临时占地面积较小；不伤害野生动物以及需特殊保护的湿地鸟类</w:t>
            </w:r>
          </w:p>
        </w:tc>
        <w:tc>
          <w:tcPr>
            <w:tcW w:w="1335" w:type="dxa"/>
            <w:vAlign w:val="center"/>
          </w:tcPr>
          <w:p>
            <w:pPr>
              <w:adjustRightInd w:val="0"/>
              <w:snapToGrid w:val="0"/>
              <w:jc w:val="center"/>
              <w:rPr>
                <w:rFonts w:ascii="宋体" w:hAnsi="宋体" w:cs="宋体"/>
                <w:szCs w:val="21"/>
              </w:rPr>
            </w:pPr>
            <w:r>
              <w:rPr>
                <w:szCs w:val="21"/>
              </w:rPr>
              <w:t>恢复植被</w:t>
            </w:r>
          </w:p>
        </w:tc>
        <w:tc>
          <w:tcPr>
            <w:tcW w:w="1944" w:type="dxa"/>
            <w:vAlign w:val="center"/>
          </w:tcPr>
          <w:p>
            <w:pPr>
              <w:adjustRightInd w:val="0"/>
              <w:snapToGrid w:val="0"/>
              <w:jc w:val="center"/>
              <w:rPr>
                <w:rFonts w:ascii="宋体" w:hAnsi="宋体" w:cs="宋体"/>
                <w:szCs w:val="21"/>
              </w:rPr>
            </w:pPr>
            <w:r>
              <w:rPr>
                <w:szCs w:val="21"/>
              </w:rPr>
              <w:t>植被恢复效果达到要求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水生生态</w:t>
            </w:r>
          </w:p>
        </w:tc>
        <w:tc>
          <w:tcPr>
            <w:tcW w:w="1287" w:type="dxa"/>
            <w:vAlign w:val="center"/>
          </w:tcPr>
          <w:p>
            <w:pPr>
              <w:adjustRightInd w:val="0"/>
              <w:snapToGrid w:val="0"/>
              <w:jc w:val="center"/>
              <w:rPr>
                <w:rFonts w:ascii="宋体" w:hAnsi="宋体" w:cs="宋体"/>
                <w:szCs w:val="21"/>
              </w:rPr>
            </w:pPr>
            <w:r>
              <w:rPr>
                <w:szCs w:val="21"/>
              </w:rPr>
              <w:t>/</w:t>
            </w:r>
          </w:p>
        </w:tc>
        <w:tc>
          <w:tcPr>
            <w:tcW w:w="1943" w:type="dxa"/>
            <w:vAlign w:val="center"/>
          </w:tcPr>
          <w:p>
            <w:pPr>
              <w:adjustRightInd w:val="0"/>
              <w:snapToGrid w:val="0"/>
              <w:jc w:val="center"/>
              <w:rPr>
                <w:rFonts w:ascii="宋体" w:hAnsi="宋体" w:cs="宋体"/>
                <w:szCs w:val="21"/>
              </w:rPr>
            </w:pPr>
            <w:r>
              <w:rPr>
                <w:szCs w:val="21"/>
              </w:rPr>
              <w:t>/</w:t>
            </w:r>
          </w:p>
        </w:tc>
        <w:tc>
          <w:tcPr>
            <w:tcW w:w="1335" w:type="dxa"/>
            <w:vAlign w:val="center"/>
          </w:tcPr>
          <w:p>
            <w:pPr>
              <w:adjustRightInd w:val="0"/>
              <w:snapToGrid w:val="0"/>
              <w:jc w:val="center"/>
              <w:rPr>
                <w:rFonts w:ascii="宋体" w:hAnsi="宋体" w:cs="宋体"/>
                <w:szCs w:val="21"/>
              </w:rPr>
            </w:pPr>
            <w:r>
              <w:rPr>
                <w:szCs w:val="21"/>
              </w:rPr>
              <w:t>/</w:t>
            </w:r>
          </w:p>
        </w:tc>
        <w:tc>
          <w:tcPr>
            <w:tcW w:w="1944" w:type="dxa"/>
            <w:vAlign w:val="center"/>
          </w:tcPr>
          <w:p>
            <w:pPr>
              <w:adjustRightInd w:val="0"/>
              <w:snapToGrid w:val="0"/>
              <w:jc w:val="center"/>
              <w:rPr>
                <w:rFonts w:ascii="宋体" w:hAnsi="宋体" w:cs="宋体"/>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地表水环境</w:t>
            </w:r>
          </w:p>
        </w:tc>
        <w:tc>
          <w:tcPr>
            <w:tcW w:w="1287" w:type="dxa"/>
            <w:vAlign w:val="center"/>
          </w:tcPr>
          <w:p>
            <w:pPr>
              <w:adjustRightInd w:val="0"/>
              <w:snapToGrid w:val="0"/>
              <w:jc w:val="center"/>
              <w:rPr>
                <w:rFonts w:ascii="宋体" w:hAnsi="宋体" w:cs="宋体"/>
                <w:szCs w:val="21"/>
              </w:rPr>
            </w:pPr>
            <w:r>
              <w:rPr>
                <w:szCs w:val="21"/>
              </w:rPr>
              <w:t>设置隔油池、沉淀池、临时化粪池等</w:t>
            </w:r>
          </w:p>
        </w:tc>
        <w:tc>
          <w:tcPr>
            <w:tcW w:w="1943" w:type="dxa"/>
            <w:vAlign w:val="center"/>
          </w:tcPr>
          <w:p>
            <w:pPr>
              <w:adjustRightInd w:val="0"/>
              <w:snapToGrid w:val="0"/>
              <w:jc w:val="center"/>
              <w:rPr>
                <w:rFonts w:ascii="宋体" w:hAnsi="宋体" w:cs="宋体"/>
                <w:szCs w:val="21"/>
              </w:rPr>
            </w:pPr>
            <w:r>
              <w:rPr>
                <w:szCs w:val="21"/>
              </w:rPr>
              <w:t>施工废水回用、施工人员生活污水经临时化粪池处理后通过市政管网进入</w:t>
            </w:r>
            <w:r>
              <w:rPr>
                <w:bCs/>
                <w:kern w:val="24"/>
                <w:szCs w:val="21"/>
              </w:rPr>
              <w:t>岳阳市</w:t>
            </w:r>
            <w:r>
              <w:rPr>
                <w:rFonts w:hint="eastAsia"/>
                <w:bCs/>
                <w:kern w:val="24"/>
                <w:szCs w:val="21"/>
              </w:rPr>
              <w:t>马壕</w:t>
            </w:r>
            <w:r>
              <w:rPr>
                <w:bCs/>
                <w:kern w:val="24"/>
                <w:szCs w:val="21"/>
              </w:rPr>
              <w:t>污水处理厂</w:t>
            </w:r>
            <w:r>
              <w:rPr>
                <w:szCs w:val="21"/>
              </w:rPr>
              <w:t>处理后达标排放</w:t>
            </w:r>
          </w:p>
        </w:tc>
        <w:tc>
          <w:tcPr>
            <w:tcW w:w="1335" w:type="dxa"/>
            <w:vAlign w:val="center"/>
          </w:tcPr>
          <w:p>
            <w:pPr>
              <w:adjustRightInd w:val="0"/>
              <w:snapToGrid w:val="0"/>
              <w:jc w:val="center"/>
              <w:rPr>
                <w:rFonts w:ascii="宋体" w:hAnsi="宋体" w:cs="宋体"/>
                <w:szCs w:val="21"/>
              </w:rPr>
            </w:pPr>
            <w:r>
              <w:rPr>
                <w:rFonts w:hint="eastAsia"/>
                <w:szCs w:val="21"/>
                <w:lang w:eastAsia="zh-CN"/>
              </w:rPr>
              <w:t>三个地块均设置隔油池与化粪池，</w:t>
            </w:r>
            <w:r>
              <w:rPr>
                <w:szCs w:val="21"/>
              </w:rPr>
              <w:t>地下车库地面冲洗废水经隔油池处理后与生活污水一并进入化粪处理后排入市政污水管网进入岳阳市</w:t>
            </w:r>
            <w:r>
              <w:rPr>
                <w:rFonts w:hint="eastAsia"/>
                <w:szCs w:val="21"/>
              </w:rPr>
              <w:t>马壕</w:t>
            </w:r>
            <w:r>
              <w:rPr>
                <w:szCs w:val="21"/>
              </w:rPr>
              <w:t>污水处理厂深度处理</w:t>
            </w:r>
          </w:p>
        </w:tc>
        <w:tc>
          <w:tcPr>
            <w:tcW w:w="1944" w:type="dxa"/>
            <w:vAlign w:val="center"/>
          </w:tcPr>
          <w:p>
            <w:pPr>
              <w:adjustRightInd w:val="0"/>
              <w:snapToGrid w:val="0"/>
              <w:jc w:val="left"/>
              <w:rPr>
                <w:rFonts w:ascii="宋体" w:hAnsi="宋体" w:cs="宋体"/>
                <w:szCs w:val="21"/>
              </w:rPr>
            </w:pPr>
            <w:r>
              <w:rPr>
                <w:szCs w:val="21"/>
              </w:rPr>
              <w:t>设有预处理设施（隔油池、化粪池），经预处理后满足</w:t>
            </w:r>
            <w:r>
              <w:rPr>
                <w:bCs/>
                <w:kern w:val="24"/>
                <w:szCs w:val="21"/>
              </w:rPr>
              <w:t>《污水综合排放标准》（GB8978-1996）表4中的三级标准（并能满足岳阳市</w:t>
            </w:r>
            <w:r>
              <w:rPr>
                <w:rFonts w:hint="eastAsia"/>
                <w:bCs/>
                <w:kern w:val="24"/>
                <w:szCs w:val="21"/>
              </w:rPr>
              <w:t>马壕</w:t>
            </w:r>
            <w:r>
              <w:rPr>
                <w:bCs/>
                <w:kern w:val="24"/>
                <w:szCs w:val="21"/>
              </w:rPr>
              <w:t>污水处理厂进水水质要求）</w:t>
            </w:r>
            <w:r>
              <w:rPr>
                <w:szCs w:val="21"/>
              </w:rPr>
              <w:t>接入区域市政污水管网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地下水及土壤环境</w:t>
            </w:r>
          </w:p>
        </w:tc>
        <w:tc>
          <w:tcPr>
            <w:tcW w:w="1287" w:type="dxa"/>
            <w:vAlign w:val="center"/>
          </w:tcPr>
          <w:p>
            <w:pPr>
              <w:adjustRightInd w:val="0"/>
              <w:snapToGrid w:val="0"/>
              <w:jc w:val="center"/>
              <w:rPr>
                <w:rFonts w:ascii="宋体" w:hAnsi="宋体" w:cs="宋体"/>
                <w:szCs w:val="21"/>
              </w:rPr>
            </w:pPr>
            <w:r>
              <w:rPr>
                <w:szCs w:val="21"/>
              </w:rPr>
              <w:t>有序施工，表土保持方式妥当，减缓水土流失；隔油池、沉淀池、临时化粪池做好防渗措施</w:t>
            </w:r>
          </w:p>
        </w:tc>
        <w:tc>
          <w:tcPr>
            <w:tcW w:w="1943" w:type="dxa"/>
            <w:vAlign w:val="center"/>
          </w:tcPr>
          <w:p>
            <w:pPr>
              <w:adjustRightInd w:val="0"/>
              <w:snapToGrid w:val="0"/>
              <w:jc w:val="center"/>
              <w:rPr>
                <w:rFonts w:ascii="宋体" w:hAnsi="宋体" w:cs="宋体"/>
                <w:szCs w:val="21"/>
              </w:rPr>
            </w:pPr>
            <w:r>
              <w:rPr>
                <w:szCs w:val="21"/>
              </w:rPr>
              <w:t>不对地下水、土壤产生影响</w:t>
            </w:r>
          </w:p>
        </w:tc>
        <w:tc>
          <w:tcPr>
            <w:tcW w:w="1335" w:type="dxa"/>
            <w:vAlign w:val="center"/>
          </w:tcPr>
          <w:p>
            <w:pPr>
              <w:adjustRightInd w:val="0"/>
              <w:snapToGrid w:val="0"/>
              <w:jc w:val="center"/>
              <w:rPr>
                <w:rFonts w:ascii="宋体" w:hAnsi="宋体" w:cs="宋体"/>
                <w:szCs w:val="21"/>
              </w:rPr>
            </w:pPr>
            <w:r>
              <w:rPr>
                <w:szCs w:val="21"/>
              </w:rPr>
              <w:t>隔油池、化粪池做好防渗措施</w:t>
            </w:r>
          </w:p>
        </w:tc>
        <w:tc>
          <w:tcPr>
            <w:tcW w:w="1944" w:type="dxa"/>
            <w:vAlign w:val="center"/>
          </w:tcPr>
          <w:p>
            <w:pPr>
              <w:adjustRightInd w:val="0"/>
              <w:snapToGrid w:val="0"/>
              <w:jc w:val="center"/>
              <w:rPr>
                <w:rFonts w:ascii="宋体" w:hAnsi="宋体" w:cs="宋体"/>
                <w:szCs w:val="21"/>
              </w:rPr>
            </w:pPr>
            <w:r>
              <w:rPr>
                <w:szCs w:val="21"/>
              </w:rPr>
              <w:t>不对地下水、土壤产生影响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声环境</w:t>
            </w:r>
          </w:p>
        </w:tc>
        <w:tc>
          <w:tcPr>
            <w:tcW w:w="1287" w:type="dxa"/>
            <w:vAlign w:val="center"/>
          </w:tcPr>
          <w:p>
            <w:pPr>
              <w:adjustRightInd w:val="0"/>
              <w:snapToGrid w:val="0"/>
              <w:jc w:val="center"/>
              <w:rPr>
                <w:rFonts w:ascii="宋体" w:hAnsi="宋体" w:cs="宋体"/>
                <w:szCs w:val="21"/>
              </w:rPr>
            </w:pPr>
            <w:r>
              <w:rPr>
                <w:szCs w:val="21"/>
              </w:rPr>
              <w:t>采用噪声较低的机械设备，有序施工，厂区施工设置围挡等</w:t>
            </w:r>
          </w:p>
        </w:tc>
        <w:tc>
          <w:tcPr>
            <w:tcW w:w="1943" w:type="dxa"/>
            <w:vAlign w:val="center"/>
          </w:tcPr>
          <w:p>
            <w:pPr>
              <w:adjustRightInd w:val="0"/>
              <w:snapToGrid w:val="0"/>
              <w:jc w:val="center"/>
              <w:rPr>
                <w:rFonts w:ascii="宋体" w:hAnsi="宋体" w:cs="宋体"/>
                <w:szCs w:val="21"/>
              </w:rPr>
            </w:pPr>
            <w:r>
              <w:rPr>
                <w:szCs w:val="21"/>
              </w:rPr>
              <w:t>满足《建筑施工场界环境噪声排放标准》（GB12523-2011）</w:t>
            </w:r>
          </w:p>
        </w:tc>
        <w:tc>
          <w:tcPr>
            <w:tcW w:w="1335" w:type="dxa"/>
            <w:vAlign w:val="center"/>
          </w:tcPr>
          <w:p>
            <w:pPr>
              <w:adjustRightInd w:val="0"/>
              <w:snapToGrid w:val="0"/>
              <w:jc w:val="center"/>
              <w:rPr>
                <w:rFonts w:ascii="宋体" w:hAnsi="宋体" w:cs="宋体"/>
                <w:szCs w:val="21"/>
              </w:rPr>
            </w:pPr>
            <w:r>
              <w:rPr>
                <w:szCs w:val="21"/>
              </w:rPr>
              <w:t>低噪设备；房屋、绿化带、墙体等隔声</w:t>
            </w:r>
          </w:p>
        </w:tc>
        <w:tc>
          <w:tcPr>
            <w:tcW w:w="1944" w:type="dxa"/>
            <w:vAlign w:val="center"/>
          </w:tcPr>
          <w:p>
            <w:pPr>
              <w:adjustRightInd w:val="0"/>
              <w:snapToGrid w:val="0"/>
              <w:jc w:val="left"/>
              <w:rPr>
                <w:rFonts w:ascii="宋体" w:hAnsi="宋体" w:cs="宋体"/>
                <w:szCs w:val="21"/>
              </w:rPr>
            </w:pPr>
            <w:r>
              <w:rPr>
                <w:rFonts w:hint="eastAsia"/>
                <w:szCs w:val="21"/>
              </w:rPr>
              <w:t>东侧区域执行《工业企业厂界环境噪声排放标准》（GB12348-2008）4类标准，其他区域执行《工业企业厂界环境噪声排放标准》（GB12348-2008）2类标准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振动</w:t>
            </w:r>
          </w:p>
        </w:tc>
        <w:tc>
          <w:tcPr>
            <w:tcW w:w="1287" w:type="dxa"/>
            <w:vAlign w:val="center"/>
          </w:tcPr>
          <w:p>
            <w:pPr>
              <w:adjustRightInd w:val="0"/>
              <w:snapToGrid w:val="0"/>
              <w:jc w:val="center"/>
              <w:rPr>
                <w:rFonts w:ascii="宋体" w:hAnsi="宋体" w:cs="宋体"/>
                <w:szCs w:val="21"/>
              </w:rPr>
            </w:pPr>
            <w:r>
              <w:rPr>
                <w:szCs w:val="21"/>
              </w:rPr>
              <w:t>/</w:t>
            </w:r>
          </w:p>
        </w:tc>
        <w:tc>
          <w:tcPr>
            <w:tcW w:w="1943" w:type="dxa"/>
            <w:vAlign w:val="center"/>
          </w:tcPr>
          <w:p>
            <w:pPr>
              <w:adjustRightInd w:val="0"/>
              <w:snapToGrid w:val="0"/>
              <w:jc w:val="center"/>
              <w:rPr>
                <w:rFonts w:ascii="宋体" w:hAnsi="宋体" w:cs="宋体"/>
                <w:szCs w:val="21"/>
              </w:rPr>
            </w:pPr>
            <w:r>
              <w:rPr>
                <w:szCs w:val="21"/>
              </w:rPr>
              <w:t>/</w:t>
            </w:r>
          </w:p>
        </w:tc>
        <w:tc>
          <w:tcPr>
            <w:tcW w:w="1335" w:type="dxa"/>
            <w:vAlign w:val="center"/>
          </w:tcPr>
          <w:p>
            <w:pPr>
              <w:adjustRightInd w:val="0"/>
              <w:snapToGrid w:val="0"/>
              <w:jc w:val="center"/>
              <w:rPr>
                <w:rFonts w:ascii="宋体" w:hAnsi="宋体" w:cs="宋体"/>
                <w:szCs w:val="21"/>
              </w:rPr>
            </w:pPr>
            <w:r>
              <w:rPr>
                <w:szCs w:val="21"/>
              </w:rPr>
              <w:t>/</w:t>
            </w:r>
          </w:p>
        </w:tc>
        <w:tc>
          <w:tcPr>
            <w:tcW w:w="1944" w:type="dxa"/>
            <w:vAlign w:val="center"/>
          </w:tcPr>
          <w:p>
            <w:pPr>
              <w:adjustRightInd w:val="0"/>
              <w:snapToGrid w:val="0"/>
              <w:jc w:val="center"/>
              <w:rPr>
                <w:rFonts w:ascii="宋体" w:hAnsi="宋体" w:cs="宋体"/>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大气环境</w:t>
            </w:r>
          </w:p>
        </w:tc>
        <w:tc>
          <w:tcPr>
            <w:tcW w:w="1287" w:type="dxa"/>
            <w:vAlign w:val="center"/>
          </w:tcPr>
          <w:p>
            <w:pPr>
              <w:adjustRightInd w:val="0"/>
              <w:snapToGrid w:val="0"/>
              <w:jc w:val="center"/>
              <w:rPr>
                <w:rFonts w:ascii="宋体" w:hAnsi="宋体" w:cs="宋体"/>
                <w:szCs w:val="21"/>
              </w:rPr>
            </w:pPr>
            <w:r>
              <w:rPr>
                <w:szCs w:val="21"/>
              </w:rPr>
              <w:t>有序施工，设置挡风墙、物料库或加盖，加强车辆管理等</w:t>
            </w:r>
          </w:p>
        </w:tc>
        <w:tc>
          <w:tcPr>
            <w:tcW w:w="1943" w:type="dxa"/>
            <w:vAlign w:val="center"/>
          </w:tcPr>
          <w:p>
            <w:pPr>
              <w:adjustRightInd w:val="0"/>
              <w:snapToGrid w:val="0"/>
              <w:jc w:val="center"/>
              <w:rPr>
                <w:rFonts w:ascii="宋体" w:hAnsi="宋体" w:cs="宋体"/>
                <w:szCs w:val="21"/>
              </w:rPr>
            </w:pPr>
            <w:r>
              <w:rPr>
                <w:szCs w:val="21"/>
              </w:rPr>
              <w:t>符合岳阳市扬尘相关管理办法等要求，施工扬尘执行《大气污染物综合排放标准》（GB16297-1996）表2中无组织排放标准的限值</w:t>
            </w:r>
          </w:p>
        </w:tc>
        <w:tc>
          <w:tcPr>
            <w:tcW w:w="1335" w:type="dxa"/>
            <w:vAlign w:val="center"/>
          </w:tcPr>
          <w:p>
            <w:pPr>
              <w:adjustRightInd w:val="0"/>
              <w:snapToGrid w:val="0"/>
              <w:jc w:val="center"/>
              <w:rPr>
                <w:rFonts w:ascii="宋体" w:hAnsi="宋体" w:cs="宋体"/>
                <w:szCs w:val="21"/>
              </w:rPr>
            </w:pPr>
            <w:r>
              <w:rPr>
                <w:szCs w:val="21"/>
              </w:rPr>
              <w:t>设有油烟专用通道引至楼顶排放；</w:t>
            </w:r>
            <w:r>
              <w:rPr>
                <w:rFonts w:hint="eastAsia"/>
                <w:szCs w:val="21"/>
              </w:rPr>
              <w:t>地面汽车尾气通过绿植吸附、大气扩散</w:t>
            </w:r>
            <w:r>
              <w:rPr>
                <w:szCs w:val="21"/>
              </w:rPr>
              <w:t>；地下车库废气排放口等</w:t>
            </w:r>
          </w:p>
        </w:tc>
        <w:tc>
          <w:tcPr>
            <w:tcW w:w="1944" w:type="dxa"/>
            <w:vAlign w:val="center"/>
          </w:tcPr>
          <w:p>
            <w:pPr>
              <w:adjustRightInd w:val="0"/>
              <w:snapToGrid w:val="0"/>
              <w:jc w:val="center"/>
              <w:rPr>
                <w:rFonts w:ascii="宋体" w:hAnsi="宋体" w:cs="宋体"/>
                <w:szCs w:val="21"/>
              </w:rPr>
            </w:pPr>
            <w:r>
              <w:rPr>
                <w:rFonts w:hint="eastAsia"/>
                <w:szCs w:val="21"/>
              </w:rPr>
              <w:t>幼儿园、</w:t>
            </w:r>
            <w:r>
              <w:rPr>
                <w:szCs w:val="21"/>
              </w:rPr>
              <w:t>居民厨房油烟满足参考执行《饮食业油烟排放标准（试行）》（GB18483-2001）相关标准；公厕、垃圾收集点恶臭气体（臭气浓度）执行《恶臭污染物排放标准》（GB14554-93）中表1厂界浓度限值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固体废物</w:t>
            </w:r>
          </w:p>
        </w:tc>
        <w:tc>
          <w:tcPr>
            <w:tcW w:w="1287" w:type="dxa"/>
            <w:vAlign w:val="center"/>
          </w:tcPr>
          <w:p>
            <w:pPr>
              <w:adjustRightInd w:val="0"/>
              <w:snapToGrid w:val="0"/>
              <w:jc w:val="center"/>
              <w:rPr>
                <w:rFonts w:ascii="宋体" w:hAnsi="宋体" w:cs="宋体"/>
                <w:szCs w:val="21"/>
              </w:rPr>
            </w:pPr>
            <w:r>
              <w:rPr>
                <w:szCs w:val="21"/>
              </w:rPr>
              <w:t>建筑垃圾和工程弃土的运输应委托有相关资质的单位承担；生活垃圾交给环卫部门处置</w:t>
            </w:r>
          </w:p>
        </w:tc>
        <w:tc>
          <w:tcPr>
            <w:tcW w:w="1943" w:type="dxa"/>
            <w:vAlign w:val="center"/>
          </w:tcPr>
          <w:p>
            <w:pPr>
              <w:adjustRightInd w:val="0"/>
              <w:snapToGrid w:val="0"/>
              <w:jc w:val="center"/>
              <w:rPr>
                <w:rFonts w:ascii="宋体" w:hAnsi="宋体" w:cs="宋体"/>
                <w:szCs w:val="21"/>
              </w:rPr>
            </w:pPr>
            <w:r>
              <w:rPr>
                <w:szCs w:val="21"/>
              </w:rPr>
              <w:t>妥善处置</w:t>
            </w:r>
          </w:p>
        </w:tc>
        <w:tc>
          <w:tcPr>
            <w:tcW w:w="1335" w:type="dxa"/>
            <w:vAlign w:val="center"/>
          </w:tcPr>
          <w:p>
            <w:pPr>
              <w:adjustRightInd w:val="0"/>
              <w:snapToGrid w:val="0"/>
              <w:jc w:val="center"/>
              <w:rPr>
                <w:rFonts w:ascii="宋体" w:hAnsi="宋体" w:cs="宋体"/>
                <w:szCs w:val="21"/>
              </w:rPr>
            </w:pPr>
            <w:r>
              <w:rPr>
                <w:szCs w:val="21"/>
              </w:rPr>
              <w:t>垃圾收集桶、</w:t>
            </w:r>
            <w:r>
              <w:rPr>
                <w:rFonts w:hint="eastAsia"/>
                <w:szCs w:val="21"/>
              </w:rPr>
              <w:t>地埋式垃圾站、</w:t>
            </w:r>
            <w:r>
              <w:rPr>
                <w:rFonts w:hint="eastAsia"/>
                <w:szCs w:val="21"/>
                <w:lang w:eastAsia="zh-CN"/>
              </w:rPr>
              <w:t>地面</w:t>
            </w:r>
            <w:r>
              <w:rPr>
                <w:rFonts w:hint="eastAsia"/>
                <w:szCs w:val="21"/>
              </w:rPr>
              <w:t>垃圾站</w:t>
            </w:r>
          </w:p>
        </w:tc>
        <w:tc>
          <w:tcPr>
            <w:tcW w:w="1944" w:type="dxa"/>
            <w:vAlign w:val="center"/>
          </w:tcPr>
          <w:p>
            <w:pPr>
              <w:adjustRightInd w:val="0"/>
              <w:snapToGrid w:val="0"/>
              <w:jc w:val="center"/>
              <w:rPr>
                <w:rFonts w:ascii="宋体" w:hAnsi="宋体" w:cs="宋体"/>
                <w:szCs w:val="21"/>
              </w:rPr>
            </w:pPr>
            <w:r>
              <w:rPr>
                <w:szCs w:val="21"/>
              </w:rPr>
              <w:t>生活垃圾、商业垃圾分类收集，以不引起二次污染为控制要求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电磁环境</w:t>
            </w:r>
          </w:p>
        </w:tc>
        <w:tc>
          <w:tcPr>
            <w:tcW w:w="1287" w:type="dxa"/>
            <w:vAlign w:val="center"/>
          </w:tcPr>
          <w:p>
            <w:pPr>
              <w:adjustRightInd w:val="0"/>
              <w:snapToGrid w:val="0"/>
              <w:jc w:val="center"/>
              <w:rPr>
                <w:rFonts w:ascii="宋体" w:hAnsi="宋体" w:cs="宋体"/>
                <w:szCs w:val="21"/>
              </w:rPr>
            </w:pPr>
            <w:r>
              <w:rPr>
                <w:szCs w:val="21"/>
              </w:rPr>
              <w:t>/</w:t>
            </w:r>
          </w:p>
        </w:tc>
        <w:tc>
          <w:tcPr>
            <w:tcW w:w="1943" w:type="dxa"/>
            <w:vAlign w:val="center"/>
          </w:tcPr>
          <w:p>
            <w:pPr>
              <w:adjustRightInd w:val="0"/>
              <w:snapToGrid w:val="0"/>
              <w:jc w:val="center"/>
              <w:rPr>
                <w:rFonts w:ascii="宋体" w:hAnsi="宋体" w:cs="宋体"/>
                <w:szCs w:val="21"/>
              </w:rPr>
            </w:pPr>
            <w:r>
              <w:rPr>
                <w:szCs w:val="21"/>
              </w:rPr>
              <w:t>/</w:t>
            </w:r>
          </w:p>
        </w:tc>
        <w:tc>
          <w:tcPr>
            <w:tcW w:w="1335" w:type="dxa"/>
            <w:vAlign w:val="center"/>
          </w:tcPr>
          <w:p>
            <w:pPr>
              <w:adjustRightInd w:val="0"/>
              <w:snapToGrid w:val="0"/>
              <w:jc w:val="center"/>
              <w:rPr>
                <w:rFonts w:ascii="宋体" w:hAnsi="宋体" w:cs="宋体"/>
                <w:szCs w:val="21"/>
              </w:rPr>
            </w:pPr>
            <w:r>
              <w:rPr>
                <w:szCs w:val="21"/>
              </w:rPr>
              <w:t>/</w:t>
            </w:r>
          </w:p>
        </w:tc>
        <w:tc>
          <w:tcPr>
            <w:tcW w:w="1944" w:type="dxa"/>
            <w:vAlign w:val="center"/>
          </w:tcPr>
          <w:p>
            <w:pPr>
              <w:adjustRightInd w:val="0"/>
              <w:snapToGrid w:val="0"/>
              <w:jc w:val="center"/>
              <w:rPr>
                <w:rFonts w:ascii="宋体" w:hAnsi="宋体" w:cs="宋体"/>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环境风险</w:t>
            </w:r>
          </w:p>
        </w:tc>
        <w:tc>
          <w:tcPr>
            <w:tcW w:w="1287" w:type="dxa"/>
            <w:vAlign w:val="center"/>
          </w:tcPr>
          <w:p>
            <w:pPr>
              <w:adjustRightInd w:val="0"/>
              <w:snapToGrid w:val="0"/>
              <w:jc w:val="center"/>
              <w:rPr>
                <w:rFonts w:ascii="宋体" w:hAnsi="宋体" w:cs="宋体"/>
                <w:szCs w:val="21"/>
              </w:rPr>
            </w:pPr>
            <w:r>
              <w:rPr>
                <w:szCs w:val="21"/>
              </w:rPr>
              <w:t>/</w:t>
            </w:r>
          </w:p>
        </w:tc>
        <w:tc>
          <w:tcPr>
            <w:tcW w:w="1943" w:type="dxa"/>
            <w:vAlign w:val="center"/>
          </w:tcPr>
          <w:p>
            <w:pPr>
              <w:adjustRightInd w:val="0"/>
              <w:snapToGrid w:val="0"/>
              <w:jc w:val="center"/>
              <w:rPr>
                <w:rFonts w:ascii="宋体" w:hAnsi="宋体" w:cs="宋体"/>
                <w:szCs w:val="21"/>
              </w:rPr>
            </w:pPr>
            <w:r>
              <w:rPr>
                <w:szCs w:val="21"/>
              </w:rPr>
              <w:t>/</w:t>
            </w:r>
          </w:p>
        </w:tc>
        <w:tc>
          <w:tcPr>
            <w:tcW w:w="1335" w:type="dxa"/>
            <w:vAlign w:val="center"/>
          </w:tcPr>
          <w:p>
            <w:pPr>
              <w:adjustRightInd w:val="0"/>
              <w:snapToGrid w:val="0"/>
              <w:jc w:val="center"/>
              <w:rPr>
                <w:rFonts w:ascii="宋体" w:hAnsi="宋体" w:cs="宋体"/>
                <w:szCs w:val="21"/>
              </w:rPr>
            </w:pPr>
            <w:r>
              <w:rPr>
                <w:szCs w:val="21"/>
              </w:rPr>
              <w:t>/</w:t>
            </w:r>
          </w:p>
        </w:tc>
        <w:tc>
          <w:tcPr>
            <w:tcW w:w="1944" w:type="dxa"/>
            <w:vAlign w:val="center"/>
          </w:tcPr>
          <w:p>
            <w:pPr>
              <w:adjustRightInd w:val="0"/>
              <w:snapToGrid w:val="0"/>
              <w:jc w:val="center"/>
              <w:rPr>
                <w:rFonts w:ascii="宋体" w:hAnsi="宋体" w:cs="宋体"/>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环境监测</w:t>
            </w:r>
          </w:p>
        </w:tc>
        <w:tc>
          <w:tcPr>
            <w:tcW w:w="1287" w:type="dxa"/>
            <w:vAlign w:val="center"/>
          </w:tcPr>
          <w:p>
            <w:pPr>
              <w:adjustRightInd w:val="0"/>
              <w:snapToGrid w:val="0"/>
              <w:jc w:val="center"/>
              <w:rPr>
                <w:rFonts w:ascii="宋体" w:hAnsi="宋体" w:cs="宋体"/>
                <w:szCs w:val="21"/>
              </w:rPr>
            </w:pPr>
            <w:r>
              <w:rPr>
                <w:szCs w:val="21"/>
              </w:rPr>
              <w:t>环境敏感点噪声、环境空气</w:t>
            </w:r>
          </w:p>
        </w:tc>
        <w:tc>
          <w:tcPr>
            <w:tcW w:w="1943" w:type="dxa"/>
            <w:vAlign w:val="center"/>
          </w:tcPr>
          <w:p>
            <w:pPr>
              <w:adjustRightInd w:val="0"/>
              <w:snapToGrid w:val="0"/>
              <w:jc w:val="center"/>
              <w:rPr>
                <w:rFonts w:ascii="宋体" w:hAnsi="宋体" w:cs="宋体"/>
                <w:szCs w:val="21"/>
              </w:rPr>
            </w:pPr>
            <w:r>
              <w:rPr>
                <w:szCs w:val="21"/>
              </w:rPr>
              <w:t>《声环境质量标准》（GB3096-2008）中2类标准；《环境空气质量标准》（GB 3095-2012）中二级标准</w:t>
            </w:r>
          </w:p>
        </w:tc>
        <w:tc>
          <w:tcPr>
            <w:tcW w:w="1335" w:type="dxa"/>
            <w:vAlign w:val="center"/>
          </w:tcPr>
          <w:p>
            <w:pPr>
              <w:adjustRightInd w:val="0"/>
              <w:snapToGrid w:val="0"/>
              <w:jc w:val="center"/>
              <w:rPr>
                <w:rFonts w:ascii="宋体" w:hAnsi="宋体" w:cs="宋体"/>
                <w:szCs w:val="21"/>
              </w:rPr>
            </w:pPr>
            <w:r>
              <w:rPr>
                <w:szCs w:val="21"/>
              </w:rPr>
              <w:t>项目厂界四周1m处噪声；项目产生的废水</w:t>
            </w:r>
          </w:p>
        </w:tc>
        <w:tc>
          <w:tcPr>
            <w:tcW w:w="1944" w:type="dxa"/>
            <w:vAlign w:val="center"/>
          </w:tcPr>
          <w:p>
            <w:pPr>
              <w:adjustRightInd w:val="0"/>
              <w:snapToGrid w:val="0"/>
              <w:jc w:val="left"/>
              <w:rPr>
                <w:rFonts w:ascii="宋体" w:hAnsi="宋体" w:cs="宋体"/>
                <w:szCs w:val="21"/>
              </w:rPr>
            </w:pPr>
            <w:r>
              <w:rPr>
                <w:rFonts w:hint="eastAsia"/>
                <w:szCs w:val="21"/>
              </w:rPr>
              <w:t>东侧区域执行《工业企业厂界环境噪声排放标准》（GB12348-2008）4类标准，其他区域执行《工业企业厂界环境噪声排放标准》（GB12348-2008）2类标准</w:t>
            </w:r>
            <w:r>
              <w:rPr>
                <w:szCs w:val="21"/>
              </w:rPr>
              <w:t>；废水总排口满足</w:t>
            </w:r>
            <w:r>
              <w:rPr>
                <w:bCs/>
                <w:kern w:val="24"/>
                <w:szCs w:val="21"/>
              </w:rPr>
              <w:t>《污水综合排放标准》（GB8978-1996）表4中的三级标准（并能满足岳阳市</w:t>
            </w:r>
            <w:r>
              <w:rPr>
                <w:rFonts w:hint="eastAsia"/>
                <w:bCs/>
                <w:kern w:val="24"/>
                <w:szCs w:val="21"/>
              </w:rPr>
              <w:t>马壕</w:t>
            </w:r>
            <w:r>
              <w:rPr>
                <w:bCs/>
                <w:kern w:val="24"/>
                <w:szCs w:val="21"/>
              </w:rPr>
              <w:t>污水处理厂进水水质要求）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13" w:type="dxa"/>
            <w:vAlign w:val="center"/>
          </w:tcPr>
          <w:p>
            <w:pPr>
              <w:adjustRightInd w:val="0"/>
              <w:snapToGrid w:val="0"/>
              <w:jc w:val="center"/>
              <w:rPr>
                <w:rFonts w:ascii="宋体" w:hAnsi="宋体" w:cs="宋体"/>
                <w:szCs w:val="21"/>
              </w:rPr>
            </w:pPr>
            <w:r>
              <w:rPr>
                <w:rFonts w:hint="eastAsia" w:ascii="宋体" w:hAnsi="宋体" w:cs="宋体"/>
                <w:szCs w:val="21"/>
              </w:rPr>
              <w:t>其他</w:t>
            </w:r>
          </w:p>
        </w:tc>
        <w:tc>
          <w:tcPr>
            <w:tcW w:w="1287" w:type="dxa"/>
            <w:vAlign w:val="center"/>
          </w:tcPr>
          <w:p>
            <w:pPr>
              <w:adjustRightInd w:val="0"/>
              <w:snapToGrid w:val="0"/>
              <w:jc w:val="center"/>
              <w:rPr>
                <w:rFonts w:ascii="宋体" w:hAnsi="宋体" w:cs="宋体"/>
                <w:szCs w:val="21"/>
              </w:rPr>
            </w:pPr>
            <w:r>
              <w:rPr>
                <w:szCs w:val="21"/>
              </w:rPr>
              <w:t>/</w:t>
            </w:r>
          </w:p>
        </w:tc>
        <w:tc>
          <w:tcPr>
            <w:tcW w:w="1943" w:type="dxa"/>
            <w:vAlign w:val="center"/>
          </w:tcPr>
          <w:p>
            <w:pPr>
              <w:adjustRightInd w:val="0"/>
              <w:snapToGrid w:val="0"/>
              <w:jc w:val="center"/>
              <w:rPr>
                <w:rFonts w:ascii="宋体" w:hAnsi="宋体" w:cs="宋体"/>
                <w:szCs w:val="21"/>
              </w:rPr>
            </w:pPr>
            <w:r>
              <w:rPr>
                <w:szCs w:val="21"/>
              </w:rPr>
              <w:t>/</w:t>
            </w:r>
          </w:p>
        </w:tc>
        <w:tc>
          <w:tcPr>
            <w:tcW w:w="1335" w:type="dxa"/>
            <w:vAlign w:val="center"/>
          </w:tcPr>
          <w:p>
            <w:pPr>
              <w:adjustRightInd w:val="0"/>
              <w:snapToGrid w:val="0"/>
              <w:jc w:val="center"/>
              <w:rPr>
                <w:rFonts w:ascii="宋体" w:hAnsi="宋体" w:cs="宋体"/>
                <w:szCs w:val="21"/>
              </w:rPr>
            </w:pPr>
            <w:r>
              <w:rPr>
                <w:szCs w:val="21"/>
              </w:rPr>
              <w:t>/</w:t>
            </w:r>
          </w:p>
        </w:tc>
        <w:tc>
          <w:tcPr>
            <w:tcW w:w="1944" w:type="dxa"/>
            <w:vAlign w:val="center"/>
          </w:tcPr>
          <w:p>
            <w:pPr>
              <w:adjustRightInd w:val="0"/>
              <w:snapToGrid w:val="0"/>
              <w:jc w:val="center"/>
              <w:rPr>
                <w:rFonts w:ascii="宋体" w:hAnsi="宋体" w:cs="宋体"/>
                <w:szCs w:val="21"/>
              </w:rPr>
            </w:pPr>
            <w:r>
              <w:rPr>
                <w:szCs w:val="21"/>
              </w:rPr>
              <w:t>/</w:t>
            </w:r>
          </w:p>
        </w:tc>
      </w:tr>
    </w:tbl>
    <w:p>
      <w:pPr>
        <w:pStyle w:val="15"/>
        <w:jc w:val="center"/>
        <w:outlineLvl w:val="0"/>
        <w:rPr>
          <w:rFonts w:ascii="黑体" w:hAnsi="黑体" w:eastAsia="黑体"/>
          <w:snapToGrid w:val="0"/>
          <w:sz w:val="30"/>
          <w:szCs w:val="30"/>
        </w:rPr>
      </w:pPr>
    </w:p>
    <w:p>
      <w:pPr>
        <w:pStyle w:val="15"/>
        <w:spacing w:before="0" w:beforeAutospacing="0" w:line="14" w:lineRule="auto"/>
        <w:jc w:val="center"/>
        <w:outlineLvl w:val="0"/>
        <w:rPr>
          <w:rFonts w:ascii="黑体" w:hAnsi="黑体" w:eastAsia="黑体"/>
          <w:snapToGrid w:val="0"/>
          <w:sz w:val="30"/>
          <w:szCs w:val="30"/>
        </w:rPr>
      </w:pPr>
      <w:r>
        <w:rPr>
          <w:rFonts w:ascii="黑体" w:hAnsi="黑体" w:eastAsia="黑体"/>
          <w:snapToGrid w:val="0"/>
          <w:sz w:val="30"/>
          <w:szCs w:val="30"/>
        </w:rPr>
        <w:br w:type="page"/>
      </w:r>
    </w:p>
    <w:p>
      <w:pPr>
        <w:pStyle w:val="15"/>
        <w:spacing w:beforeLines="80" w:beforeAutospacing="0"/>
        <w:jc w:val="center"/>
        <w:outlineLvl w:val="0"/>
        <w:rPr>
          <w:rFonts w:ascii="黑体" w:hAnsi="黑体" w:eastAsia="黑体"/>
          <w:snapToGrid w:val="0"/>
          <w:sz w:val="30"/>
          <w:szCs w:val="30"/>
        </w:rPr>
      </w:pPr>
      <w:r>
        <w:rPr>
          <w:rFonts w:hint="eastAsia" w:ascii="黑体" w:hAnsi="黑体" w:eastAsia="黑体"/>
          <w:snapToGrid w:val="0"/>
          <w:sz w:val="30"/>
          <w:szCs w:val="30"/>
        </w:rPr>
        <w:t>七、结论</w:t>
      </w:r>
    </w:p>
    <w:tbl>
      <w:tblPr>
        <w:tblStyle w:val="18"/>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pPr>
              <w:pStyle w:val="2"/>
              <w:ind w:firstLine="480"/>
            </w:pPr>
            <w:r>
              <w:rPr>
                <w:rFonts w:hint="eastAsia"/>
              </w:rPr>
              <w:t>金茂·岳茂苑</w:t>
            </w:r>
            <w:r>
              <w:t>主体建设内容符合国家</w:t>
            </w:r>
            <w:r>
              <w:rPr>
                <w:rFonts w:hint="eastAsia"/>
              </w:rPr>
              <w:t>相关</w:t>
            </w:r>
            <w:r>
              <w:t>政策、用地规划、选址基本合理，</w:t>
            </w:r>
            <w:r>
              <w:rPr>
                <w:rFonts w:hint="eastAsia"/>
              </w:rPr>
              <w:t>项目周边无环境制约因素，</w:t>
            </w:r>
            <w:r>
              <w:t>在认真落实环评报告和生态专题报告提出的各项污染防治和生态保护措施、严格执行环境保护“三同时”制度的基础上，污染物均能达标排放，其对环境影响较小；在采取有效的保护和恢复措施的前提下，在可接受的范围内。从环境保护的角度考虑，本项目建设是可行的。</w:t>
            </w:r>
          </w:p>
          <w:p>
            <w:pPr>
              <w:pStyle w:val="2"/>
              <w:ind w:firstLine="480"/>
              <w:jc w:val="center"/>
            </w:pPr>
          </w:p>
        </w:tc>
      </w:tr>
    </w:tbl>
    <w:p>
      <w:pPr>
        <w:rPr>
          <w:rFonts w:ascii="宋体"/>
        </w:rPr>
      </w:pPr>
    </w:p>
    <w:p>
      <w:pPr>
        <w:rPr>
          <w:rFonts w:ascii="黑体" w:hAnsi="黑体" w:eastAsia="黑体"/>
          <w:snapToGrid w:val="0"/>
          <w:sz w:val="32"/>
          <w:szCs w:val="32"/>
        </w:rPr>
      </w:pPr>
      <w:r>
        <w:rPr>
          <w:rFonts w:ascii="黑体" w:hAnsi="黑体" w:eastAsia="黑体"/>
          <w:snapToGrid w:val="0"/>
          <w:sz w:val="32"/>
          <w:szCs w:val="32"/>
        </w:rPr>
        <w:br w:type="page"/>
      </w:r>
    </w:p>
    <w:p>
      <w:pPr>
        <w:pStyle w:val="15"/>
        <w:adjustRightInd w:val="0"/>
        <w:snapToGrid w:val="0"/>
        <w:spacing w:before="0" w:beforeAutospacing="0" w:after="0" w:afterAutospacing="0" w:line="648"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15"/>
        <w:adjustRightInd w:val="0"/>
        <w:snapToGrid w:val="0"/>
        <w:spacing w:before="0" w:beforeAutospacing="0" w:after="0" w:afterAutospacing="0" w:line="552" w:lineRule="auto"/>
        <w:jc w:val="center"/>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编制单位和编制人员情况表</w:t>
      </w:r>
    </w:p>
    <w:tbl>
      <w:tblPr>
        <w:tblStyle w:val="18"/>
        <w:tblW w:w="88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2268"/>
        <w:gridCol w:w="1814"/>
        <w:gridCol w:w="2126"/>
        <w:gridCol w:w="13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项目编号</w:t>
            </w:r>
          </w:p>
        </w:tc>
        <w:tc>
          <w:tcPr>
            <w:tcW w:w="5266" w:type="dxa"/>
            <w:gridSpan w:val="3"/>
            <w:noWrap w:val="0"/>
            <w:vAlign w:val="center"/>
          </w:tcPr>
          <w:p>
            <w:pPr>
              <w:pStyle w:val="15"/>
              <w:widowControl w:val="0"/>
              <w:adjustRightInd w:val="0"/>
              <w:snapToGrid w:val="0"/>
              <w:spacing w:before="0" w:beforeAutospacing="0" w:after="0" w:afterAutospacing="0"/>
              <w:jc w:val="both"/>
              <w:rPr>
                <w:rFonts w:cs="宋体"/>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建设项目名称</w:t>
            </w:r>
          </w:p>
        </w:tc>
        <w:tc>
          <w:tcPr>
            <w:tcW w:w="5266" w:type="dxa"/>
            <w:gridSpan w:val="3"/>
            <w:noWrap w:val="0"/>
            <w:vAlign w:val="center"/>
          </w:tcPr>
          <w:p>
            <w:pPr>
              <w:pStyle w:val="15"/>
              <w:widowControl w:val="0"/>
              <w:adjustRightInd w:val="0"/>
              <w:snapToGrid w:val="0"/>
              <w:spacing w:before="0" w:beforeAutospacing="0" w:after="0" w:afterAutospacing="0"/>
              <w:jc w:val="left"/>
              <w:rPr>
                <w:rFonts w:cs="宋体"/>
                <w:kern w:val="2"/>
                <w:sz w:val="21"/>
                <w:szCs w:val="21"/>
              </w:rPr>
            </w:pPr>
            <w:r>
              <w:rPr>
                <w:rFonts w:hint="eastAsia" w:ascii="宋体" w:hAnsi="宋体" w:cs="宋体"/>
                <w:sz w:val="21"/>
                <w:szCs w:val="21"/>
              </w:rPr>
              <w:t>金茂·岳茂苑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建设项目类别</w:t>
            </w:r>
          </w:p>
        </w:tc>
        <w:tc>
          <w:tcPr>
            <w:tcW w:w="5266" w:type="dxa"/>
            <w:gridSpan w:val="3"/>
            <w:noWrap w:val="0"/>
            <w:vAlign w:val="center"/>
          </w:tcPr>
          <w:p>
            <w:pPr>
              <w:pStyle w:val="15"/>
              <w:widowControl w:val="0"/>
              <w:adjustRightInd w:val="0"/>
              <w:snapToGrid w:val="0"/>
              <w:spacing w:before="0" w:beforeAutospacing="0" w:after="0" w:afterAutospacing="0"/>
              <w:jc w:val="both"/>
              <w:rPr>
                <w:rFonts w:cs="宋体"/>
                <w:kern w:val="2"/>
                <w:sz w:val="21"/>
                <w:szCs w:val="21"/>
              </w:rPr>
            </w:pPr>
            <w:r>
              <w:rPr>
                <w:rFonts w:hint="default" w:ascii="Times New Roman" w:hAnsi="Times New Roman" w:cs="Times New Roman"/>
                <w:kern w:val="2"/>
                <w:sz w:val="21"/>
                <w:szCs w:val="21"/>
              </w:rPr>
              <w:t>四十四、房地产业97、房地产开发、商业综合体、宾馆、酒店、办公用房、标准厂房等-涉及环境敏感区的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环境影响评价文件类型</w:t>
            </w:r>
          </w:p>
        </w:tc>
        <w:tc>
          <w:tcPr>
            <w:tcW w:w="5266" w:type="dxa"/>
            <w:gridSpan w:val="3"/>
            <w:noWrap w:val="0"/>
            <w:vAlign w:val="center"/>
          </w:tcPr>
          <w:p>
            <w:pPr>
              <w:pStyle w:val="15"/>
              <w:widowControl w:val="0"/>
              <w:adjustRightInd w:val="0"/>
              <w:snapToGrid w:val="0"/>
              <w:spacing w:before="0" w:beforeAutospacing="0" w:after="0" w:afterAutospacing="0"/>
              <w:jc w:val="both"/>
              <w:rPr>
                <w:rFonts w:hint="eastAsia" w:eastAsia="宋体" w:cs="宋体"/>
                <w:kern w:val="2"/>
                <w:sz w:val="21"/>
                <w:szCs w:val="21"/>
                <w:lang w:val="en-US" w:eastAsia="zh-CN"/>
              </w:rPr>
            </w:pPr>
            <w:r>
              <w:rPr>
                <w:rFonts w:hint="eastAsia" w:cs="宋体"/>
                <w:kern w:val="2"/>
                <w:sz w:val="21"/>
                <w:szCs w:val="21"/>
                <w:lang w:val="en-US" w:eastAsia="zh-CN"/>
              </w:rPr>
              <w:t>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15"/>
              <w:widowControl w:val="0"/>
              <w:adjustRightInd w:val="0"/>
              <w:snapToGrid w:val="0"/>
              <w:spacing w:before="0" w:beforeAutospacing="0" w:after="0" w:afterAutospacing="0"/>
              <w:jc w:val="both"/>
              <w:rPr>
                <w:rFonts w:ascii="黑体" w:hAnsi="黑体" w:eastAsia="黑体" w:cs="宋体"/>
                <w:kern w:val="2"/>
                <w:sz w:val="21"/>
                <w:szCs w:val="21"/>
              </w:rPr>
            </w:pPr>
            <w:r>
              <w:rPr>
                <w:rFonts w:hint="eastAsia" w:ascii="黑体" w:hAnsi="黑体" w:eastAsia="黑体" w:cs="宋体"/>
                <w:kern w:val="2"/>
                <w:sz w:val="21"/>
                <w:szCs w:val="21"/>
              </w:rPr>
              <w:t>一、建设单位情况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单位名称（盖章）</w:t>
            </w:r>
          </w:p>
        </w:tc>
        <w:tc>
          <w:tcPr>
            <w:tcW w:w="5266" w:type="dxa"/>
            <w:gridSpan w:val="3"/>
            <w:noWrap w:val="0"/>
            <w:vAlign w:val="center"/>
          </w:tcPr>
          <w:p>
            <w:pPr>
              <w:pStyle w:val="15"/>
              <w:widowControl w:val="0"/>
              <w:adjustRightInd w:val="0"/>
              <w:snapToGrid w:val="0"/>
              <w:spacing w:before="0" w:beforeAutospacing="0" w:after="0" w:afterAutospacing="0"/>
              <w:jc w:val="both"/>
              <w:rPr>
                <w:rFonts w:cs="宋体"/>
                <w:kern w:val="2"/>
                <w:sz w:val="21"/>
                <w:szCs w:val="21"/>
              </w:rPr>
            </w:pPr>
            <w:r>
              <w:rPr>
                <w:rFonts w:hint="eastAsia" w:cs="宋体"/>
                <w:kern w:val="2"/>
                <w:sz w:val="21"/>
                <w:szCs w:val="21"/>
              </w:rPr>
              <w:t>岳阳和茂置业有限公司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hint="default" w:ascii="Times New Roman" w:hAnsi="Times New Roman" w:cs="Times New Roman"/>
                <w:kern w:val="2"/>
                <w:sz w:val="21"/>
                <w:szCs w:val="21"/>
              </w:rPr>
            </w:pPr>
            <w:r>
              <w:rPr>
                <w:rFonts w:hint="default" w:ascii="Times New Roman" w:hAnsi="Times New Roman" w:cs="Times New Roman"/>
                <w:kern w:val="2"/>
                <w:sz w:val="21"/>
                <w:szCs w:val="21"/>
              </w:rPr>
              <w:t>统一社会信用代码</w:t>
            </w:r>
          </w:p>
        </w:tc>
        <w:tc>
          <w:tcPr>
            <w:tcW w:w="5266" w:type="dxa"/>
            <w:gridSpan w:val="3"/>
            <w:noWrap w:val="0"/>
            <w:vAlign w:val="center"/>
          </w:tcPr>
          <w:p>
            <w:pPr>
              <w:pStyle w:val="15"/>
              <w:widowControl w:val="0"/>
              <w:adjustRightInd w:val="0"/>
              <w:snapToGrid w:val="0"/>
              <w:spacing w:before="0" w:beforeAutospacing="0" w:after="0" w:afterAutospacing="0"/>
              <w:jc w:val="both"/>
              <w:rPr>
                <w:rFonts w:hint="default" w:ascii="Times New Roman" w:hAnsi="Times New Roman" w:cs="Times New Roman"/>
                <w:kern w:val="2"/>
                <w:sz w:val="21"/>
                <w:szCs w:val="21"/>
              </w:rPr>
            </w:pPr>
            <w:r>
              <w:rPr>
                <w:rFonts w:hint="default" w:ascii="Times New Roman" w:hAnsi="Times New Roman" w:cs="Times New Roman"/>
                <w:kern w:val="2"/>
                <w:sz w:val="21"/>
                <w:szCs w:val="21"/>
              </w:rPr>
              <w:t>91430600MA4QGJ4X2C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法定代表人（签章）</w:t>
            </w:r>
          </w:p>
        </w:tc>
        <w:tc>
          <w:tcPr>
            <w:tcW w:w="5266" w:type="dxa"/>
            <w:gridSpan w:val="3"/>
            <w:noWrap w:val="0"/>
            <w:vAlign w:val="center"/>
          </w:tcPr>
          <w:p>
            <w:pPr>
              <w:pStyle w:val="15"/>
              <w:widowControl w:val="0"/>
              <w:adjustRightInd w:val="0"/>
              <w:snapToGrid w:val="0"/>
              <w:spacing w:before="0" w:beforeAutospacing="0" w:after="0" w:afterAutospacing="0"/>
              <w:jc w:val="both"/>
              <w:rPr>
                <w:rFonts w:cs="宋体"/>
                <w:kern w:val="2"/>
                <w:sz w:val="21"/>
                <w:szCs w:val="21"/>
              </w:rPr>
            </w:pPr>
            <w:r>
              <w:rPr>
                <w:rFonts w:hint="eastAsia" w:cs="宋体"/>
                <w:kern w:val="2"/>
                <w:sz w:val="21"/>
                <w:szCs w:val="21"/>
              </w:rPr>
              <w:t>徐志升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主要负责人（签字）</w:t>
            </w:r>
          </w:p>
        </w:tc>
        <w:tc>
          <w:tcPr>
            <w:tcW w:w="5266" w:type="dxa"/>
            <w:gridSpan w:val="3"/>
            <w:noWrap w:val="0"/>
            <w:vAlign w:val="center"/>
          </w:tcPr>
          <w:p>
            <w:pPr>
              <w:pStyle w:val="15"/>
              <w:widowControl w:val="0"/>
              <w:adjustRightInd w:val="0"/>
              <w:snapToGrid w:val="0"/>
              <w:spacing w:before="0" w:beforeAutospacing="0" w:after="0" w:afterAutospacing="0"/>
              <w:jc w:val="both"/>
              <w:rPr>
                <w:rFonts w:hint="eastAsia" w:eastAsia="宋体" w:cs="宋体"/>
                <w:kern w:val="2"/>
                <w:sz w:val="21"/>
                <w:szCs w:val="21"/>
                <w:lang w:eastAsia="zh-CN"/>
              </w:rPr>
            </w:pPr>
            <w:r>
              <w:rPr>
                <w:rFonts w:hint="eastAsia" w:cs="宋体"/>
                <w:kern w:val="2"/>
                <w:sz w:val="21"/>
                <w:szCs w:val="21"/>
                <w:lang w:eastAsia="zh-CN"/>
              </w:rPr>
              <w:t>曾明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直接负责的主管人员（签字）</w:t>
            </w:r>
          </w:p>
        </w:tc>
        <w:tc>
          <w:tcPr>
            <w:tcW w:w="5266" w:type="dxa"/>
            <w:gridSpan w:val="3"/>
            <w:noWrap w:val="0"/>
            <w:vAlign w:val="center"/>
          </w:tcPr>
          <w:p>
            <w:pPr>
              <w:pStyle w:val="15"/>
              <w:widowControl w:val="0"/>
              <w:adjustRightInd w:val="0"/>
              <w:snapToGrid w:val="0"/>
              <w:spacing w:before="0" w:beforeAutospacing="0" w:after="0" w:afterAutospacing="0"/>
              <w:jc w:val="both"/>
              <w:rPr>
                <w:rFonts w:hint="default" w:eastAsia="宋体" w:cs="宋体"/>
                <w:kern w:val="2"/>
                <w:sz w:val="21"/>
                <w:szCs w:val="21"/>
                <w:lang w:val="en-US" w:eastAsia="zh-CN"/>
              </w:rPr>
            </w:pPr>
            <w:r>
              <w:rPr>
                <w:rFonts w:hint="eastAsia" w:cs="宋体"/>
                <w:kern w:val="2"/>
                <w:sz w:val="21"/>
                <w:szCs w:val="21"/>
                <w:lang w:eastAsia="zh-CN"/>
              </w:rPr>
              <w:t>曾明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15"/>
              <w:widowControl w:val="0"/>
              <w:adjustRightInd w:val="0"/>
              <w:snapToGrid w:val="0"/>
              <w:spacing w:before="0" w:beforeAutospacing="0" w:after="0" w:afterAutospacing="0"/>
              <w:jc w:val="both"/>
              <w:rPr>
                <w:rFonts w:ascii="黑体" w:hAnsi="黑体" w:eastAsia="黑体" w:cs="宋体"/>
                <w:b/>
                <w:kern w:val="2"/>
                <w:sz w:val="21"/>
                <w:szCs w:val="21"/>
              </w:rPr>
            </w:pPr>
            <w:r>
              <w:rPr>
                <w:rFonts w:hint="eastAsia" w:ascii="黑体" w:hAnsi="黑体" w:eastAsia="黑体" w:cs="宋体"/>
                <w:kern w:val="2"/>
                <w:sz w:val="21"/>
                <w:szCs w:val="21"/>
              </w:rPr>
              <w:t>二、编制单位情况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单位名称（盖章）</w:t>
            </w:r>
          </w:p>
        </w:tc>
        <w:tc>
          <w:tcPr>
            <w:tcW w:w="5266" w:type="dxa"/>
            <w:gridSpan w:val="3"/>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ascii="Times New Roman" w:hAnsi="Times New Roman" w:cs="Times New Roman"/>
                <w:sz w:val="21"/>
                <w:szCs w:val="21"/>
              </w:rPr>
              <w:t>湖南博咨环境技术咨询服务有限公司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统一社会信用代码</w:t>
            </w:r>
          </w:p>
        </w:tc>
        <w:tc>
          <w:tcPr>
            <w:tcW w:w="5266" w:type="dxa"/>
            <w:gridSpan w:val="3"/>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ascii="Times New Roman" w:hAnsi="Times New Roman" w:cs="Times New Roman"/>
                <w:sz w:val="21"/>
                <w:szCs w:val="21"/>
              </w:rPr>
              <w:t>91430100MA4M0TY26W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15"/>
              <w:widowControl w:val="0"/>
              <w:adjustRightInd w:val="0"/>
              <w:snapToGrid w:val="0"/>
              <w:spacing w:before="0" w:beforeAutospacing="0" w:after="0" w:afterAutospacing="0"/>
              <w:rPr>
                <w:rFonts w:ascii="黑体" w:hAnsi="黑体" w:eastAsia="黑体" w:cs="宋体"/>
                <w:kern w:val="2"/>
                <w:sz w:val="21"/>
                <w:szCs w:val="21"/>
              </w:rPr>
            </w:pPr>
            <w:r>
              <w:rPr>
                <w:rFonts w:hint="eastAsia" w:ascii="黑体" w:hAnsi="黑体" w:eastAsia="黑体" w:cs="宋体"/>
                <w:kern w:val="2"/>
                <w:sz w:val="21"/>
                <w:szCs w:val="21"/>
              </w:rPr>
              <w:t>三、编制人员情况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15"/>
              <w:widowControl w:val="0"/>
              <w:adjustRightInd w:val="0"/>
              <w:snapToGrid w:val="0"/>
              <w:spacing w:before="0" w:beforeAutospacing="0" w:after="0" w:afterAutospacing="0"/>
              <w:rPr>
                <w:rFonts w:cs="宋体"/>
                <w:kern w:val="2"/>
                <w:sz w:val="21"/>
                <w:szCs w:val="21"/>
              </w:rPr>
            </w:pPr>
            <w:r>
              <w:rPr>
                <w:rFonts w:cs="宋体"/>
                <w:kern w:val="2"/>
                <w:sz w:val="21"/>
                <w:szCs w:val="21"/>
              </w:rPr>
              <w:t>1.</w:t>
            </w:r>
            <w:r>
              <w:rPr>
                <w:rFonts w:hint="eastAsia" w:cs="宋体"/>
                <w:kern w:val="2"/>
                <w:sz w:val="21"/>
                <w:szCs w:val="21"/>
              </w:rPr>
              <w:t>编制主持人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姓名</w:t>
            </w: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职业资格证书管理号</w:t>
            </w: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信用编号</w:t>
            </w: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eastAsia="zh-CN"/>
              </w:rPr>
              <w:t>温俊杰</w:t>
            </w: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val="en-US" w:eastAsia="zh-CN"/>
              </w:rPr>
              <w:tab/>
            </w:r>
            <w:r>
              <w:rPr>
                <w:rFonts w:hint="eastAsia" w:ascii="Times New Roman" w:hAnsi="Times New Roman" w:cs="Times New Roman"/>
                <w:color w:val="000000"/>
                <w:sz w:val="21"/>
                <w:szCs w:val="21"/>
                <w:lang w:val="en-US" w:eastAsia="zh-CN"/>
              </w:rPr>
              <w:t>2016035430350000003511430323</w:t>
            </w: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val="en-US" w:eastAsia="zh-CN"/>
              </w:rPr>
              <w:t>BH011199</w:t>
            </w: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15"/>
              <w:widowControl w:val="0"/>
              <w:adjustRightInd w:val="0"/>
              <w:snapToGrid w:val="0"/>
              <w:spacing w:before="0" w:beforeAutospacing="0" w:after="0" w:afterAutospacing="0"/>
              <w:rPr>
                <w:rFonts w:cs="宋体"/>
                <w:kern w:val="2"/>
                <w:sz w:val="21"/>
                <w:szCs w:val="21"/>
              </w:rPr>
            </w:pPr>
            <w:r>
              <w:rPr>
                <w:rFonts w:cs="宋体"/>
                <w:kern w:val="2"/>
                <w:sz w:val="21"/>
                <w:szCs w:val="21"/>
              </w:rPr>
              <w:t>2.</w:t>
            </w:r>
            <w:r>
              <w:rPr>
                <w:rFonts w:hint="eastAsia" w:cs="宋体"/>
                <w:kern w:val="2"/>
                <w:sz w:val="21"/>
                <w:szCs w:val="21"/>
              </w:rPr>
              <w:t>主要编制人员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姓名</w:t>
            </w: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主要编写内容</w:t>
            </w: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信用编号</w:t>
            </w: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eastAsia="zh-CN"/>
              </w:rPr>
              <w:t>冯汝晴</w:t>
            </w: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eastAsia="zh-CN"/>
              </w:rPr>
              <w:t>建设项目基本情况、建设内容、生态环境现状、保护目标及评价标准、生态环境影响分析、主要生态环境保护措施、生态环境保护措施监督检查清单、结论</w:t>
            </w:r>
            <w:bookmarkStart w:id="304" w:name="_GoBack"/>
            <w:bookmarkEnd w:id="304"/>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r>
              <w:rPr>
                <w:rFonts w:hint="eastAsia" w:ascii="Times New Roman" w:hAnsi="Times New Roman" w:cs="Times New Roman"/>
                <w:color w:val="000000"/>
                <w:sz w:val="21"/>
                <w:szCs w:val="21"/>
                <w:lang w:val="en-US" w:eastAsia="zh-CN"/>
              </w:rPr>
              <w:t>BH035080</w:t>
            </w: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301"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4082" w:type="dxa"/>
            <w:gridSpan w:val="2"/>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21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c>
          <w:tcPr>
            <w:tcW w:w="1326" w:type="dxa"/>
            <w:noWrap w:val="0"/>
            <w:vAlign w:val="center"/>
          </w:tcPr>
          <w:p>
            <w:pPr>
              <w:pStyle w:val="15"/>
              <w:widowControl w:val="0"/>
              <w:adjustRightInd w:val="0"/>
              <w:snapToGrid w:val="0"/>
              <w:spacing w:before="0" w:beforeAutospacing="0" w:after="0" w:afterAutospacing="0"/>
              <w:jc w:val="center"/>
              <w:rPr>
                <w:rFonts w:cs="宋体"/>
                <w:kern w:val="2"/>
                <w:sz w:val="21"/>
                <w:szCs w:val="21"/>
              </w:rPr>
            </w:pPr>
          </w:p>
        </w:tc>
      </w:tr>
    </w:tbl>
    <w:p>
      <w:r>
        <w:br w:type="page"/>
      </w:r>
    </w:p>
    <w:p>
      <w:pPr>
        <w:pStyle w:val="13"/>
      </w:pPr>
    </w:p>
    <w:p>
      <w:pPr>
        <w:pStyle w:val="2"/>
        <w:ind w:firstLine="0" w:firstLineChars="0"/>
        <w:jc w:val="center"/>
        <w:rPr>
          <w:b/>
          <w:bCs/>
          <w:sz w:val="32"/>
          <w:szCs w:val="32"/>
        </w:rPr>
      </w:pPr>
      <w:r>
        <w:rPr>
          <w:rFonts w:hint="eastAsia"/>
          <w:b/>
          <w:bCs/>
          <w:sz w:val="32"/>
          <w:szCs w:val="32"/>
        </w:rPr>
        <w:t>金茂·岳茂苑</w:t>
      </w:r>
    </w:p>
    <w:p>
      <w:pPr>
        <w:pStyle w:val="2"/>
        <w:ind w:firstLine="0" w:firstLineChars="0"/>
        <w:jc w:val="center"/>
        <w:rPr>
          <w:b/>
          <w:bCs/>
          <w:sz w:val="32"/>
          <w:szCs w:val="32"/>
        </w:rPr>
      </w:pPr>
      <w:r>
        <w:rPr>
          <w:rFonts w:hint="eastAsia"/>
          <w:b/>
          <w:bCs/>
          <w:sz w:val="32"/>
          <w:szCs w:val="32"/>
        </w:rPr>
        <w:t>生态影响专项评价</w:t>
      </w:r>
    </w:p>
    <w:p>
      <w:pPr>
        <w:pStyle w:val="4"/>
      </w:pPr>
      <w:r>
        <w:t>1</w:t>
      </w:r>
      <w:r>
        <w:rPr>
          <w:rStyle w:val="38"/>
          <w:b/>
        </w:rPr>
        <w:t>、总论</w:t>
      </w:r>
    </w:p>
    <w:p>
      <w:pPr>
        <w:pStyle w:val="5"/>
      </w:pPr>
      <w:bookmarkStart w:id="11" w:name="_Toc258347024"/>
      <w:bookmarkStart w:id="12" w:name="_Toc496628746"/>
      <w:bookmarkStart w:id="13" w:name="_Toc499280403"/>
      <w:bookmarkStart w:id="14" w:name="_Toc500854711"/>
      <w:bookmarkStart w:id="15" w:name="_Toc5953827"/>
      <w:bookmarkStart w:id="16" w:name="_Toc4491171"/>
      <w:bookmarkStart w:id="17" w:name="_Toc436034121"/>
      <w:r>
        <w:rPr>
          <w:rFonts w:ascii="Times New Roman" w:hAnsi="Times New Roman"/>
        </w:rPr>
        <w:t>1.1</w:t>
      </w:r>
      <w:r>
        <w:t xml:space="preserve"> 项目</w:t>
      </w:r>
      <w:bookmarkEnd w:id="11"/>
      <w:r>
        <w:t>建设</w:t>
      </w:r>
      <w:bookmarkEnd w:id="12"/>
      <w:bookmarkEnd w:id="13"/>
      <w:bookmarkEnd w:id="14"/>
      <w:bookmarkEnd w:id="15"/>
      <w:bookmarkEnd w:id="16"/>
      <w:bookmarkEnd w:id="17"/>
      <w:r>
        <w:rPr>
          <w:rFonts w:hint="eastAsia"/>
        </w:rPr>
        <w:t>背景</w:t>
      </w:r>
    </w:p>
    <w:p>
      <w:pPr>
        <w:pStyle w:val="2"/>
        <w:ind w:firstLine="480"/>
      </w:pPr>
      <w:r>
        <w:rPr>
          <w:rFonts w:hint="eastAsia"/>
        </w:rPr>
        <w:t>岳阳市政府2017年开始聚焦东风湖发展，提出“一年打基础、三年出形象、 五年建新城”的开发目标。2017年5月26日，岳阳正式决定，实施东风湖新区开发，打造城区新亮点、城市新名片。2017年12月7日，岳阳市政府第11次常务会议通过了《东风湖新区规划方案》并提出：新区要按照“生态、高端、现代、时尚”的定位和“生态优先、产城融合”的要求，打造成为岳阳城建新标杆、城市的新名片。</w:t>
      </w:r>
    </w:p>
    <w:p>
      <w:pPr>
        <w:pStyle w:val="2"/>
        <w:ind w:firstLine="480"/>
      </w:pPr>
      <w:r>
        <w:t>东风湖新区，北瞰湘江口、西临洞庭湖、南望岳阳楼、东临东风湖，是岳阳走向长江时代的窗口。规划面积为16.95平方公里（其中核心区13.48平方公里，拓展区3.47平方公里），规划范围为洗马巷以东、沿湖大道以南、蒙华铁路和江陵路以西、京广铁路以北。</w:t>
      </w:r>
    </w:p>
    <w:p>
      <w:pPr>
        <w:pStyle w:val="2"/>
        <w:ind w:firstLine="480"/>
      </w:pPr>
      <w:r>
        <w:rPr>
          <w:rFonts w:eastAsia="Arial"/>
          <w:color w:val="191919"/>
          <w:shd w:val="clear" w:color="auto" w:fill="FFFFFF"/>
        </w:rPr>
        <w:t>为快速推动新区开发建设，打造“生态、高端、现代、时尚”的城市新名片，2019年5月13日，本着“优势互补、强强联手、全面合作、共同发展”的原则，中国金茂控股集团有限公司与岳阳市人民政府签订《岳阳市东风湖新区一期项目开</w:t>
      </w:r>
      <w:r>
        <w:t>发建设战略合作协议》，双方共同开发建设岳阳市东风湖新区一期工程。</w:t>
      </w:r>
    </w:p>
    <w:p>
      <w:pPr>
        <w:pStyle w:val="2"/>
        <w:ind w:firstLine="480"/>
      </w:pPr>
      <w:r>
        <w:rPr>
          <w:rFonts w:hint="eastAsia"/>
        </w:rPr>
        <w:t>岳阳和茂置业有限公司在湖南省岳阳市岳阳楼区沿湖大道与九华山交界处建设金茂·岳茂苑，项目3个地块总用地面积</w:t>
      </w:r>
      <w:r>
        <w:t>110638m</w:t>
      </w:r>
      <w:r>
        <w:rPr>
          <w:vertAlign w:val="superscript"/>
        </w:rPr>
        <w:t>2</w:t>
      </w:r>
      <w:r>
        <w:t>，总建筑面积为415659.836m</w:t>
      </w:r>
      <w:r>
        <w:rPr>
          <w:vertAlign w:val="superscript"/>
        </w:rPr>
        <w:t>2</w:t>
      </w:r>
      <w:r>
        <w:rPr>
          <w:rFonts w:hint="eastAsia"/>
        </w:rPr>
        <w:t>，总占地面积为21366.36m</w:t>
      </w:r>
      <w:r>
        <w:rPr>
          <w:rFonts w:hint="eastAsia"/>
          <w:vertAlign w:val="superscript"/>
        </w:rPr>
        <w:t>2</w:t>
      </w:r>
      <w:r>
        <w:rPr>
          <w:rFonts w:hint="eastAsia"/>
        </w:rPr>
        <w:t>，主要作为商住开发建设，</w:t>
      </w:r>
      <w:r>
        <w:t>并建设与</w:t>
      </w:r>
      <w:r>
        <w:rPr>
          <w:rFonts w:hint="eastAsia"/>
        </w:rPr>
        <w:t>项目地块</w:t>
      </w:r>
      <w:r>
        <w:t>场地环境相适应和配套的给排水、供电、</w:t>
      </w:r>
      <w:r>
        <w:rPr>
          <w:rFonts w:hint="eastAsia"/>
        </w:rPr>
        <w:t>供气、</w:t>
      </w:r>
      <w:r>
        <w:t>网络通讯、道路等设施，以及楼房周围景观绿化等设施</w:t>
      </w:r>
      <w:r>
        <w:rPr>
          <w:rFonts w:hint="eastAsia"/>
        </w:rPr>
        <w:t>。</w:t>
      </w:r>
    </w:p>
    <w:p>
      <w:pPr>
        <w:pStyle w:val="5"/>
        <w:rPr>
          <w:rFonts w:ascii="Times New Roman" w:hAnsi="Times New Roman"/>
        </w:rPr>
      </w:pPr>
      <w:bookmarkStart w:id="18" w:name="_Toc4491172"/>
      <w:bookmarkStart w:id="19" w:name="_Toc496628747"/>
      <w:bookmarkStart w:id="20" w:name="_Toc5953828"/>
      <w:bookmarkStart w:id="21" w:name="_Toc500854712"/>
      <w:bookmarkStart w:id="22" w:name="_Toc499280404"/>
      <w:r>
        <w:rPr>
          <w:rFonts w:ascii="Times New Roman" w:hAnsi="Times New Roman"/>
        </w:rPr>
        <w:t>1.2 编制依据</w:t>
      </w:r>
      <w:bookmarkEnd w:id="18"/>
      <w:bookmarkEnd w:id="19"/>
      <w:bookmarkEnd w:id="20"/>
      <w:bookmarkEnd w:id="21"/>
      <w:bookmarkEnd w:id="22"/>
    </w:p>
    <w:p>
      <w:pPr>
        <w:pStyle w:val="6"/>
      </w:pPr>
      <w:bookmarkStart w:id="23" w:name="_Toc17082946"/>
      <w:bookmarkStart w:id="24" w:name="_Toc23313781"/>
      <w:bookmarkStart w:id="25" w:name="_Toc199151488"/>
      <w:bookmarkStart w:id="26" w:name="_Toc488758879"/>
      <w:bookmarkStart w:id="27" w:name="_Toc197252313"/>
      <w:bookmarkStart w:id="28" w:name="_Toc496628748"/>
      <w:bookmarkStart w:id="29" w:name="_Toc258347028"/>
      <w:bookmarkStart w:id="30" w:name="_Toc166041606"/>
      <w:bookmarkStart w:id="31" w:name="_Toc198645923"/>
      <w:bookmarkStart w:id="32" w:name="_Toc197232684"/>
      <w:bookmarkStart w:id="33" w:name="_Toc66643895"/>
      <w:bookmarkStart w:id="34" w:name="_Toc195071492"/>
      <w:bookmarkStart w:id="35" w:name="_Toc197232809"/>
      <w:bookmarkStart w:id="36" w:name="_Toc199692256"/>
      <w:bookmarkStart w:id="37" w:name="_Toc109467318"/>
      <w:bookmarkStart w:id="38" w:name="_Toc63936412"/>
      <w:bookmarkStart w:id="39" w:name="_Toc185849076"/>
      <w:r>
        <w:rPr>
          <w:rFonts w:ascii="Times New Roman" w:hAnsi="Times New Roman"/>
        </w:rPr>
        <w:t>1.2.1国</w:t>
      </w:r>
      <w:r>
        <w:t>家级法律</w:t>
      </w:r>
      <w:bookmarkEnd w:id="23"/>
      <w:bookmarkEnd w:id="24"/>
      <w:r>
        <w:t>法规</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pPr>
        <w:pStyle w:val="39"/>
        <w:snapToGrid/>
        <w:spacing w:line="360" w:lineRule="auto"/>
        <w:ind w:firstLine="480"/>
        <w:contextualSpacing/>
        <w:rPr>
          <w:bCs/>
        </w:rPr>
      </w:pPr>
      <w:bookmarkStart w:id="40" w:name="_Toc376158837"/>
      <w:bookmarkStart w:id="41" w:name="_Toc432430241"/>
      <w:bookmarkStart w:id="42" w:name="_Toc380913533"/>
      <w:bookmarkStart w:id="43" w:name="_Toc431119384"/>
      <w:bookmarkStart w:id="44" w:name="_Toc375679150"/>
      <w:bookmarkStart w:id="45" w:name="_Toc432024611"/>
      <w:bookmarkStart w:id="46" w:name="_Toc382655660"/>
      <w:bookmarkStart w:id="47" w:name="_Toc325382160"/>
      <w:bookmarkStart w:id="48" w:name="_Toc258347029"/>
      <w:r>
        <w:rPr>
          <w:bCs/>
        </w:rPr>
        <w:t>（1）《中华人民共和国环境保护法》（2015</w:t>
      </w:r>
      <w:r>
        <w:rPr>
          <w:rFonts w:hint="eastAsia"/>
          <w:bCs/>
        </w:rPr>
        <w:t>.</w:t>
      </w:r>
      <w:r>
        <w:rPr>
          <w:bCs/>
        </w:rPr>
        <w:t>1</w:t>
      </w:r>
      <w:r>
        <w:rPr>
          <w:rFonts w:hint="eastAsia"/>
          <w:bCs/>
        </w:rPr>
        <w:t>.</w:t>
      </w:r>
      <w:r>
        <w:rPr>
          <w:bCs/>
        </w:rPr>
        <w:t>1）</w:t>
      </w:r>
      <w:bookmarkEnd w:id="40"/>
      <w:bookmarkEnd w:id="41"/>
      <w:bookmarkEnd w:id="42"/>
      <w:bookmarkEnd w:id="43"/>
      <w:bookmarkEnd w:id="44"/>
      <w:bookmarkEnd w:id="45"/>
      <w:bookmarkEnd w:id="46"/>
      <w:r>
        <w:rPr>
          <w:rFonts w:hint="eastAsia"/>
          <w:bCs/>
        </w:rPr>
        <w:t>；</w:t>
      </w:r>
    </w:p>
    <w:p>
      <w:pPr>
        <w:pStyle w:val="39"/>
        <w:snapToGrid/>
        <w:spacing w:line="360" w:lineRule="auto"/>
        <w:ind w:firstLine="480"/>
        <w:contextualSpacing/>
        <w:rPr>
          <w:bCs/>
        </w:rPr>
      </w:pPr>
      <w:bookmarkStart w:id="49" w:name="_Toc382655661"/>
      <w:bookmarkStart w:id="50" w:name="_Toc431119385"/>
      <w:bookmarkStart w:id="51" w:name="_Toc380913534"/>
      <w:bookmarkStart w:id="52" w:name="_Toc376158838"/>
      <w:bookmarkStart w:id="53" w:name="_Toc375679151"/>
      <w:bookmarkStart w:id="54" w:name="_Toc432024612"/>
      <w:bookmarkStart w:id="55" w:name="_Toc432430242"/>
      <w:r>
        <w:rPr>
          <w:bCs/>
        </w:rPr>
        <w:t>（2）《中华人民共和国环境影响评价法》</w:t>
      </w:r>
      <w:r>
        <w:rPr>
          <w:rFonts w:hint="eastAsia"/>
          <w:bCs/>
        </w:rPr>
        <w:t>（2018年修正本）</w:t>
      </w:r>
      <w:r>
        <w:rPr>
          <w:bCs/>
        </w:rPr>
        <w:t>（</w:t>
      </w:r>
      <w:r>
        <w:rPr>
          <w:rFonts w:hint="eastAsia"/>
          <w:bCs/>
        </w:rPr>
        <w:t>2018.12.29</w:t>
      </w:r>
      <w:r>
        <w:rPr>
          <w:bCs/>
        </w:rPr>
        <w:t>）</w:t>
      </w:r>
      <w:bookmarkEnd w:id="49"/>
      <w:bookmarkEnd w:id="50"/>
      <w:bookmarkEnd w:id="51"/>
      <w:bookmarkEnd w:id="52"/>
      <w:bookmarkEnd w:id="53"/>
      <w:bookmarkEnd w:id="54"/>
      <w:bookmarkEnd w:id="55"/>
      <w:r>
        <w:rPr>
          <w:rFonts w:hint="eastAsia"/>
          <w:bCs/>
        </w:rPr>
        <w:t>；</w:t>
      </w:r>
    </w:p>
    <w:p>
      <w:pPr>
        <w:pStyle w:val="39"/>
        <w:snapToGrid/>
        <w:spacing w:line="360" w:lineRule="auto"/>
        <w:ind w:firstLine="480"/>
        <w:contextualSpacing/>
        <w:rPr>
          <w:bCs/>
        </w:rPr>
      </w:pPr>
      <w:bookmarkStart w:id="56" w:name="_Toc375679152"/>
      <w:bookmarkStart w:id="57" w:name="_Toc432430243"/>
      <w:bookmarkStart w:id="58" w:name="_Toc380913535"/>
      <w:bookmarkStart w:id="59" w:name="_Toc432024613"/>
      <w:bookmarkStart w:id="60" w:name="_Toc431119386"/>
      <w:bookmarkStart w:id="61" w:name="_Toc382655662"/>
      <w:bookmarkStart w:id="62" w:name="_Toc376158839"/>
      <w:r>
        <w:rPr>
          <w:bCs/>
        </w:rPr>
        <w:t>（3）《中华人民共和国水法》（2016.</w:t>
      </w:r>
      <w:r>
        <w:rPr>
          <w:rFonts w:hint="eastAsia"/>
          <w:bCs/>
        </w:rPr>
        <w:t>7.2修订</w:t>
      </w:r>
      <w:r>
        <w:rPr>
          <w:bCs/>
        </w:rPr>
        <w:t>）</w:t>
      </w:r>
      <w:bookmarkEnd w:id="56"/>
      <w:bookmarkEnd w:id="57"/>
      <w:bookmarkEnd w:id="58"/>
      <w:bookmarkEnd w:id="59"/>
      <w:bookmarkEnd w:id="60"/>
      <w:bookmarkEnd w:id="61"/>
      <w:bookmarkEnd w:id="62"/>
      <w:r>
        <w:rPr>
          <w:rFonts w:hint="eastAsia"/>
          <w:bCs/>
        </w:rPr>
        <w:t>；</w:t>
      </w:r>
    </w:p>
    <w:p>
      <w:pPr>
        <w:pStyle w:val="39"/>
        <w:snapToGrid/>
        <w:spacing w:line="360" w:lineRule="auto"/>
        <w:ind w:firstLine="480"/>
        <w:contextualSpacing/>
        <w:rPr>
          <w:bCs/>
        </w:rPr>
      </w:pPr>
      <w:bookmarkStart w:id="63" w:name="_Toc432024614"/>
      <w:bookmarkStart w:id="64" w:name="_Toc382655663"/>
      <w:bookmarkStart w:id="65" w:name="_Toc431119387"/>
      <w:bookmarkStart w:id="66" w:name="_Toc375679153"/>
      <w:bookmarkStart w:id="67" w:name="_Toc432430244"/>
      <w:bookmarkStart w:id="68" w:name="_Toc376158840"/>
      <w:bookmarkStart w:id="69" w:name="_Toc380913536"/>
      <w:r>
        <w:rPr>
          <w:bCs/>
        </w:rPr>
        <w:t>（4）《中华人民共和国水污染防治法》（</w:t>
      </w:r>
      <w:r>
        <w:rPr>
          <w:rFonts w:hint="eastAsia"/>
          <w:bCs/>
        </w:rPr>
        <w:t>2018.1.1</w:t>
      </w:r>
      <w:r>
        <w:rPr>
          <w:bCs/>
        </w:rPr>
        <w:t>）</w:t>
      </w:r>
      <w:bookmarkEnd w:id="63"/>
      <w:bookmarkEnd w:id="64"/>
      <w:bookmarkEnd w:id="65"/>
      <w:bookmarkEnd w:id="66"/>
      <w:bookmarkEnd w:id="67"/>
      <w:bookmarkEnd w:id="68"/>
      <w:bookmarkEnd w:id="69"/>
      <w:r>
        <w:rPr>
          <w:rFonts w:hint="eastAsia"/>
          <w:bCs/>
        </w:rPr>
        <w:t>；</w:t>
      </w:r>
    </w:p>
    <w:p>
      <w:pPr>
        <w:pStyle w:val="39"/>
        <w:snapToGrid/>
        <w:spacing w:line="360" w:lineRule="auto"/>
        <w:ind w:firstLine="480"/>
        <w:contextualSpacing/>
        <w:rPr>
          <w:bCs/>
        </w:rPr>
      </w:pPr>
      <w:bookmarkStart w:id="70" w:name="_Toc382655664"/>
      <w:bookmarkStart w:id="71" w:name="_Toc431119388"/>
      <w:bookmarkStart w:id="72" w:name="_Toc432024615"/>
      <w:bookmarkStart w:id="73" w:name="_Toc376158841"/>
      <w:bookmarkStart w:id="74" w:name="_Toc432430245"/>
      <w:bookmarkStart w:id="75" w:name="_Toc380913537"/>
      <w:bookmarkStart w:id="76" w:name="_Toc375679154"/>
      <w:r>
        <w:rPr>
          <w:bCs/>
        </w:rPr>
        <w:t>（5）《中华人民共和国大气污染防治法》</w:t>
      </w:r>
      <w:r>
        <w:rPr>
          <w:rFonts w:hint="eastAsia"/>
          <w:bCs/>
        </w:rPr>
        <w:t>（</w:t>
      </w:r>
      <w:r>
        <w:rPr>
          <w:bCs/>
        </w:rPr>
        <w:t>201</w:t>
      </w:r>
      <w:r>
        <w:rPr>
          <w:rFonts w:hint="eastAsia"/>
          <w:bCs/>
        </w:rPr>
        <w:t>8</w:t>
      </w:r>
      <w:r>
        <w:rPr>
          <w:bCs/>
        </w:rPr>
        <w:t>.1</w:t>
      </w:r>
      <w:r>
        <w:rPr>
          <w:rFonts w:hint="eastAsia"/>
          <w:bCs/>
        </w:rPr>
        <w:t>0</w:t>
      </w:r>
      <w:r>
        <w:rPr>
          <w:bCs/>
        </w:rPr>
        <w:t>.</w:t>
      </w:r>
      <w:r>
        <w:rPr>
          <w:rFonts w:hint="eastAsia"/>
          <w:bCs/>
        </w:rPr>
        <w:t>26）</w:t>
      </w:r>
      <w:bookmarkEnd w:id="70"/>
      <w:bookmarkEnd w:id="71"/>
      <w:bookmarkEnd w:id="72"/>
      <w:bookmarkEnd w:id="73"/>
      <w:bookmarkEnd w:id="74"/>
      <w:bookmarkEnd w:id="75"/>
      <w:bookmarkEnd w:id="76"/>
      <w:r>
        <w:rPr>
          <w:rFonts w:hint="eastAsia"/>
          <w:bCs/>
        </w:rPr>
        <w:t>；</w:t>
      </w:r>
    </w:p>
    <w:p>
      <w:pPr>
        <w:pStyle w:val="39"/>
        <w:snapToGrid/>
        <w:spacing w:line="360" w:lineRule="auto"/>
        <w:ind w:firstLine="480"/>
        <w:contextualSpacing/>
        <w:rPr>
          <w:bCs/>
        </w:rPr>
      </w:pPr>
      <w:bookmarkStart w:id="77" w:name="_Toc376158842"/>
      <w:bookmarkStart w:id="78" w:name="_Toc432024616"/>
      <w:bookmarkStart w:id="79" w:name="_Toc432430246"/>
      <w:bookmarkStart w:id="80" w:name="_Toc382655665"/>
      <w:bookmarkStart w:id="81" w:name="_Toc431119389"/>
      <w:bookmarkStart w:id="82" w:name="_Toc380913538"/>
      <w:bookmarkStart w:id="83" w:name="_Toc375679155"/>
      <w:r>
        <w:rPr>
          <w:bCs/>
        </w:rPr>
        <w:t>（6）《中华人民共和国环境噪声污染防治法》</w:t>
      </w:r>
      <w:r>
        <w:rPr>
          <w:rFonts w:hint="eastAsia"/>
          <w:bCs/>
        </w:rPr>
        <w:t>（</w:t>
      </w:r>
      <w:r>
        <w:rPr>
          <w:szCs w:val="24"/>
        </w:rPr>
        <w:t>2018</w:t>
      </w:r>
      <w:r>
        <w:rPr>
          <w:rFonts w:hint="eastAsia"/>
          <w:szCs w:val="24"/>
        </w:rPr>
        <w:t>.</w:t>
      </w:r>
      <w:r>
        <w:rPr>
          <w:szCs w:val="24"/>
        </w:rPr>
        <w:t>12</w:t>
      </w:r>
      <w:r>
        <w:rPr>
          <w:rFonts w:hint="eastAsia"/>
          <w:szCs w:val="24"/>
        </w:rPr>
        <w:t>.</w:t>
      </w:r>
      <w:r>
        <w:rPr>
          <w:szCs w:val="24"/>
        </w:rPr>
        <w:t>29</w:t>
      </w:r>
      <w:r>
        <w:rPr>
          <w:rFonts w:hint="eastAsia"/>
          <w:bCs/>
        </w:rPr>
        <w:t>）</w:t>
      </w:r>
      <w:bookmarkEnd w:id="77"/>
      <w:bookmarkEnd w:id="78"/>
      <w:bookmarkEnd w:id="79"/>
      <w:bookmarkEnd w:id="80"/>
      <w:bookmarkEnd w:id="81"/>
      <w:bookmarkEnd w:id="82"/>
      <w:bookmarkEnd w:id="83"/>
      <w:r>
        <w:rPr>
          <w:rFonts w:hint="eastAsia"/>
          <w:bCs/>
        </w:rPr>
        <w:t>；</w:t>
      </w:r>
    </w:p>
    <w:p>
      <w:pPr>
        <w:pStyle w:val="39"/>
        <w:snapToGrid/>
        <w:spacing w:line="360" w:lineRule="auto"/>
        <w:ind w:firstLine="480"/>
        <w:contextualSpacing/>
        <w:rPr>
          <w:bCs/>
        </w:rPr>
      </w:pPr>
      <w:bookmarkStart w:id="84" w:name="_Toc432024617"/>
      <w:bookmarkStart w:id="85" w:name="_Toc376158843"/>
      <w:bookmarkStart w:id="86" w:name="_Toc380913539"/>
      <w:bookmarkStart w:id="87" w:name="_Toc431119390"/>
      <w:bookmarkStart w:id="88" w:name="_Toc375679156"/>
      <w:bookmarkStart w:id="89" w:name="_Toc382655666"/>
      <w:bookmarkStart w:id="90" w:name="_Toc432430247"/>
      <w:r>
        <w:rPr>
          <w:bCs/>
        </w:rPr>
        <w:t>（7）《中华人民共和国野生动物保护法》（20</w:t>
      </w:r>
      <w:r>
        <w:rPr>
          <w:rFonts w:hint="eastAsia"/>
          <w:bCs/>
        </w:rPr>
        <w:t>18.10.26</w:t>
      </w:r>
      <w:r>
        <w:rPr>
          <w:bCs/>
        </w:rPr>
        <w:t>）</w:t>
      </w:r>
      <w:bookmarkEnd w:id="84"/>
      <w:bookmarkEnd w:id="85"/>
      <w:bookmarkEnd w:id="86"/>
      <w:bookmarkEnd w:id="87"/>
      <w:bookmarkEnd w:id="88"/>
      <w:bookmarkEnd w:id="89"/>
      <w:bookmarkEnd w:id="90"/>
      <w:r>
        <w:rPr>
          <w:rFonts w:hint="eastAsia"/>
          <w:bCs/>
        </w:rPr>
        <w:t>；</w:t>
      </w:r>
    </w:p>
    <w:p>
      <w:pPr>
        <w:pStyle w:val="39"/>
        <w:snapToGrid/>
        <w:spacing w:line="360" w:lineRule="auto"/>
        <w:ind w:firstLine="480"/>
        <w:contextualSpacing/>
        <w:rPr>
          <w:bCs/>
        </w:rPr>
      </w:pPr>
      <w:bookmarkStart w:id="91" w:name="_Toc432430248"/>
      <w:bookmarkStart w:id="92" w:name="_Toc431119391"/>
      <w:bookmarkStart w:id="93" w:name="_Toc382655667"/>
      <w:bookmarkStart w:id="94" w:name="_Toc375679157"/>
      <w:bookmarkStart w:id="95" w:name="_Toc376158844"/>
      <w:bookmarkStart w:id="96" w:name="_Toc380913540"/>
      <w:bookmarkStart w:id="97" w:name="_Toc432024618"/>
      <w:r>
        <w:rPr>
          <w:bCs/>
        </w:rPr>
        <w:t>（8）《中华人民共和国水土保持法》（</w:t>
      </w:r>
      <w:r>
        <w:rPr>
          <w:rFonts w:hint="eastAsia"/>
          <w:bCs/>
        </w:rPr>
        <w:t>2011.3.1</w:t>
      </w:r>
      <w:r>
        <w:rPr>
          <w:bCs/>
        </w:rPr>
        <w:t>）</w:t>
      </w:r>
      <w:bookmarkEnd w:id="91"/>
      <w:r>
        <w:rPr>
          <w:rFonts w:hint="eastAsia"/>
          <w:bCs/>
        </w:rPr>
        <w:t>。</w:t>
      </w:r>
    </w:p>
    <w:bookmarkEnd w:id="92"/>
    <w:bookmarkEnd w:id="93"/>
    <w:bookmarkEnd w:id="94"/>
    <w:bookmarkEnd w:id="95"/>
    <w:bookmarkEnd w:id="96"/>
    <w:bookmarkEnd w:id="97"/>
    <w:p>
      <w:pPr>
        <w:pStyle w:val="6"/>
        <w:rPr>
          <w:rFonts w:ascii="Times New Roman" w:hAnsi="Times New Roman"/>
        </w:rPr>
      </w:pPr>
      <w:bookmarkStart w:id="98" w:name="_Toc488758880"/>
      <w:bookmarkStart w:id="99" w:name="_Toc496628749"/>
      <w:r>
        <w:rPr>
          <w:rFonts w:ascii="Times New Roman" w:hAnsi="Times New Roman"/>
        </w:rPr>
        <w:t>1.2.2部门规章、</w:t>
      </w:r>
      <w:bookmarkEnd w:id="47"/>
      <w:bookmarkEnd w:id="48"/>
      <w:bookmarkEnd w:id="98"/>
      <w:bookmarkEnd w:id="99"/>
      <w:r>
        <w:rPr>
          <w:rFonts w:ascii="Times New Roman" w:hAnsi="Times New Roman"/>
        </w:rPr>
        <w:t>规范性文件</w:t>
      </w:r>
    </w:p>
    <w:p>
      <w:pPr>
        <w:spacing w:line="360" w:lineRule="auto"/>
        <w:ind w:firstLine="480" w:firstLineChars="200"/>
        <w:rPr>
          <w:sz w:val="24"/>
        </w:rPr>
      </w:pPr>
      <w:bookmarkStart w:id="100" w:name="_Toc432024624"/>
      <w:bookmarkStart w:id="101" w:name="_Toc432430256"/>
      <w:bookmarkStart w:id="102" w:name="_Toc431119397"/>
      <w:bookmarkStart w:id="103" w:name="_Toc382655673"/>
      <w:bookmarkStart w:id="104" w:name="_Toc376158850"/>
      <w:bookmarkStart w:id="105" w:name="_Toc375679163"/>
      <w:bookmarkStart w:id="106" w:name="_Toc380913546"/>
      <w:bookmarkStart w:id="107" w:name="_Toc258347030"/>
      <w:r>
        <w:rPr>
          <w:sz w:val="24"/>
        </w:rPr>
        <w:t>（1）</w:t>
      </w:r>
      <w:bookmarkEnd w:id="100"/>
      <w:bookmarkEnd w:id="101"/>
      <w:bookmarkEnd w:id="102"/>
      <w:bookmarkEnd w:id="103"/>
      <w:bookmarkEnd w:id="104"/>
      <w:bookmarkEnd w:id="105"/>
      <w:bookmarkEnd w:id="106"/>
      <w:r>
        <w:rPr>
          <w:sz w:val="24"/>
        </w:rPr>
        <w:t>《</w:t>
      </w:r>
      <w:r>
        <w:rPr>
          <w:rFonts w:hint="eastAsia"/>
          <w:sz w:val="24"/>
        </w:rPr>
        <w:t>中国生物多样性保护战略与行动计划》（2011-2030年）；</w:t>
      </w:r>
    </w:p>
    <w:p>
      <w:pPr>
        <w:spacing w:line="360" w:lineRule="auto"/>
        <w:ind w:firstLine="480" w:firstLineChars="200"/>
        <w:rPr>
          <w:sz w:val="24"/>
        </w:rPr>
      </w:pPr>
      <w:bookmarkStart w:id="108" w:name="_Toc380913547"/>
      <w:bookmarkStart w:id="109" w:name="_Toc431119398"/>
      <w:bookmarkStart w:id="110" w:name="_Toc432024625"/>
      <w:bookmarkStart w:id="111" w:name="_Toc375679164"/>
      <w:bookmarkStart w:id="112" w:name="_Toc382655674"/>
      <w:bookmarkStart w:id="113" w:name="_Toc376158851"/>
      <w:bookmarkStart w:id="114" w:name="_Toc432430257"/>
      <w:r>
        <w:rPr>
          <w:sz w:val="24"/>
        </w:rPr>
        <w:t>（2）</w:t>
      </w:r>
      <w:bookmarkEnd w:id="108"/>
      <w:bookmarkEnd w:id="109"/>
      <w:bookmarkEnd w:id="110"/>
      <w:bookmarkEnd w:id="111"/>
      <w:bookmarkEnd w:id="112"/>
      <w:bookmarkEnd w:id="113"/>
      <w:bookmarkEnd w:id="114"/>
      <w:r>
        <w:rPr>
          <w:rFonts w:hint="eastAsia" w:ascii="宋体" w:hAnsi="宋体"/>
          <w:sz w:val="24"/>
        </w:rPr>
        <w:t>《中华人民共和国水生动植物自然保护区管理办法》（</w:t>
      </w:r>
      <w:r>
        <w:rPr>
          <w:rFonts w:hint="eastAsia"/>
          <w:sz w:val="24"/>
        </w:rPr>
        <w:t>2014.4.25</w:t>
      </w:r>
      <w:r>
        <w:rPr>
          <w:sz w:val="24"/>
        </w:rPr>
        <w:t>）</w:t>
      </w:r>
      <w:r>
        <w:rPr>
          <w:rFonts w:hint="eastAsia"/>
          <w:sz w:val="24"/>
        </w:rPr>
        <w:t>；</w:t>
      </w:r>
    </w:p>
    <w:p>
      <w:pPr>
        <w:spacing w:line="360" w:lineRule="auto"/>
        <w:ind w:firstLine="480" w:firstLineChars="200"/>
        <w:rPr>
          <w:sz w:val="24"/>
        </w:rPr>
      </w:pPr>
      <w:bookmarkStart w:id="115" w:name="_Toc375679165"/>
      <w:bookmarkStart w:id="116" w:name="_Toc432024626"/>
      <w:bookmarkStart w:id="117" w:name="_Toc382655675"/>
      <w:bookmarkStart w:id="118" w:name="_Toc432430258"/>
      <w:bookmarkStart w:id="119" w:name="_Toc431119399"/>
      <w:bookmarkStart w:id="120" w:name="_Toc376158852"/>
      <w:bookmarkStart w:id="121" w:name="_Toc380913548"/>
      <w:r>
        <w:rPr>
          <w:sz w:val="24"/>
        </w:rPr>
        <w:t>（3）</w:t>
      </w:r>
      <w:bookmarkEnd w:id="115"/>
      <w:bookmarkEnd w:id="116"/>
      <w:bookmarkEnd w:id="117"/>
      <w:bookmarkEnd w:id="118"/>
      <w:bookmarkEnd w:id="119"/>
      <w:bookmarkEnd w:id="120"/>
      <w:bookmarkEnd w:id="121"/>
      <w:r>
        <w:rPr>
          <w:rFonts w:hint="eastAsia"/>
          <w:sz w:val="24"/>
        </w:rPr>
        <w:t>《中共中央国务院关于加快推进生态文明建设的意见》（中发〔2015〕12号）；</w:t>
      </w:r>
    </w:p>
    <w:p>
      <w:pPr>
        <w:spacing w:line="360" w:lineRule="auto"/>
        <w:ind w:firstLine="480" w:firstLineChars="200"/>
        <w:rPr>
          <w:sz w:val="24"/>
        </w:rPr>
      </w:pPr>
      <w:bookmarkStart w:id="122" w:name="_Toc431119401"/>
      <w:bookmarkStart w:id="123" w:name="_Toc432430260"/>
      <w:bookmarkStart w:id="124" w:name="_Toc380913550"/>
      <w:bookmarkStart w:id="125" w:name="_Toc382655677"/>
      <w:bookmarkStart w:id="126" w:name="_Toc432024628"/>
      <w:bookmarkStart w:id="127" w:name="_Toc376158854"/>
      <w:bookmarkStart w:id="128" w:name="_Toc380913554"/>
      <w:bookmarkStart w:id="129" w:name="_Toc375679167"/>
      <w:bookmarkStart w:id="130" w:name="_Toc382655681"/>
      <w:bookmarkStart w:id="131" w:name="_Toc431119405"/>
      <w:bookmarkStart w:id="132" w:name="_Toc432430266"/>
      <w:bookmarkStart w:id="133" w:name="_Toc432024634"/>
      <w:r>
        <w:rPr>
          <w:sz w:val="24"/>
        </w:rPr>
        <w:t>（</w:t>
      </w:r>
      <w:r>
        <w:rPr>
          <w:rFonts w:hint="eastAsia"/>
          <w:sz w:val="24"/>
        </w:rPr>
        <w:t>4</w:t>
      </w:r>
      <w:r>
        <w:rPr>
          <w:sz w:val="24"/>
        </w:rPr>
        <w:t>）</w:t>
      </w:r>
      <w:bookmarkEnd w:id="122"/>
      <w:bookmarkEnd w:id="123"/>
      <w:bookmarkEnd w:id="124"/>
      <w:bookmarkEnd w:id="125"/>
      <w:bookmarkEnd w:id="126"/>
      <w:r>
        <w:rPr>
          <w:rFonts w:hint="eastAsia"/>
          <w:sz w:val="24"/>
        </w:rPr>
        <w:t>《关于划定并严守生态保护红线的若干意见》（中共中央办公厅、国务院办公厅印发）；</w:t>
      </w:r>
    </w:p>
    <w:p>
      <w:pPr>
        <w:spacing w:line="360" w:lineRule="auto"/>
        <w:ind w:firstLine="480" w:firstLineChars="200"/>
        <w:rPr>
          <w:sz w:val="24"/>
        </w:rPr>
      </w:pPr>
      <w:bookmarkStart w:id="134" w:name="_Toc432430261"/>
      <w:bookmarkStart w:id="135" w:name="_Toc431119402"/>
      <w:bookmarkStart w:id="136" w:name="_Toc382655678"/>
      <w:bookmarkStart w:id="137" w:name="_Toc432024629"/>
      <w:bookmarkStart w:id="138" w:name="_Toc380913551"/>
      <w:bookmarkStart w:id="139" w:name="_Toc431119403"/>
      <w:bookmarkStart w:id="140" w:name="_Toc432024630"/>
      <w:bookmarkStart w:id="141" w:name="_Toc380913552"/>
      <w:bookmarkStart w:id="142" w:name="_Toc382655679"/>
      <w:bookmarkStart w:id="143" w:name="_Toc432430262"/>
      <w:r>
        <w:rPr>
          <w:sz w:val="24"/>
        </w:rPr>
        <w:t>（</w:t>
      </w:r>
      <w:r>
        <w:rPr>
          <w:rFonts w:hint="eastAsia"/>
          <w:sz w:val="24"/>
        </w:rPr>
        <w:t>5</w:t>
      </w:r>
      <w:r>
        <w:rPr>
          <w:sz w:val="24"/>
        </w:rPr>
        <w:t>）</w:t>
      </w:r>
      <w:bookmarkEnd w:id="134"/>
      <w:bookmarkEnd w:id="135"/>
      <w:bookmarkEnd w:id="136"/>
      <w:bookmarkEnd w:id="137"/>
      <w:bookmarkEnd w:id="138"/>
      <w:r>
        <w:rPr>
          <w:rFonts w:hint="eastAsia"/>
          <w:sz w:val="24"/>
        </w:rPr>
        <w:t>《关于全面加强生态环境保护坚决打好污染防治攻坚战的意见》（中共中央国务院印发）；</w:t>
      </w:r>
    </w:p>
    <w:bookmarkEnd w:id="139"/>
    <w:bookmarkEnd w:id="140"/>
    <w:bookmarkEnd w:id="141"/>
    <w:bookmarkEnd w:id="142"/>
    <w:bookmarkEnd w:id="143"/>
    <w:p>
      <w:pPr>
        <w:spacing w:line="360" w:lineRule="auto"/>
        <w:ind w:firstLine="480" w:firstLineChars="200"/>
        <w:rPr>
          <w:sz w:val="24"/>
        </w:rPr>
      </w:pPr>
      <w:r>
        <w:rPr>
          <w:sz w:val="24"/>
        </w:rPr>
        <w:t>（</w:t>
      </w:r>
      <w:r>
        <w:rPr>
          <w:rFonts w:hint="eastAsia"/>
          <w:sz w:val="24"/>
        </w:rPr>
        <w:t>6</w:t>
      </w:r>
      <w:r>
        <w:rPr>
          <w:sz w:val="24"/>
        </w:rPr>
        <w:t>）</w:t>
      </w:r>
      <w:r>
        <w:rPr>
          <w:rFonts w:hint="eastAsia"/>
          <w:sz w:val="24"/>
        </w:rPr>
        <w:t>《建设项目环境影响评价分类管理名录(2021年版)》（生态环境部令第16号）；</w:t>
      </w:r>
    </w:p>
    <w:bookmarkEnd w:id="127"/>
    <w:bookmarkEnd w:id="128"/>
    <w:bookmarkEnd w:id="129"/>
    <w:bookmarkEnd w:id="130"/>
    <w:bookmarkEnd w:id="131"/>
    <w:bookmarkEnd w:id="132"/>
    <w:bookmarkEnd w:id="133"/>
    <w:p>
      <w:pPr>
        <w:spacing w:line="360" w:lineRule="auto"/>
        <w:ind w:firstLine="480" w:firstLineChars="200"/>
        <w:rPr>
          <w:sz w:val="24"/>
        </w:rPr>
      </w:pPr>
      <w:bookmarkStart w:id="144" w:name="_Toc488758881"/>
      <w:bookmarkStart w:id="145" w:name="_Toc496628750"/>
      <w:r>
        <w:rPr>
          <w:rFonts w:hint="eastAsia"/>
          <w:sz w:val="24"/>
        </w:rPr>
        <w:t>（7）《关于印发&lt;建设项目环境影响报告表&gt;内容、格式及编制技术指南的通知》（环办环评〔2020〕33号）。</w:t>
      </w:r>
    </w:p>
    <w:p>
      <w:pPr>
        <w:pStyle w:val="6"/>
        <w:rPr>
          <w:rFonts w:ascii="Times New Roman" w:hAnsi="Times New Roman"/>
        </w:rPr>
      </w:pPr>
      <w:r>
        <w:rPr>
          <w:rFonts w:ascii="Times New Roman" w:hAnsi="Times New Roman"/>
        </w:rPr>
        <w:t>1.2.3地方法规、规划</w:t>
      </w:r>
      <w:bookmarkEnd w:id="107"/>
      <w:bookmarkEnd w:id="144"/>
      <w:bookmarkEnd w:id="145"/>
    </w:p>
    <w:p>
      <w:pPr>
        <w:pStyle w:val="39"/>
        <w:snapToGrid/>
        <w:spacing w:line="360" w:lineRule="auto"/>
        <w:ind w:firstLine="480"/>
        <w:contextualSpacing/>
        <w:rPr>
          <w:bCs/>
        </w:rPr>
      </w:pPr>
      <w:bookmarkStart w:id="146" w:name="_Toc432430276"/>
      <w:bookmarkStart w:id="147" w:name="_Toc258347031"/>
      <w:r>
        <w:rPr>
          <w:bCs/>
        </w:rPr>
        <w:t>（</w:t>
      </w:r>
      <w:r>
        <w:rPr>
          <w:rFonts w:hint="eastAsia"/>
          <w:bCs/>
        </w:rPr>
        <w:t>1</w:t>
      </w:r>
      <w:r>
        <w:rPr>
          <w:bCs/>
        </w:rPr>
        <w:t>）《湖南省野生动植物资源保护条例》</w:t>
      </w:r>
      <w:r>
        <w:rPr>
          <w:rFonts w:hint="eastAsia"/>
          <w:bCs/>
        </w:rPr>
        <w:t>（2020.3.31）</w:t>
      </w:r>
      <w:bookmarkEnd w:id="146"/>
      <w:r>
        <w:rPr>
          <w:rFonts w:hint="eastAsia"/>
          <w:bCs/>
        </w:rPr>
        <w:t>；</w:t>
      </w:r>
    </w:p>
    <w:p>
      <w:pPr>
        <w:pStyle w:val="39"/>
        <w:snapToGrid/>
        <w:spacing w:line="360" w:lineRule="auto"/>
        <w:ind w:firstLine="480"/>
        <w:contextualSpacing/>
        <w:rPr>
          <w:bCs/>
        </w:rPr>
      </w:pPr>
      <w:bookmarkStart w:id="148" w:name="_Toc432024641"/>
      <w:bookmarkStart w:id="149" w:name="_Toc376158860"/>
      <w:bookmarkStart w:id="150" w:name="_Toc375679173"/>
      <w:bookmarkStart w:id="151" w:name="_Toc431119412"/>
      <w:bookmarkStart w:id="152" w:name="_Toc380913562"/>
      <w:bookmarkStart w:id="153" w:name="_Toc382655689"/>
      <w:bookmarkStart w:id="154" w:name="_Toc432430277"/>
      <w:r>
        <w:rPr>
          <w:bCs/>
        </w:rPr>
        <w:t>（</w:t>
      </w:r>
      <w:r>
        <w:rPr>
          <w:rFonts w:hint="eastAsia"/>
          <w:bCs/>
        </w:rPr>
        <w:t>2</w:t>
      </w:r>
      <w:r>
        <w:rPr>
          <w:bCs/>
        </w:rPr>
        <w:t>）《湖南省主要地表水系水环境功能区划》（DB43/023-2005）</w:t>
      </w:r>
      <w:bookmarkEnd w:id="148"/>
      <w:bookmarkEnd w:id="149"/>
      <w:bookmarkEnd w:id="150"/>
      <w:bookmarkEnd w:id="151"/>
      <w:bookmarkEnd w:id="152"/>
      <w:bookmarkEnd w:id="153"/>
      <w:bookmarkEnd w:id="154"/>
      <w:r>
        <w:rPr>
          <w:rFonts w:hint="eastAsia"/>
          <w:bCs/>
        </w:rPr>
        <w:t>；</w:t>
      </w:r>
    </w:p>
    <w:p>
      <w:pPr>
        <w:pStyle w:val="39"/>
        <w:snapToGrid/>
        <w:spacing w:line="360" w:lineRule="auto"/>
        <w:ind w:firstLine="480"/>
        <w:contextualSpacing/>
        <w:rPr>
          <w:bCs/>
        </w:rPr>
      </w:pPr>
      <w:r>
        <w:rPr>
          <w:rFonts w:hint="eastAsia"/>
          <w:bCs/>
        </w:rPr>
        <w:t>（3）</w:t>
      </w:r>
      <w:r>
        <w:t>《</w:t>
      </w:r>
      <w:r>
        <w:rPr>
          <w:rFonts w:hint="eastAsia"/>
        </w:rPr>
        <w:t>岳阳市水环境功能区划分</w:t>
      </w:r>
      <w:r>
        <w:t>》</w:t>
      </w:r>
      <w:r>
        <w:rPr>
          <w:rFonts w:hint="eastAsia"/>
          <w:bCs/>
        </w:rPr>
        <w:t>；</w:t>
      </w:r>
    </w:p>
    <w:p>
      <w:pPr>
        <w:spacing w:line="360" w:lineRule="auto"/>
        <w:ind w:firstLine="480" w:firstLineChars="200"/>
        <w:rPr>
          <w:sz w:val="24"/>
        </w:rPr>
      </w:pPr>
      <w:r>
        <w:rPr>
          <w:sz w:val="24"/>
        </w:rPr>
        <w:t>（</w:t>
      </w:r>
      <w:r>
        <w:rPr>
          <w:rFonts w:hint="eastAsia"/>
          <w:sz w:val="24"/>
        </w:rPr>
        <w:t>4</w:t>
      </w:r>
      <w:r>
        <w:rPr>
          <w:sz w:val="24"/>
        </w:rPr>
        <w:t>）</w:t>
      </w:r>
      <w:r>
        <w:rPr>
          <w:rFonts w:hint="eastAsia"/>
          <w:sz w:val="24"/>
        </w:rPr>
        <w:t>《岳阳市城市总体规划（2008-2030）》；</w:t>
      </w:r>
    </w:p>
    <w:p>
      <w:pPr>
        <w:spacing w:line="360" w:lineRule="auto"/>
        <w:ind w:firstLine="480" w:firstLineChars="200"/>
        <w:rPr>
          <w:sz w:val="24"/>
        </w:rPr>
      </w:pPr>
      <w:r>
        <w:rPr>
          <w:rFonts w:hint="eastAsia"/>
          <w:sz w:val="24"/>
        </w:rPr>
        <w:t>（5）《岳阳楼洞庭湖风景名胜区总体规划（2012-2025）》（修编）。</w:t>
      </w:r>
    </w:p>
    <w:p>
      <w:pPr>
        <w:pStyle w:val="6"/>
        <w:rPr>
          <w:rFonts w:ascii="Times New Roman" w:hAnsi="Times New Roman"/>
        </w:rPr>
      </w:pPr>
      <w:bookmarkStart w:id="155" w:name="_Toc488758882"/>
      <w:bookmarkStart w:id="156" w:name="_Toc496628751"/>
      <w:r>
        <w:rPr>
          <w:rFonts w:ascii="Times New Roman" w:hAnsi="Times New Roman"/>
        </w:rPr>
        <w:t>1.2.4技术标准与规范</w:t>
      </w:r>
      <w:bookmarkEnd w:id="147"/>
      <w:bookmarkEnd w:id="155"/>
      <w:bookmarkEnd w:id="156"/>
    </w:p>
    <w:p>
      <w:pPr>
        <w:spacing w:line="360" w:lineRule="auto"/>
        <w:ind w:firstLine="480" w:firstLineChars="200"/>
        <w:rPr>
          <w:sz w:val="24"/>
        </w:rPr>
      </w:pPr>
      <w:bookmarkStart w:id="157" w:name="_Toc432024644"/>
      <w:bookmarkStart w:id="158" w:name="_Toc376158862"/>
      <w:bookmarkStart w:id="159" w:name="_Toc380913564"/>
      <w:bookmarkStart w:id="160" w:name="_Toc435133658"/>
      <w:bookmarkStart w:id="161" w:name="_Toc382655692"/>
      <w:bookmarkStart w:id="162" w:name="_Toc432430280"/>
      <w:bookmarkStart w:id="163" w:name="_Toc431119415"/>
      <w:bookmarkStart w:id="164" w:name="_Toc375679175"/>
      <w:r>
        <w:rPr>
          <w:rFonts w:hint="eastAsia"/>
          <w:sz w:val="24"/>
        </w:rPr>
        <w:t>（1）《环境影响评价技术导则生态影响》</w:t>
      </w:r>
      <w:r>
        <w:rPr>
          <w:sz w:val="24"/>
        </w:rPr>
        <w:t>（</w:t>
      </w:r>
      <w:r>
        <w:rPr>
          <w:rFonts w:hint="eastAsia"/>
          <w:sz w:val="24"/>
        </w:rPr>
        <w:t>HJ 19-2011</w:t>
      </w:r>
      <w:r>
        <w:rPr>
          <w:sz w:val="24"/>
        </w:rPr>
        <w:t>）</w:t>
      </w:r>
      <w:r>
        <w:rPr>
          <w:rFonts w:hint="eastAsia"/>
          <w:sz w:val="24"/>
        </w:rPr>
        <w:t>；</w:t>
      </w:r>
    </w:p>
    <w:p>
      <w:pPr>
        <w:spacing w:line="360" w:lineRule="auto"/>
        <w:ind w:firstLine="480" w:firstLineChars="200"/>
        <w:rPr>
          <w:sz w:val="24"/>
        </w:rPr>
      </w:pPr>
      <w:r>
        <w:rPr>
          <w:sz w:val="24"/>
        </w:rPr>
        <w:t>（2）</w:t>
      </w:r>
      <w:bookmarkEnd w:id="157"/>
      <w:bookmarkEnd w:id="158"/>
      <w:bookmarkEnd w:id="159"/>
      <w:bookmarkEnd w:id="160"/>
      <w:bookmarkEnd w:id="161"/>
      <w:bookmarkEnd w:id="162"/>
      <w:bookmarkEnd w:id="163"/>
      <w:bookmarkEnd w:id="164"/>
      <w:r>
        <w:rPr>
          <w:sz w:val="24"/>
        </w:rPr>
        <w:t>《生态环境状况评价技术规范》（HJ/T192-2015）</w:t>
      </w:r>
      <w:r>
        <w:rPr>
          <w:rFonts w:hint="eastAsia"/>
          <w:sz w:val="24"/>
        </w:rPr>
        <w:t>；</w:t>
      </w:r>
    </w:p>
    <w:p>
      <w:pPr>
        <w:spacing w:line="360" w:lineRule="auto"/>
        <w:ind w:firstLine="480" w:firstLineChars="200"/>
        <w:rPr>
          <w:sz w:val="24"/>
        </w:rPr>
      </w:pPr>
      <w:r>
        <w:rPr>
          <w:sz w:val="24"/>
        </w:rPr>
        <w:t>（</w:t>
      </w:r>
      <w:r>
        <w:rPr>
          <w:rFonts w:hint="eastAsia"/>
          <w:sz w:val="24"/>
        </w:rPr>
        <w:t>3</w:t>
      </w:r>
      <w:r>
        <w:rPr>
          <w:sz w:val="24"/>
        </w:rPr>
        <w:t>）</w:t>
      </w:r>
      <w:r>
        <w:rPr>
          <w:rFonts w:hint="eastAsia"/>
          <w:sz w:val="24"/>
        </w:rPr>
        <w:t>《全国生态功能区划（修编版）》（环境保护部公告2015年 第61号）。</w:t>
      </w:r>
    </w:p>
    <w:p>
      <w:pPr>
        <w:pStyle w:val="5"/>
        <w:rPr>
          <w:rFonts w:ascii="Times New Roman" w:hAnsi="Times New Roman"/>
        </w:rPr>
      </w:pPr>
      <w:bookmarkStart w:id="165" w:name="_Toc496628753"/>
      <w:bookmarkStart w:id="166" w:name="_Toc500854713"/>
      <w:bookmarkStart w:id="167" w:name="_Toc4491173"/>
      <w:bookmarkStart w:id="168" w:name="_Toc499280405"/>
      <w:bookmarkStart w:id="169" w:name="_Toc5953829"/>
      <w:r>
        <w:rPr>
          <w:rFonts w:ascii="Times New Roman" w:hAnsi="Times New Roman"/>
        </w:rPr>
        <w:t>1.3 评价范围与评价时段</w:t>
      </w:r>
      <w:bookmarkEnd w:id="165"/>
      <w:bookmarkEnd w:id="166"/>
      <w:bookmarkEnd w:id="167"/>
      <w:bookmarkEnd w:id="168"/>
      <w:bookmarkEnd w:id="169"/>
    </w:p>
    <w:p>
      <w:pPr>
        <w:pStyle w:val="6"/>
        <w:rPr>
          <w:rFonts w:ascii="Times New Roman" w:hAnsi="Times New Roman"/>
        </w:rPr>
      </w:pPr>
      <w:bookmarkStart w:id="170" w:name="_Toc488758885"/>
      <w:bookmarkStart w:id="171" w:name="_Toc496628754"/>
      <w:r>
        <w:rPr>
          <w:rFonts w:ascii="Times New Roman" w:hAnsi="Times New Roman"/>
        </w:rPr>
        <w:t>1.3.1评价等级</w:t>
      </w:r>
      <w:bookmarkEnd w:id="170"/>
      <w:bookmarkEnd w:id="171"/>
    </w:p>
    <w:p>
      <w:pPr>
        <w:spacing w:line="360" w:lineRule="auto"/>
        <w:ind w:firstLine="480" w:firstLineChars="200"/>
        <w:rPr>
          <w:sz w:val="24"/>
        </w:rPr>
      </w:pPr>
      <w:r>
        <w:rPr>
          <w:sz w:val="24"/>
        </w:rPr>
        <w:t>根据《环境影响评价技术导则 生态影响》（HJ 19-2011）中评价工作分级标准（见表1.3-1），项目位于</w:t>
      </w:r>
      <w:r>
        <w:rPr>
          <w:rFonts w:hint="eastAsia"/>
          <w:sz w:val="24"/>
        </w:rPr>
        <w:t>岳阳市岳阳楼区</w:t>
      </w:r>
      <w:r>
        <w:rPr>
          <w:sz w:val="24"/>
        </w:rPr>
        <w:t>，</w:t>
      </w:r>
      <w:r>
        <w:rPr>
          <w:rFonts w:hint="eastAsia"/>
          <w:sz w:val="24"/>
        </w:rPr>
        <w:t>涉及净用地面积约</w:t>
      </w:r>
      <w:r>
        <w:rPr>
          <w:sz w:val="24"/>
        </w:rPr>
        <w:t>110638m</w:t>
      </w:r>
      <w:r>
        <w:rPr>
          <w:sz w:val="24"/>
          <w:vertAlign w:val="superscript"/>
        </w:rPr>
        <w:t>2</w:t>
      </w:r>
      <w:r>
        <w:rPr>
          <w:rFonts w:hint="eastAsia"/>
          <w:sz w:val="24"/>
        </w:rPr>
        <w:t>，占地项目面积小于2km</w:t>
      </w:r>
      <w:r>
        <w:rPr>
          <w:rFonts w:hint="eastAsia"/>
          <w:sz w:val="24"/>
          <w:vertAlign w:val="superscript"/>
        </w:rPr>
        <w:t>2</w:t>
      </w:r>
      <w:r>
        <w:rPr>
          <w:rFonts w:hint="eastAsia"/>
          <w:sz w:val="24"/>
        </w:rPr>
        <w:t>，本项目</w:t>
      </w:r>
      <w:r>
        <w:rPr>
          <w:sz w:val="24"/>
        </w:rPr>
        <w:t>工程</w:t>
      </w:r>
      <w:r>
        <w:rPr>
          <w:rFonts w:hint="eastAsia"/>
          <w:sz w:val="24"/>
        </w:rPr>
        <w:t>占地范围位于岳阳楼——洞庭湖风景名胜区岳阳楼景区的外围保护地带，因此，本项目属于重要生态敏感区，本次生态环境评价评价等级确定为三级。</w:t>
      </w:r>
    </w:p>
    <w:p>
      <w:pPr>
        <w:jc w:val="center"/>
        <w:rPr>
          <w:sz w:val="24"/>
        </w:rPr>
      </w:pPr>
      <w:r>
        <w:rPr>
          <w:b/>
          <w:szCs w:val="21"/>
        </w:rPr>
        <w:t>表1.3-1  生态影响评价工作等级划分表</w:t>
      </w:r>
    </w:p>
    <w:tbl>
      <w:tblPr>
        <w:tblStyle w:val="1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2332"/>
        <w:gridCol w:w="2332"/>
        <w:gridCol w:w="2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9" w:type="dxa"/>
            <w:vMerge w:val="restart"/>
            <w:vAlign w:val="center"/>
          </w:tcPr>
          <w:p>
            <w:pPr>
              <w:jc w:val="center"/>
              <w:rPr>
                <w:b/>
                <w:szCs w:val="21"/>
              </w:rPr>
            </w:pPr>
            <w:r>
              <w:rPr>
                <w:b/>
                <w:szCs w:val="21"/>
              </w:rPr>
              <w:t>生态敏感型</w:t>
            </w:r>
          </w:p>
        </w:tc>
        <w:tc>
          <w:tcPr>
            <w:tcW w:w="6996" w:type="dxa"/>
            <w:gridSpan w:val="3"/>
            <w:vAlign w:val="center"/>
          </w:tcPr>
          <w:p>
            <w:pPr>
              <w:jc w:val="center"/>
              <w:rPr>
                <w:b/>
                <w:szCs w:val="21"/>
              </w:rPr>
            </w:pPr>
            <w:r>
              <w:rPr>
                <w:b/>
                <w:szCs w:val="21"/>
              </w:rPr>
              <w:t>工程占地（水域）范围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9" w:type="dxa"/>
            <w:vMerge w:val="continue"/>
            <w:vAlign w:val="center"/>
          </w:tcPr>
          <w:p>
            <w:pPr>
              <w:jc w:val="center"/>
              <w:rPr>
                <w:b/>
                <w:szCs w:val="21"/>
              </w:rPr>
            </w:pPr>
          </w:p>
        </w:tc>
        <w:tc>
          <w:tcPr>
            <w:tcW w:w="2332" w:type="dxa"/>
            <w:vAlign w:val="center"/>
          </w:tcPr>
          <w:p>
            <w:pPr>
              <w:jc w:val="center"/>
              <w:rPr>
                <w:b/>
                <w:szCs w:val="21"/>
                <w:vertAlign w:val="superscript"/>
              </w:rPr>
            </w:pPr>
            <w:r>
              <w:rPr>
                <w:b/>
                <w:szCs w:val="21"/>
              </w:rPr>
              <w:t>面积≥20km</w:t>
            </w:r>
            <w:r>
              <w:rPr>
                <w:b/>
                <w:szCs w:val="21"/>
                <w:vertAlign w:val="superscript"/>
              </w:rPr>
              <w:t>2</w:t>
            </w:r>
          </w:p>
          <w:p>
            <w:pPr>
              <w:jc w:val="center"/>
              <w:rPr>
                <w:b/>
                <w:szCs w:val="21"/>
              </w:rPr>
            </w:pPr>
            <w:r>
              <w:rPr>
                <w:b/>
                <w:szCs w:val="21"/>
              </w:rPr>
              <w:t>或长度≥100km</w:t>
            </w:r>
          </w:p>
        </w:tc>
        <w:tc>
          <w:tcPr>
            <w:tcW w:w="2332" w:type="dxa"/>
            <w:vAlign w:val="center"/>
          </w:tcPr>
          <w:p>
            <w:pPr>
              <w:jc w:val="center"/>
              <w:rPr>
                <w:b/>
                <w:szCs w:val="21"/>
              </w:rPr>
            </w:pPr>
            <w:r>
              <w:rPr>
                <w:b/>
                <w:szCs w:val="21"/>
              </w:rPr>
              <w:t>面积2 km</w:t>
            </w:r>
            <w:r>
              <w:rPr>
                <w:b/>
                <w:szCs w:val="21"/>
                <w:vertAlign w:val="superscript"/>
              </w:rPr>
              <w:t>2</w:t>
            </w:r>
            <w:r>
              <w:rPr>
                <w:b/>
                <w:szCs w:val="21"/>
              </w:rPr>
              <w:t>-20 km</w:t>
            </w:r>
            <w:r>
              <w:rPr>
                <w:b/>
                <w:szCs w:val="21"/>
                <w:vertAlign w:val="superscript"/>
              </w:rPr>
              <w:t>2</w:t>
            </w:r>
            <w:r>
              <w:rPr>
                <w:b/>
                <w:szCs w:val="21"/>
              </w:rPr>
              <w:t>或长度50km-100km</w:t>
            </w:r>
          </w:p>
        </w:tc>
        <w:tc>
          <w:tcPr>
            <w:tcW w:w="2332" w:type="dxa"/>
            <w:vAlign w:val="center"/>
          </w:tcPr>
          <w:p>
            <w:pPr>
              <w:jc w:val="center"/>
              <w:rPr>
                <w:b/>
                <w:szCs w:val="21"/>
              </w:rPr>
            </w:pPr>
            <w:r>
              <w:rPr>
                <w:b/>
                <w:szCs w:val="21"/>
              </w:rPr>
              <w:t>面积≤2km</w:t>
            </w:r>
            <w:r>
              <w:rPr>
                <w:b/>
                <w:szCs w:val="21"/>
                <w:vertAlign w:val="superscript"/>
              </w:rPr>
              <w:t>2</w:t>
            </w:r>
            <w:r>
              <w:rPr>
                <w:b/>
                <w:szCs w:val="21"/>
              </w:rPr>
              <w:t>或长度≤50km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9" w:type="dxa"/>
            <w:vAlign w:val="center"/>
          </w:tcPr>
          <w:p>
            <w:pPr>
              <w:jc w:val="center"/>
              <w:rPr>
                <w:szCs w:val="21"/>
              </w:rPr>
            </w:pPr>
            <w:r>
              <w:rPr>
                <w:szCs w:val="21"/>
              </w:rPr>
              <w:t>特殊生态敏感区</w:t>
            </w:r>
          </w:p>
        </w:tc>
        <w:tc>
          <w:tcPr>
            <w:tcW w:w="2332" w:type="dxa"/>
            <w:vAlign w:val="center"/>
          </w:tcPr>
          <w:p>
            <w:pPr>
              <w:jc w:val="center"/>
              <w:rPr>
                <w:szCs w:val="21"/>
              </w:rPr>
            </w:pPr>
            <w:r>
              <w:rPr>
                <w:szCs w:val="21"/>
              </w:rPr>
              <w:t>一级</w:t>
            </w:r>
          </w:p>
        </w:tc>
        <w:tc>
          <w:tcPr>
            <w:tcW w:w="2332" w:type="dxa"/>
            <w:vAlign w:val="center"/>
          </w:tcPr>
          <w:p>
            <w:pPr>
              <w:jc w:val="center"/>
              <w:rPr>
                <w:szCs w:val="21"/>
              </w:rPr>
            </w:pPr>
            <w:r>
              <w:rPr>
                <w:szCs w:val="21"/>
              </w:rPr>
              <w:t>一级</w:t>
            </w:r>
          </w:p>
        </w:tc>
        <w:tc>
          <w:tcPr>
            <w:tcW w:w="2332" w:type="dxa"/>
            <w:vAlign w:val="center"/>
          </w:tcPr>
          <w:p>
            <w:pPr>
              <w:jc w:val="center"/>
              <w:rPr>
                <w:szCs w:val="21"/>
              </w:rPr>
            </w:pPr>
            <w:r>
              <w:rPr>
                <w:szCs w:val="21"/>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9" w:type="dxa"/>
            <w:vAlign w:val="center"/>
          </w:tcPr>
          <w:p>
            <w:pPr>
              <w:jc w:val="center"/>
              <w:rPr>
                <w:szCs w:val="21"/>
              </w:rPr>
            </w:pPr>
            <w:r>
              <w:rPr>
                <w:szCs w:val="21"/>
              </w:rPr>
              <w:t>重要生态敏感区</w:t>
            </w:r>
          </w:p>
        </w:tc>
        <w:tc>
          <w:tcPr>
            <w:tcW w:w="2332" w:type="dxa"/>
            <w:vAlign w:val="center"/>
          </w:tcPr>
          <w:p>
            <w:pPr>
              <w:jc w:val="center"/>
              <w:rPr>
                <w:szCs w:val="21"/>
              </w:rPr>
            </w:pPr>
            <w:r>
              <w:rPr>
                <w:szCs w:val="21"/>
              </w:rPr>
              <w:t>一级</w:t>
            </w:r>
          </w:p>
        </w:tc>
        <w:tc>
          <w:tcPr>
            <w:tcW w:w="2332" w:type="dxa"/>
            <w:vAlign w:val="center"/>
          </w:tcPr>
          <w:p>
            <w:pPr>
              <w:jc w:val="center"/>
              <w:rPr>
                <w:szCs w:val="21"/>
              </w:rPr>
            </w:pPr>
            <w:r>
              <w:rPr>
                <w:szCs w:val="21"/>
              </w:rPr>
              <w:t>二级</w:t>
            </w:r>
          </w:p>
        </w:tc>
        <w:tc>
          <w:tcPr>
            <w:tcW w:w="2332" w:type="dxa"/>
            <w:vAlign w:val="center"/>
          </w:tcPr>
          <w:p>
            <w:pPr>
              <w:jc w:val="center"/>
              <w:rPr>
                <w:szCs w:val="21"/>
              </w:rPr>
            </w:pPr>
            <w:r>
              <w:rPr>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9" w:type="dxa"/>
            <w:vAlign w:val="center"/>
          </w:tcPr>
          <w:p>
            <w:pPr>
              <w:jc w:val="center"/>
              <w:rPr>
                <w:szCs w:val="21"/>
              </w:rPr>
            </w:pPr>
            <w:r>
              <w:rPr>
                <w:szCs w:val="21"/>
              </w:rPr>
              <w:t>一般区域</w:t>
            </w:r>
          </w:p>
        </w:tc>
        <w:tc>
          <w:tcPr>
            <w:tcW w:w="2332" w:type="dxa"/>
            <w:vAlign w:val="center"/>
          </w:tcPr>
          <w:p>
            <w:pPr>
              <w:jc w:val="center"/>
              <w:rPr>
                <w:szCs w:val="21"/>
              </w:rPr>
            </w:pPr>
            <w:r>
              <w:rPr>
                <w:szCs w:val="21"/>
              </w:rPr>
              <w:t>二级</w:t>
            </w:r>
          </w:p>
        </w:tc>
        <w:tc>
          <w:tcPr>
            <w:tcW w:w="2332" w:type="dxa"/>
            <w:vAlign w:val="center"/>
          </w:tcPr>
          <w:p>
            <w:pPr>
              <w:jc w:val="center"/>
              <w:rPr>
                <w:szCs w:val="21"/>
              </w:rPr>
            </w:pPr>
            <w:r>
              <w:rPr>
                <w:szCs w:val="21"/>
              </w:rPr>
              <w:t>二级</w:t>
            </w:r>
          </w:p>
        </w:tc>
        <w:tc>
          <w:tcPr>
            <w:tcW w:w="2332" w:type="dxa"/>
            <w:vAlign w:val="center"/>
          </w:tcPr>
          <w:p>
            <w:pPr>
              <w:jc w:val="center"/>
              <w:rPr>
                <w:szCs w:val="21"/>
              </w:rPr>
            </w:pPr>
            <w:r>
              <w:rPr>
                <w:szCs w:val="21"/>
              </w:rPr>
              <w:t>三级</w:t>
            </w:r>
          </w:p>
        </w:tc>
      </w:tr>
    </w:tbl>
    <w:p>
      <w:pPr>
        <w:pStyle w:val="6"/>
        <w:rPr>
          <w:rFonts w:ascii="Times New Roman" w:hAnsi="Times New Roman"/>
        </w:rPr>
      </w:pPr>
      <w:bookmarkStart w:id="172" w:name="_Toc488758886"/>
      <w:bookmarkStart w:id="173" w:name="_Toc496628755"/>
      <w:r>
        <w:rPr>
          <w:rFonts w:ascii="Times New Roman" w:hAnsi="Times New Roman"/>
        </w:rPr>
        <w:t>1.3.2评价范围</w:t>
      </w:r>
      <w:bookmarkEnd w:id="172"/>
      <w:bookmarkEnd w:id="173"/>
    </w:p>
    <w:p>
      <w:pPr>
        <w:spacing w:line="360" w:lineRule="auto"/>
        <w:ind w:firstLine="480" w:firstLineChars="200"/>
        <w:rPr>
          <w:sz w:val="24"/>
        </w:rPr>
      </w:pPr>
      <w:r>
        <w:rPr>
          <w:sz w:val="24"/>
        </w:rPr>
        <w:t>根据《环境影响评价技术导则 生态影响》（HJ19-2011）中关于生态影响评价范围的要求，即生态影响评价应能够充分体现生态完整性，涵盖评价项目全部活动的直接影响区域和间接影响区域</w:t>
      </w:r>
      <w:r>
        <w:rPr>
          <w:rFonts w:hint="eastAsia"/>
          <w:sz w:val="24"/>
        </w:rPr>
        <w:t>。</w:t>
      </w:r>
    </w:p>
    <w:p>
      <w:pPr>
        <w:spacing w:line="360" w:lineRule="auto"/>
        <w:ind w:firstLine="480" w:firstLineChars="200"/>
        <w:rPr>
          <w:sz w:val="24"/>
        </w:rPr>
      </w:pPr>
      <w:r>
        <w:rPr>
          <w:rFonts w:hint="eastAsia"/>
          <w:sz w:val="24"/>
        </w:rPr>
        <w:t>按照项目选址地情况，项目</w:t>
      </w:r>
      <w:r>
        <w:rPr>
          <w:rStyle w:val="29"/>
        </w:rPr>
        <w:t>占用面积涉及岳阳楼景区外围保护地带，不在岳阳楼—洞庭湖风景名胜区岳阳楼景区</w:t>
      </w:r>
      <w:r>
        <w:rPr>
          <w:rStyle w:val="29"/>
          <w:rFonts w:hint="eastAsia"/>
        </w:rPr>
        <w:t>界线</w:t>
      </w:r>
      <w:r>
        <w:rPr>
          <w:rStyle w:val="29"/>
        </w:rPr>
        <w:t>范围内，</w:t>
      </w:r>
      <w:r>
        <w:rPr>
          <w:rStyle w:val="29"/>
          <w:rFonts w:hint="eastAsia"/>
          <w:lang w:eastAsia="zh-CN"/>
        </w:rPr>
        <w:t>整个</w:t>
      </w:r>
      <w:r>
        <w:rPr>
          <w:rStyle w:val="29"/>
          <w:rFonts w:hint="eastAsia"/>
        </w:rPr>
        <w:t>地块</w:t>
      </w:r>
      <w:r>
        <w:rPr>
          <w:rFonts w:hint="eastAsia"/>
          <w:sz w:val="24"/>
        </w:rPr>
        <w:t>西面离岳阳楼景区界线</w:t>
      </w:r>
      <w:r>
        <w:rPr>
          <w:rFonts w:hint="eastAsia"/>
          <w:sz w:val="24"/>
          <w:lang w:eastAsia="zh-CN"/>
        </w:rPr>
        <w:t>最近的距离</w:t>
      </w:r>
      <w:r>
        <w:rPr>
          <w:rFonts w:hint="eastAsia"/>
          <w:sz w:val="24"/>
        </w:rPr>
        <w:t>约15m，</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rPr>
        <w:t>，项目在施工期商品混凝土、渣土车等车辆运输路线涉及岳阳楼国家级风景名胜区的外围保护地带区域。本次评价生态环境直接影响区包括岳阳楼国家级风景名胜区的外围保护地带区域，间接影响区包括岳阳楼国家级风景名胜区景区（特级、一级、二级、三级）。</w:t>
      </w:r>
    </w:p>
    <w:p>
      <w:pPr>
        <w:pStyle w:val="6"/>
        <w:rPr>
          <w:rFonts w:ascii="Times New Roman" w:hAnsi="Times New Roman"/>
        </w:rPr>
      </w:pPr>
      <w:bookmarkStart w:id="174" w:name="_Toc488758887"/>
      <w:bookmarkStart w:id="175" w:name="_Toc496628756"/>
      <w:r>
        <w:rPr>
          <w:rFonts w:ascii="Times New Roman" w:hAnsi="Times New Roman"/>
        </w:rPr>
        <w:t>1.3.3评价时段</w:t>
      </w:r>
      <w:bookmarkEnd w:id="174"/>
      <w:bookmarkEnd w:id="175"/>
    </w:p>
    <w:p>
      <w:pPr>
        <w:pStyle w:val="39"/>
        <w:adjustRightInd w:val="0"/>
        <w:spacing w:beforeLines="20" w:afterLines="20" w:line="360" w:lineRule="auto"/>
        <w:ind w:firstLine="480"/>
        <w:rPr>
          <w:kern w:val="0"/>
        </w:rPr>
      </w:pPr>
      <w:r>
        <w:rPr>
          <w:rFonts w:hint="eastAsia"/>
          <w:lang w:eastAsia="zh-CN"/>
        </w:rPr>
        <w:t>由于本项目为房地产开发建设项目，本项目生态影响的</w:t>
      </w:r>
      <w:r>
        <w:t>评价时段</w:t>
      </w:r>
      <w:r>
        <w:rPr>
          <w:rFonts w:hint="eastAsia"/>
          <w:lang w:eastAsia="zh-CN"/>
        </w:rPr>
        <w:t>主要为施工期和运营期</w:t>
      </w:r>
      <w:r>
        <w:rPr>
          <w:kern w:val="0"/>
        </w:rPr>
        <w:t>。</w:t>
      </w:r>
    </w:p>
    <w:p>
      <w:pPr>
        <w:pStyle w:val="5"/>
        <w:rPr>
          <w:rFonts w:ascii="Times New Roman" w:hAnsi="Times New Roman"/>
        </w:rPr>
      </w:pPr>
      <w:bookmarkStart w:id="176" w:name="_Toc510186972"/>
      <w:bookmarkStart w:id="177" w:name="_Toc499280406"/>
      <w:bookmarkStart w:id="178" w:name="_Toc1593"/>
      <w:bookmarkStart w:id="179" w:name="_Toc5953830"/>
      <w:bookmarkStart w:id="180" w:name="_Toc593"/>
      <w:bookmarkStart w:id="181" w:name="_Toc4491174"/>
      <w:bookmarkStart w:id="182" w:name="_Toc500854714"/>
      <w:bookmarkStart w:id="183" w:name="_Toc484854274"/>
      <w:bookmarkStart w:id="184" w:name="_Toc496628757"/>
      <w:bookmarkStart w:id="185" w:name="_Toc1926"/>
      <w:r>
        <w:rPr>
          <w:rFonts w:ascii="Times New Roman" w:hAnsi="Times New Roman"/>
        </w:rPr>
        <w:t>1.4 生态敏感点与保护目标</w:t>
      </w:r>
      <w:bookmarkEnd w:id="176"/>
      <w:bookmarkEnd w:id="177"/>
      <w:bookmarkEnd w:id="178"/>
      <w:bookmarkEnd w:id="179"/>
      <w:bookmarkEnd w:id="180"/>
      <w:bookmarkEnd w:id="181"/>
      <w:bookmarkEnd w:id="182"/>
      <w:bookmarkEnd w:id="183"/>
      <w:bookmarkEnd w:id="184"/>
      <w:bookmarkEnd w:id="185"/>
    </w:p>
    <w:p>
      <w:pPr>
        <w:spacing w:line="360" w:lineRule="auto"/>
        <w:ind w:firstLine="480" w:firstLineChars="200"/>
        <w:rPr>
          <w:kern w:val="0"/>
          <w:sz w:val="24"/>
        </w:rPr>
      </w:pPr>
      <w:bookmarkStart w:id="186" w:name="_Toc10490"/>
      <w:bookmarkStart w:id="187" w:name="_Toc26684"/>
      <w:bookmarkStart w:id="188" w:name="_Toc24990"/>
      <w:r>
        <w:rPr>
          <w:rFonts w:hint="eastAsia"/>
          <w:sz w:val="24"/>
        </w:rPr>
        <w:t>项目占地区域为外围保护地带，不在岳阳楼景区范围内（特级、一级、二级、三级保护区）。由于项目西侧距离岳阳楼景区界线</w:t>
      </w:r>
      <w:r>
        <w:rPr>
          <w:rFonts w:hint="eastAsia"/>
          <w:sz w:val="24"/>
          <w:lang w:eastAsia="zh-CN"/>
        </w:rPr>
        <w:t>最近距离</w:t>
      </w:r>
      <w:r>
        <w:rPr>
          <w:rFonts w:hint="eastAsia"/>
          <w:sz w:val="24"/>
        </w:rPr>
        <w:t>约15m，因此，在项目施工期间接影响区域包括岳阳楼风景区东侧边界范围。项目重点评价区内的生态敏感点即为项目区周边的岳阳楼风景区。</w:t>
      </w:r>
      <w:bookmarkEnd w:id="186"/>
      <w:bookmarkEnd w:id="187"/>
      <w:bookmarkEnd w:id="188"/>
      <w:r>
        <w:rPr>
          <w:kern w:val="0"/>
          <w:sz w:val="24"/>
        </w:rPr>
        <w:t>项目周边间接影响区域生态敏感区分布情况见表1.4-</w:t>
      </w:r>
      <w:r>
        <w:rPr>
          <w:rFonts w:hint="eastAsia"/>
          <w:kern w:val="0"/>
          <w:sz w:val="24"/>
        </w:rPr>
        <w:t>1</w:t>
      </w:r>
      <w:r>
        <w:rPr>
          <w:kern w:val="0"/>
          <w:sz w:val="24"/>
        </w:rPr>
        <w:t>。</w:t>
      </w:r>
    </w:p>
    <w:p>
      <w:pPr>
        <w:spacing w:line="360" w:lineRule="auto"/>
        <w:jc w:val="center"/>
        <w:rPr>
          <w:b/>
          <w:szCs w:val="21"/>
        </w:rPr>
      </w:pPr>
      <w:r>
        <w:rPr>
          <w:b/>
          <w:szCs w:val="21"/>
        </w:rPr>
        <w:t>表1</w:t>
      </w:r>
      <w:r>
        <w:rPr>
          <w:rFonts w:hint="eastAsia"/>
          <w:b/>
          <w:szCs w:val="21"/>
        </w:rPr>
        <w:t>.4</w:t>
      </w:r>
      <w:r>
        <w:rPr>
          <w:b/>
          <w:szCs w:val="21"/>
        </w:rPr>
        <w:t>-</w:t>
      </w:r>
      <w:r>
        <w:rPr>
          <w:rFonts w:hint="eastAsia"/>
          <w:b/>
          <w:szCs w:val="21"/>
        </w:rPr>
        <w:t>1项目周边生态</w:t>
      </w:r>
      <w:r>
        <w:rPr>
          <w:b/>
          <w:szCs w:val="21"/>
        </w:rPr>
        <w:t>环境敏感目标一览表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984"/>
        <w:gridCol w:w="1287"/>
        <w:gridCol w:w="990"/>
        <w:gridCol w:w="1490"/>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5" w:type="dxa"/>
            <w:vAlign w:val="center"/>
          </w:tcPr>
          <w:p>
            <w:pPr>
              <w:jc w:val="center"/>
              <w:rPr>
                <w:b/>
                <w:szCs w:val="21"/>
              </w:rPr>
            </w:pPr>
            <w:r>
              <w:rPr>
                <w:b/>
                <w:szCs w:val="21"/>
              </w:rPr>
              <w:t>环境保护敏感目标</w:t>
            </w:r>
          </w:p>
        </w:tc>
        <w:tc>
          <w:tcPr>
            <w:tcW w:w="1984" w:type="dxa"/>
            <w:vAlign w:val="center"/>
          </w:tcPr>
          <w:p>
            <w:pPr>
              <w:jc w:val="center"/>
              <w:rPr>
                <w:b/>
                <w:szCs w:val="21"/>
              </w:rPr>
            </w:pPr>
            <w:r>
              <w:rPr>
                <w:b/>
                <w:szCs w:val="21"/>
              </w:rPr>
              <w:t>规模与特征</w:t>
            </w:r>
          </w:p>
        </w:tc>
        <w:tc>
          <w:tcPr>
            <w:tcW w:w="1287" w:type="dxa"/>
            <w:vAlign w:val="center"/>
          </w:tcPr>
          <w:p>
            <w:pPr>
              <w:jc w:val="center"/>
              <w:rPr>
                <w:b/>
                <w:szCs w:val="21"/>
              </w:rPr>
            </w:pPr>
            <w:r>
              <w:rPr>
                <w:b/>
                <w:szCs w:val="21"/>
              </w:rPr>
              <w:t>与工程区距离及相对位置</w:t>
            </w:r>
          </w:p>
        </w:tc>
        <w:tc>
          <w:tcPr>
            <w:tcW w:w="990" w:type="dxa"/>
            <w:vAlign w:val="center"/>
          </w:tcPr>
          <w:p>
            <w:pPr>
              <w:jc w:val="center"/>
              <w:rPr>
                <w:b/>
                <w:szCs w:val="21"/>
              </w:rPr>
            </w:pPr>
            <w:r>
              <w:rPr>
                <w:b/>
                <w:szCs w:val="21"/>
              </w:rPr>
              <w:t>影响时段</w:t>
            </w:r>
          </w:p>
        </w:tc>
        <w:tc>
          <w:tcPr>
            <w:tcW w:w="1490" w:type="dxa"/>
            <w:vAlign w:val="center"/>
          </w:tcPr>
          <w:p>
            <w:pPr>
              <w:jc w:val="center"/>
              <w:rPr>
                <w:b/>
                <w:szCs w:val="21"/>
              </w:rPr>
            </w:pPr>
            <w:r>
              <w:rPr>
                <w:b/>
                <w:szCs w:val="21"/>
              </w:rPr>
              <w:t>主要影响源及可能产生的影响</w:t>
            </w:r>
          </w:p>
        </w:tc>
        <w:tc>
          <w:tcPr>
            <w:tcW w:w="1386" w:type="dxa"/>
            <w:vAlign w:val="center"/>
          </w:tcPr>
          <w:p>
            <w:pPr>
              <w:jc w:val="center"/>
              <w:rPr>
                <w:b/>
                <w:szCs w:val="21"/>
              </w:rPr>
            </w:pPr>
            <w:r>
              <w:rPr>
                <w:b/>
                <w:szCs w:val="21"/>
              </w:rPr>
              <w:t>保护</w:t>
            </w:r>
            <w:r>
              <w:rPr>
                <w:rFonts w:hint="eastAsia"/>
                <w:b/>
                <w:szCs w:val="21"/>
              </w:rPr>
              <w:t>对象与级别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5" w:type="dxa"/>
            <w:vAlign w:val="center"/>
          </w:tcPr>
          <w:p>
            <w:pPr>
              <w:jc w:val="center"/>
              <w:rPr>
                <w:szCs w:val="21"/>
                <w:lang w:val="zh-CN"/>
              </w:rPr>
            </w:pPr>
            <w:r>
              <w:rPr>
                <w:szCs w:val="21"/>
              </w:rPr>
              <w:t>岳阳楼景区</w:t>
            </w:r>
          </w:p>
        </w:tc>
        <w:tc>
          <w:tcPr>
            <w:tcW w:w="1984" w:type="dxa"/>
            <w:vAlign w:val="center"/>
          </w:tcPr>
          <w:p>
            <w:pPr>
              <w:jc w:val="center"/>
              <w:rPr>
                <w:szCs w:val="21"/>
              </w:rPr>
            </w:pPr>
            <w:r>
              <w:rPr>
                <w:rFonts w:hint="eastAsia"/>
                <w:szCs w:val="21"/>
              </w:rPr>
              <w:t>以岳阳楼为核心，集名楼、名人、名文、名湖于一身，是岳阳市历史文化名城的重要组成部分，以观光游览、历史探源、爱国主义教育等为主要活动内容，兼具城市文化休闲功能的史迹型景区</w:t>
            </w:r>
          </w:p>
        </w:tc>
        <w:tc>
          <w:tcPr>
            <w:tcW w:w="1287" w:type="dxa"/>
            <w:vAlign w:val="center"/>
          </w:tcPr>
          <w:p>
            <w:pPr>
              <w:jc w:val="center"/>
              <w:rPr>
                <w:szCs w:val="21"/>
              </w:rPr>
            </w:pPr>
            <w:r>
              <w:rPr>
                <w:rFonts w:hint="eastAsia"/>
                <w:szCs w:val="21"/>
              </w:rPr>
              <w:t>选址区位于风景区外围保护地带，距离景区界线</w:t>
            </w:r>
            <w:r>
              <w:rPr>
                <w:rFonts w:hint="eastAsia"/>
                <w:szCs w:val="21"/>
                <w:lang w:eastAsia="zh-CN"/>
              </w:rPr>
              <w:t>最近距离为</w:t>
            </w:r>
            <w:r>
              <w:rPr>
                <w:rFonts w:hint="eastAsia"/>
                <w:szCs w:val="21"/>
              </w:rPr>
              <w:t>15m</w:t>
            </w:r>
          </w:p>
        </w:tc>
        <w:tc>
          <w:tcPr>
            <w:tcW w:w="990" w:type="dxa"/>
            <w:vAlign w:val="center"/>
          </w:tcPr>
          <w:p>
            <w:pPr>
              <w:jc w:val="center"/>
              <w:rPr>
                <w:szCs w:val="21"/>
              </w:rPr>
            </w:pPr>
            <w:r>
              <w:rPr>
                <w:rFonts w:hint="eastAsia"/>
                <w:szCs w:val="21"/>
              </w:rPr>
              <w:t>施工期（重点）、营运期</w:t>
            </w:r>
          </w:p>
        </w:tc>
        <w:tc>
          <w:tcPr>
            <w:tcW w:w="1490" w:type="dxa"/>
            <w:vAlign w:val="center"/>
          </w:tcPr>
          <w:p>
            <w:pPr>
              <w:jc w:val="center"/>
              <w:rPr>
                <w:szCs w:val="21"/>
              </w:rPr>
            </w:pPr>
            <w:r>
              <w:rPr>
                <w:rFonts w:hint="eastAsia"/>
                <w:szCs w:val="21"/>
              </w:rPr>
              <w:t>施工期废气可能对其环境有所影响，营运期三废对其有轻微环境影响</w:t>
            </w:r>
          </w:p>
        </w:tc>
        <w:tc>
          <w:tcPr>
            <w:tcW w:w="1386" w:type="dxa"/>
            <w:vAlign w:val="center"/>
          </w:tcPr>
          <w:p>
            <w:pPr>
              <w:jc w:val="center"/>
              <w:rPr>
                <w:szCs w:val="21"/>
              </w:rPr>
            </w:pPr>
            <w:r>
              <w:rPr>
                <w:rFonts w:hint="eastAsia"/>
                <w:szCs w:val="21"/>
              </w:rPr>
              <w:t>保护文物古迹</w:t>
            </w:r>
          </w:p>
          <w:p>
            <w:pPr>
              <w:jc w:val="center"/>
              <w:rPr>
                <w:szCs w:val="21"/>
              </w:rPr>
            </w:pPr>
            <w:r>
              <w:rPr>
                <w:rFonts w:hint="eastAsia"/>
                <w:szCs w:val="21"/>
              </w:rPr>
              <w:t>国家级风景名胜区</w:t>
            </w:r>
          </w:p>
        </w:tc>
      </w:tr>
    </w:tbl>
    <w:p>
      <w:pPr>
        <w:pStyle w:val="5"/>
        <w:rPr>
          <w:rFonts w:ascii="Times New Roman" w:hAnsi="Times New Roman"/>
        </w:rPr>
      </w:pPr>
      <w:bookmarkStart w:id="189" w:name="_Toc510186973"/>
      <w:bookmarkStart w:id="190" w:name="_Toc20937"/>
      <w:bookmarkStart w:id="191" w:name="_Toc499280407"/>
      <w:bookmarkStart w:id="192" w:name="_Toc4491175"/>
      <w:bookmarkStart w:id="193" w:name="_Toc496628758"/>
      <w:bookmarkStart w:id="194" w:name="_Toc5953831"/>
      <w:bookmarkStart w:id="195" w:name="_Toc11391"/>
      <w:bookmarkStart w:id="196" w:name="_Toc484854275"/>
      <w:bookmarkStart w:id="197" w:name="_Toc500854715"/>
      <w:bookmarkStart w:id="198" w:name="_Toc14100"/>
      <w:r>
        <w:rPr>
          <w:rFonts w:ascii="Times New Roman" w:hAnsi="Times New Roman"/>
        </w:rPr>
        <w:t>1.5 评价内容</w:t>
      </w:r>
      <w:bookmarkEnd w:id="189"/>
      <w:bookmarkEnd w:id="190"/>
      <w:bookmarkEnd w:id="191"/>
      <w:bookmarkEnd w:id="192"/>
      <w:bookmarkEnd w:id="193"/>
      <w:bookmarkEnd w:id="194"/>
      <w:bookmarkEnd w:id="195"/>
      <w:bookmarkEnd w:id="196"/>
      <w:bookmarkEnd w:id="197"/>
      <w:bookmarkEnd w:id="198"/>
    </w:p>
    <w:p>
      <w:pPr>
        <w:pStyle w:val="39"/>
        <w:snapToGrid/>
        <w:spacing w:line="360" w:lineRule="auto"/>
        <w:ind w:firstLine="480"/>
        <w:rPr>
          <w:bCs/>
        </w:rPr>
      </w:pPr>
      <w:r>
        <w:rPr>
          <w:rFonts w:hint="eastAsia"/>
          <w:bCs/>
        </w:rPr>
        <w:t>依据</w:t>
      </w:r>
      <w:r>
        <w:rPr>
          <w:rFonts w:hint="eastAsia"/>
          <w:szCs w:val="24"/>
        </w:rPr>
        <w:t>《环境影响评价技术导则生态影响》</w:t>
      </w:r>
      <w:r>
        <w:rPr>
          <w:szCs w:val="24"/>
        </w:rPr>
        <w:t>（</w:t>
      </w:r>
      <w:r>
        <w:rPr>
          <w:rFonts w:hint="eastAsia"/>
          <w:szCs w:val="24"/>
        </w:rPr>
        <w:t>HJ 19-2011</w:t>
      </w:r>
      <w:r>
        <w:rPr>
          <w:szCs w:val="24"/>
        </w:rPr>
        <w:t>）</w:t>
      </w:r>
      <w:r>
        <w:rPr>
          <w:rFonts w:hint="eastAsia"/>
          <w:bCs/>
        </w:rPr>
        <w:t>的相关要求规定，客观地对项目生态环境给予科学评价，为项目建设提供重要依据。</w:t>
      </w:r>
    </w:p>
    <w:p>
      <w:pPr>
        <w:pStyle w:val="4"/>
      </w:pPr>
      <w:bookmarkStart w:id="199" w:name="_Toc484854277"/>
      <w:bookmarkStart w:id="200" w:name="_Toc499280410"/>
      <w:bookmarkStart w:id="201" w:name="_Toc496628761"/>
      <w:bookmarkStart w:id="202" w:name="_Toc5953834"/>
      <w:bookmarkStart w:id="203" w:name="_Toc500854718"/>
      <w:bookmarkStart w:id="204" w:name="_Toc4491178"/>
      <w:r>
        <w:t>2、项目建设概况</w:t>
      </w:r>
      <w:bookmarkEnd w:id="199"/>
      <w:bookmarkEnd w:id="200"/>
      <w:bookmarkEnd w:id="201"/>
      <w:bookmarkEnd w:id="202"/>
      <w:bookmarkEnd w:id="203"/>
      <w:bookmarkEnd w:id="204"/>
    </w:p>
    <w:p>
      <w:pPr>
        <w:pStyle w:val="5"/>
        <w:rPr>
          <w:rFonts w:ascii="Times New Roman" w:hAnsi="Times New Roman"/>
        </w:rPr>
      </w:pPr>
      <w:bookmarkStart w:id="205" w:name="_Toc484854278"/>
      <w:bookmarkStart w:id="206" w:name="_Toc5953835"/>
      <w:bookmarkStart w:id="207" w:name="_Toc17251"/>
      <w:bookmarkStart w:id="208" w:name="_Toc4491179"/>
      <w:bookmarkStart w:id="209" w:name="_Toc472885407"/>
      <w:bookmarkStart w:id="210" w:name="_Toc496628762"/>
      <w:bookmarkStart w:id="211" w:name="_Toc14558"/>
      <w:bookmarkStart w:id="212" w:name="_Toc10736"/>
      <w:bookmarkStart w:id="213" w:name="_Toc500854719"/>
      <w:bookmarkStart w:id="214" w:name="_Toc6375"/>
      <w:bookmarkStart w:id="215" w:name="_Toc25354"/>
      <w:bookmarkStart w:id="216" w:name="_Toc499280411"/>
      <w:bookmarkStart w:id="217" w:name="_Toc29786"/>
      <w:bookmarkStart w:id="218" w:name="_Toc23936"/>
      <w:bookmarkStart w:id="219" w:name="_Toc16383"/>
      <w:bookmarkStart w:id="220" w:name="_Toc28605"/>
      <w:bookmarkStart w:id="221" w:name="_Toc18039"/>
      <w:r>
        <w:rPr>
          <w:rFonts w:ascii="Times New Roman" w:hAnsi="Times New Roman"/>
        </w:rPr>
        <w:t>2.1 项目基本概况</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pPr>
        <w:spacing w:line="360" w:lineRule="auto"/>
        <w:ind w:firstLine="480" w:firstLineChars="200"/>
        <w:rPr>
          <w:sz w:val="24"/>
        </w:rPr>
      </w:pPr>
      <w:r>
        <w:rPr>
          <w:sz w:val="24"/>
        </w:rPr>
        <w:t>项目名称：</w:t>
      </w:r>
      <w:r>
        <w:rPr>
          <w:rFonts w:hint="eastAsia"/>
          <w:sz w:val="24"/>
        </w:rPr>
        <w:t>金茂·岳茂苑</w:t>
      </w:r>
      <w:r>
        <w:rPr>
          <w:sz w:val="24"/>
        </w:rPr>
        <w:t>；</w:t>
      </w:r>
    </w:p>
    <w:p>
      <w:pPr>
        <w:spacing w:line="360" w:lineRule="auto"/>
        <w:ind w:firstLine="480" w:firstLineChars="200"/>
        <w:rPr>
          <w:sz w:val="24"/>
        </w:rPr>
      </w:pPr>
      <w:r>
        <w:rPr>
          <w:sz w:val="24"/>
        </w:rPr>
        <w:t>建设单位：</w:t>
      </w:r>
      <w:r>
        <w:rPr>
          <w:rFonts w:hint="eastAsia"/>
          <w:sz w:val="24"/>
        </w:rPr>
        <w:t>岳阳和茂置业有限公司</w:t>
      </w:r>
      <w:r>
        <w:rPr>
          <w:sz w:val="24"/>
        </w:rPr>
        <w:t>；</w:t>
      </w:r>
    </w:p>
    <w:p>
      <w:pPr>
        <w:spacing w:line="360" w:lineRule="auto"/>
        <w:ind w:firstLine="480" w:firstLineChars="200"/>
        <w:rPr>
          <w:sz w:val="24"/>
          <w:u w:val="single"/>
        </w:rPr>
      </w:pPr>
      <w:r>
        <w:rPr>
          <w:sz w:val="24"/>
        </w:rPr>
        <w:t>建设地点：</w:t>
      </w:r>
      <w:r>
        <w:rPr>
          <w:rFonts w:hint="eastAsia"/>
          <w:sz w:val="24"/>
        </w:rPr>
        <w:t>湖南岳阳市岳阳楼区沿湖大道与九华山交界处</w:t>
      </w:r>
      <w:r>
        <w:rPr>
          <w:sz w:val="24"/>
        </w:rPr>
        <w:t>；</w:t>
      </w:r>
    </w:p>
    <w:p>
      <w:pPr>
        <w:spacing w:line="360" w:lineRule="auto"/>
        <w:ind w:firstLine="480" w:firstLineChars="200"/>
        <w:rPr>
          <w:sz w:val="24"/>
        </w:rPr>
      </w:pPr>
      <w:r>
        <w:rPr>
          <w:sz w:val="24"/>
        </w:rPr>
        <w:t>总投资：</w:t>
      </w:r>
      <w:r>
        <w:rPr>
          <w:rFonts w:hint="eastAsia"/>
          <w:sz w:val="24"/>
        </w:rPr>
        <w:t>110000</w:t>
      </w:r>
      <w:r>
        <w:rPr>
          <w:sz w:val="24"/>
        </w:rPr>
        <w:t>万元</w:t>
      </w:r>
      <w:r>
        <w:rPr>
          <w:rFonts w:hint="eastAsia"/>
          <w:sz w:val="24"/>
          <w:lang w:eastAsia="zh-CN"/>
        </w:rPr>
        <w:t>，其中环保投资</w:t>
      </w:r>
      <w:r>
        <w:rPr>
          <w:rFonts w:hint="eastAsia"/>
          <w:sz w:val="24"/>
          <w:lang w:val="en-US" w:eastAsia="zh-CN"/>
        </w:rPr>
        <w:t>703万元，占总投资的</w:t>
      </w:r>
      <w:r>
        <w:rPr>
          <w:sz w:val="24"/>
        </w:rPr>
        <w:t>0.64</w:t>
      </w:r>
      <w:r>
        <w:rPr>
          <w:rFonts w:hint="eastAsia"/>
          <w:sz w:val="24"/>
          <w:lang w:val="en-US" w:eastAsia="zh-CN"/>
        </w:rPr>
        <w:t>%</w:t>
      </w:r>
      <w:r>
        <w:rPr>
          <w:rFonts w:hint="eastAsia"/>
          <w:sz w:val="24"/>
        </w:rPr>
        <w:t>；</w:t>
      </w:r>
    </w:p>
    <w:p>
      <w:pPr>
        <w:spacing w:line="360" w:lineRule="auto"/>
        <w:ind w:firstLine="480" w:firstLineChars="200"/>
        <w:rPr>
          <w:sz w:val="24"/>
        </w:rPr>
      </w:pPr>
      <w:r>
        <w:rPr>
          <w:sz w:val="24"/>
        </w:rPr>
        <w:t>项目性质：</w:t>
      </w:r>
      <w:r>
        <w:rPr>
          <w:rFonts w:hint="eastAsia"/>
          <w:sz w:val="24"/>
        </w:rPr>
        <w:t>新建；</w:t>
      </w:r>
    </w:p>
    <w:p>
      <w:pPr>
        <w:spacing w:line="360" w:lineRule="auto"/>
        <w:ind w:firstLine="480" w:firstLineChars="200"/>
        <w:rPr>
          <w:sz w:val="24"/>
        </w:rPr>
      </w:pPr>
      <w:r>
        <w:rPr>
          <w:rFonts w:hint="eastAsia"/>
          <w:sz w:val="24"/>
        </w:rPr>
        <w:t>施工期：项目实施期估算为60个月；</w:t>
      </w:r>
    </w:p>
    <w:p>
      <w:pPr>
        <w:spacing w:line="360" w:lineRule="auto"/>
        <w:ind w:firstLine="480" w:firstLineChars="200"/>
        <w:rPr>
          <w:sz w:val="24"/>
        </w:rPr>
      </w:pPr>
      <w:r>
        <w:rPr>
          <w:rFonts w:hint="eastAsia"/>
          <w:sz w:val="24"/>
        </w:rPr>
        <w:t>主要建设内容：详见《建设项目环境影响报告表》中“二、建设内容”，此处不再赘述。</w:t>
      </w:r>
    </w:p>
    <w:p>
      <w:pPr>
        <w:pStyle w:val="5"/>
        <w:rPr>
          <w:rFonts w:ascii="Times New Roman" w:hAnsi="Times New Roman"/>
        </w:rPr>
      </w:pPr>
      <w:r>
        <w:rPr>
          <w:rFonts w:ascii="Times New Roman" w:hAnsi="Times New Roman"/>
        </w:rPr>
        <w:t>2.2 施工方案</w:t>
      </w:r>
    </w:p>
    <w:p>
      <w:pPr>
        <w:spacing w:line="360" w:lineRule="auto"/>
        <w:ind w:firstLine="480" w:firstLineChars="200"/>
        <w:rPr>
          <w:color w:val="FF0000"/>
          <w:sz w:val="24"/>
        </w:rPr>
      </w:pPr>
      <w:r>
        <w:rPr>
          <w:rFonts w:hint="eastAsia"/>
          <w:sz w:val="24"/>
        </w:rPr>
        <w:t>本项目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rPr>
        <w:t>04#地块未建成，正处于土方开挖阶段，</w:t>
      </w:r>
      <w:r>
        <w:rPr>
          <w:rFonts w:hint="eastAsia"/>
          <w:sz w:val="24"/>
          <w:lang w:eastAsia="zh-CN"/>
        </w:rPr>
        <w:t>本</w:t>
      </w:r>
      <w:r>
        <w:rPr>
          <w:rFonts w:hint="eastAsia"/>
          <w:sz w:val="24"/>
        </w:rPr>
        <w:t>项目施工计划施工人员为</w:t>
      </w:r>
      <w:r>
        <w:rPr>
          <w:rFonts w:hint="eastAsia"/>
          <w:sz w:val="24"/>
          <w:lang w:val="en-US" w:eastAsia="zh-CN"/>
        </w:rPr>
        <w:t>100</w:t>
      </w:r>
      <w:r>
        <w:rPr>
          <w:rFonts w:hint="eastAsia"/>
          <w:sz w:val="24"/>
        </w:rPr>
        <w:t>人，按照实地现场调查情况和项目区周边道路现状，</w:t>
      </w:r>
      <w:r>
        <w:rPr>
          <w:rFonts w:hint="eastAsia"/>
          <w:sz w:val="24"/>
          <w:lang w:val="en-US" w:eastAsia="zh-CN"/>
        </w:rPr>
        <w:t>02#地块</w:t>
      </w:r>
      <w:r>
        <w:rPr>
          <w:rFonts w:hint="eastAsia"/>
          <w:sz w:val="24"/>
          <w:lang w:eastAsia="zh-CN"/>
        </w:rPr>
        <w:t>施工</w:t>
      </w:r>
      <w:r>
        <w:rPr>
          <w:rFonts w:hint="eastAsia"/>
          <w:sz w:val="24"/>
        </w:rPr>
        <w:t>进场道路由</w:t>
      </w:r>
      <w:r>
        <w:rPr>
          <w:rFonts w:hint="eastAsia"/>
          <w:sz w:val="24"/>
          <w:lang w:eastAsia="zh-CN"/>
        </w:rPr>
        <w:t>开发中路进入，</w:t>
      </w:r>
      <w:r>
        <w:rPr>
          <w:rFonts w:hint="eastAsia"/>
          <w:sz w:val="24"/>
          <w:lang w:val="en-US" w:eastAsia="zh-CN"/>
        </w:rPr>
        <w:t>03#、04#地块施工进场道路由</w:t>
      </w:r>
      <w:r>
        <w:rPr>
          <w:rFonts w:hint="eastAsia"/>
          <w:sz w:val="24"/>
        </w:rPr>
        <w:t>得胜北路进入，区域内交通便利，满足项目的施工要求，不另设进场施工道路（按项目</w:t>
      </w:r>
      <w:r>
        <w:rPr>
          <w:rFonts w:hint="eastAsia"/>
          <w:sz w:val="24"/>
          <w:lang w:eastAsia="zh-CN"/>
        </w:rPr>
        <w:t>北侧开发中路、</w:t>
      </w:r>
      <w:r>
        <w:rPr>
          <w:rFonts w:hint="eastAsia"/>
          <w:sz w:val="24"/>
        </w:rPr>
        <w:t>东侧的得胜北路为依托进场）。</w:t>
      </w:r>
    </w:p>
    <w:p>
      <w:pPr>
        <w:spacing w:line="360" w:lineRule="auto"/>
        <w:ind w:firstLine="480" w:firstLineChars="200"/>
        <w:rPr>
          <w:rStyle w:val="29"/>
        </w:rPr>
      </w:pPr>
      <w:r>
        <w:rPr>
          <w:rStyle w:val="29"/>
          <w:rFonts w:hint="eastAsia"/>
        </w:rPr>
        <w:t>根据主体工程设计资料、施工方案及项目水土保持方案资料和实地现场情况来看，本项目施工过程中，施工生产区域布置在项目区主体工程占地范围内，施工人员生活营地在距项目东侧600m的位置。</w:t>
      </w:r>
    </w:p>
    <w:p>
      <w:pPr>
        <w:pStyle w:val="2"/>
        <w:ind w:firstLine="480"/>
      </w:pPr>
      <w:r>
        <w:rPr>
          <w:rFonts w:hint="eastAsia"/>
        </w:rPr>
        <w:t>施工方案：进行场地平整、土方开挖→打桩→土方开挖→垫层→防水→基础钢筋、混凝土→楼面→屋面→砌墙→水电安装→门窗安装→内外墙装饰→外地坪、园林景观、围墙→验收；施工期产生的弃土由建设单位委托市政渣土运输公司外运处项目区，纳入市政工程项目土方平衡整理进行调配。土石方运输过程中做好临时防护措施，防治土石方的洒落，防治责任由建设单位和运输公司负责。</w:t>
      </w:r>
    </w:p>
    <w:p>
      <w:pPr>
        <w:pStyle w:val="5"/>
        <w:rPr>
          <w:rFonts w:ascii="Times New Roman" w:hAnsi="Times New Roman"/>
        </w:rPr>
      </w:pPr>
      <w:r>
        <w:rPr>
          <w:rFonts w:ascii="Times New Roman" w:hAnsi="Times New Roman"/>
        </w:rPr>
        <w:t>2.3 影响概况</w:t>
      </w:r>
    </w:p>
    <w:p>
      <w:pPr>
        <w:spacing w:line="360" w:lineRule="auto"/>
        <w:ind w:firstLine="480" w:firstLineChars="200"/>
        <w:rPr>
          <w:sz w:val="24"/>
        </w:rPr>
      </w:pPr>
      <w:r>
        <w:rPr>
          <w:sz w:val="24"/>
        </w:rPr>
        <w:t>项目施工期</w:t>
      </w:r>
      <w:r>
        <w:rPr>
          <w:rFonts w:hint="eastAsia"/>
          <w:sz w:val="24"/>
        </w:rPr>
        <w:t>造成的环境影响主要有生态、废气、废水、噪声和固体废物。其中</w:t>
      </w:r>
      <w:r>
        <w:rPr>
          <w:sz w:val="24"/>
        </w:rPr>
        <w:t>对</w:t>
      </w:r>
      <w:r>
        <w:rPr>
          <w:rFonts w:hint="eastAsia"/>
          <w:sz w:val="24"/>
        </w:rPr>
        <w:t>生态造成的影响，主要是施工期间占地会对地表植被造成破坏，还会对工程区内的少量两栖爬行动物造成伤害。项目施工完成后，及时对项目区域进行绿化，可使地表植被在一定程度上恢复，施工期间加强对施工人员的约束，注意周边两栖爬行动物，一旦发现特殊、重点需要保护的鸟类、动物后，立即采取保护措施。</w:t>
      </w:r>
    </w:p>
    <w:p>
      <w:pPr>
        <w:spacing w:line="360" w:lineRule="auto"/>
        <w:ind w:firstLine="480" w:firstLineChars="200"/>
        <w:rPr>
          <w:sz w:val="24"/>
        </w:rPr>
      </w:pPr>
      <w:r>
        <w:rPr>
          <w:rFonts w:hint="eastAsia"/>
          <w:sz w:val="24"/>
        </w:rPr>
        <w:t>施工期对</w:t>
      </w:r>
      <w:r>
        <w:rPr>
          <w:sz w:val="24"/>
        </w:rPr>
        <w:t>大气环境造成的影响，主要是施工扬尘</w:t>
      </w:r>
      <w:r>
        <w:rPr>
          <w:rFonts w:hint="eastAsia"/>
          <w:sz w:val="24"/>
        </w:rPr>
        <w:t>（包括建筑材料堆放、装卸过程</w:t>
      </w:r>
      <w:r>
        <w:rPr>
          <w:rFonts w:hint="eastAsia"/>
          <w:sz w:val="24"/>
          <w:lang w:eastAsia="zh-CN"/>
        </w:rPr>
        <w:t>、土方转运</w:t>
      </w:r>
      <w:r>
        <w:rPr>
          <w:rFonts w:hint="eastAsia"/>
          <w:sz w:val="24"/>
        </w:rPr>
        <w:t>和汽车运输过程产生的扬尘）</w:t>
      </w:r>
      <w:r>
        <w:rPr>
          <w:sz w:val="24"/>
        </w:rPr>
        <w:t>以及施工机械和运输车辆产生的机械尾气等。施工期产生的废水</w:t>
      </w:r>
      <w:r>
        <w:rPr>
          <w:rFonts w:hint="eastAsia"/>
          <w:sz w:val="24"/>
        </w:rPr>
        <w:t>主要为</w:t>
      </w:r>
      <w:r>
        <w:rPr>
          <w:sz w:val="24"/>
        </w:rPr>
        <w:t>施工人员的生活污水和</w:t>
      </w:r>
      <w:r>
        <w:rPr>
          <w:rFonts w:hint="eastAsia"/>
          <w:sz w:val="24"/>
        </w:rPr>
        <w:t>施工场地产生的</w:t>
      </w:r>
      <w:r>
        <w:rPr>
          <w:sz w:val="24"/>
        </w:rPr>
        <w:t>施工废水</w:t>
      </w:r>
      <w:r>
        <w:rPr>
          <w:rFonts w:hint="eastAsia"/>
          <w:sz w:val="24"/>
        </w:rPr>
        <w:t>。</w:t>
      </w:r>
      <w:r>
        <w:rPr>
          <w:sz w:val="24"/>
        </w:rPr>
        <w:t>施工废水主要为进出施工场地的运输车辆和工具</w:t>
      </w:r>
      <w:r>
        <w:rPr>
          <w:rFonts w:hint="eastAsia"/>
          <w:sz w:val="24"/>
        </w:rPr>
        <w:t>清洗</w:t>
      </w:r>
      <w:r>
        <w:rPr>
          <w:sz w:val="24"/>
        </w:rPr>
        <w:t>水</w:t>
      </w:r>
      <w:r>
        <w:rPr>
          <w:rFonts w:hint="eastAsia"/>
          <w:sz w:val="24"/>
        </w:rPr>
        <w:t>、建筑施工废水</w:t>
      </w:r>
      <w:r>
        <w:rPr>
          <w:sz w:val="24"/>
        </w:rPr>
        <w:t>，以及雨水冲刷</w:t>
      </w:r>
      <w:r>
        <w:rPr>
          <w:rFonts w:hint="eastAsia"/>
          <w:sz w:val="24"/>
        </w:rPr>
        <w:t>新增用地区域</w:t>
      </w:r>
      <w:r>
        <w:rPr>
          <w:sz w:val="24"/>
        </w:rPr>
        <w:t>施工场地内裸露表土产生的含泥沙废水。</w:t>
      </w:r>
      <w:r>
        <w:rPr>
          <w:rFonts w:hint="eastAsia"/>
          <w:sz w:val="24"/>
        </w:rPr>
        <w:t>在进出场区道路前设置临时洗车冲洗平台，平台配置隔油沉淀池，施工期洗车废水、施工废水经临时隔油沉淀池处理后回用于场区内洒水和车辆冲洗；施工人员</w:t>
      </w:r>
      <w:r>
        <w:rPr>
          <w:sz w:val="24"/>
        </w:rPr>
        <w:t>生活污水</w:t>
      </w:r>
      <w:r>
        <w:rPr>
          <w:rFonts w:hint="eastAsia"/>
          <w:sz w:val="24"/>
        </w:rPr>
        <w:t>经临时化粪池预处理后排入市政污水管网。</w:t>
      </w:r>
    </w:p>
    <w:p>
      <w:pPr>
        <w:spacing w:line="360" w:lineRule="auto"/>
        <w:ind w:firstLine="480" w:firstLineChars="200"/>
        <w:rPr>
          <w:sz w:val="24"/>
        </w:rPr>
      </w:pPr>
      <w:r>
        <w:rPr>
          <w:rFonts w:hint="eastAsia"/>
          <w:sz w:val="24"/>
        </w:rPr>
        <w:t>施工期</w:t>
      </w:r>
      <w:r>
        <w:rPr>
          <w:sz w:val="24"/>
        </w:rPr>
        <w:t>噪声主要来自建筑施工、装修过程。施工期的噪声设备主要有挖掘机、铲土机、</w:t>
      </w:r>
      <w:r>
        <w:rPr>
          <w:rFonts w:hint="eastAsia"/>
          <w:sz w:val="24"/>
        </w:rPr>
        <w:t>运输</w:t>
      </w:r>
      <w:r>
        <w:rPr>
          <w:sz w:val="24"/>
        </w:rPr>
        <w:t>卡车、搅拌机、振捣机、起重机、电锯和压路机等，其噪声值在80～120dB(A)之间，可能对项目附近活动人员造成一定的影响。建设期间产生的噪声具有阶段性、临时性和不固定性。</w:t>
      </w:r>
    </w:p>
    <w:p>
      <w:pPr>
        <w:spacing w:line="360" w:lineRule="auto"/>
        <w:ind w:firstLine="480" w:firstLineChars="200"/>
      </w:pPr>
      <w:r>
        <w:rPr>
          <w:sz w:val="24"/>
        </w:rPr>
        <w:t>施工期产生的固体废物主要为施工人员产生的生活垃圾、</w:t>
      </w:r>
      <w:r>
        <w:rPr>
          <w:rFonts w:hint="eastAsia"/>
          <w:sz w:val="24"/>
        </w:rPr>
        <w:t>施工产生的建筑垃圾废料</w:t>
      </w:r>
      <w:r>
        <w:rPr>
          <w:sz w:val="24"/>
        </w:rPr>
        <w:t>等</w:t>
      </w:r>
      <w:r>
        <w:rPr>
          <w:rFonts w:hint="eastAsia"/>
          <w:sz w:val="24"/>
        </w:rPr>
        <w:t>。</w:t>
      </w:r>
      <w:r>
        <w:rPr>
          <w:sz w:val="24"/>
        </w:rPr>
        <w:t>项目施工过程中产生的生活垃圾经集中收集</w:t>
      </w:r>
      <w:r>
        <w:rPr>
          <w:rFonts w:hint="eastAsia"/>
          <w:sz w:val="24"/>
        </w:rPr>
        <w:t>后</w:t>
      </w:r>
      <w:r>
        <w:rPr>
          <w:sz w:val="24"/>
        </w:rPr>
        <w:t>由当地环卫部门统一负责清运处置。</w:t>
      </w:r>
      <w:r>
        <w:rPr>
          <w:sz w:val="24"/>
          <w:lang w:val="en-GB"/>
        </w:rPr>
        <w:t>施工</w:t>
      </w:r>
      <w:r>
        <w:rPr>
          <w:rFonts w:hint="eastAsia"/>
          <w:sz w:val="24"/>
        </w:rPr>
        <w:t>建筑垃圾废</w:t>
      </w:r>
      <w:r>
        <w:rPr>
          <w:sz w:val="24"/>
          <w:lang w:val="en-GB"/>
        </w:rPr>
        <w:t>料主要包括废油漆桶、废焊条、</w:t>
      </w:r>
      <w:r>
        <w:rPr>
          <w:sz w:val="24"/>
        </w:rPr>
        <w:t>施工过程中产生的废包装材料、废混凝土</w:t>
      </w:r>
      <w:r>
        <w:rPr>
          <w:rFonts w:hint="eastAsia"/>
          <w:sz w:val="24"/>
        </w:rPr>
        <w:t>，集后委托专业部门清运处置，不得随意丢弃外排。土石方工程阶段做好水保防护措施，运输土方车辆也做好临时防护措施，防止土石方暂存、运输过程造成的洒落污染区域环境。</w:t>
      </w:r>
    </w:p>
    <w:p>
      <w:pPr>
        <w:pStyle w:val="4"/>
      </w:pPr>
      <w:bookmarkStart w:id="222" w:name="_Toc496628852"/>
      <w:bookmarkStart w:id="223" w:name="_Toc5953847"/>
      <w:bookmarkStart w:id="224" w:name="_Toc496628780"/>
      <w:bookmarkStart w:id="225" w:name="_Toc4491191"/>
      <w:bookmarkStart w:id="226" w:name="_Toc499558159"/>
      <w:r>
        <w:t>3、生态现状调查</w:t>
      </w:r>
      <w:bookmarkEnd w:id="222"/>
      <w:bookmarkEnd w:id="223"/>
      <w:bookmarkEnd w:id="224"/>
      <w:bookmarkEnd w:id="225"/>
      <w:bookmarkEnd w:id="226"/>
    </w:p>
    <w:p>
      <w:pPr>
        <w:pStyle w:val="5"/>
        <w:rPr>
          <w:rFonts w:ascii="Times New Roman" w:hAnsi="Times New Roman"/>
        </w:rPr>
      </w:pPr>
      <w:bookmarkStart w:id="227" w:name="_Toc5953848"/>
      <w:bookmarkStart w:id="228" w:name="_Toc496628853"/>
      <w:bookmarkStart w:id="229" w:name="_Toc4491192"/>
      <w:bookmarkStart w:id="230" w:name="_Toc499558160"/>
      <w:bookmarkStart w:id="231" w:name="_Toc496628781"/>
      <w:r>
        <w:rPr>
          <w:rFonts w:ascii="Times New Roman" w:hAnsi="Times New Roman"/>
        </w:rPr>
        <w:t>3.1 生态功能定位</w:t>
      </w:r>
      <w:bookmarkEnd w:id="227"/>
      <w:bookmarkEnd w:id="228"/>
      <w:bookmarkEnd w:id="229"/>
      <w:bookmarkEnd w:id="230"/>
      <w:bookmarkEnd w:id="231"/>
    </w:p>
    <w:p>
      <w:pPr>
        <w:spacing w:line="360" w:lineRule="auto"/>
        <w:ind w:firstLine="480" w:firstLineChars="200"/>
        <w:rPr>
          <w:sz w:val="24"/>
        </w:rPr>
      </w:pPr>
      <w:r>
        <w:rPr>
          <w:rFonts w:hint="eastAsia"/>
          <w:sz w:val="24"/>
        </w:rPr>
        <w:t>根据《全国生态功能区划》（环境保护部公告2015年 第61号），湖南岳阳属于罗霄山脉水源涵养与生物多样性保护重要区和洞庭湖洪水调蓄与生物多样性保护重要区交汇处。</w:t>
      </w:r>
    </w:p>
    <w:p>
      <w:pPr>
        <w:spacing w:line="360" w:lineRule="auto"/>
        <w:ind w:firstLine="480" w:firstLineChars="200"/>
        <w:rPr>
          <w:sz w:val="24"/>
        </w:rPr>
      </w:pPr>
      <w:r>
        <w:rPr>
          <w:rFonts w:hint="eastAsia"/>
          <w:sz w:val="24"/>
        </w:rPr>
        <w:t>一、罗霄山脉水源涵养与生物多样性保护重要区位于湖南和江西的交界地区，包含2个功能区:九岭山山地水源涵养功能区、罗霄山山地水源涵养与生物多样性保护功能区，是湘江、赣江及北江部分水系的分水岭和发源地，行政区主要涉及江西省的九江、宜春、吉安、新余、萍乡，湖南省的岳阳、长沙、株洲、郴州，以及湖北省的咸宁、黄石，面积为54 442平方公里。该区气候温暖湿润，主要植被类型是常绿阔叶林，物种丰富，具有重要水源涵养与生物多样性保护功能。区内山地面积大，降雨丰富，水土流失敏感性高。</w:t>
      </w:r>
    </w:p>
    <w:p>
      <w:pPr>
        <w:spacing w:line="360" w:lineRule="auto"/>
        <w:ind w:firstLine="480" w:firstLineChars="200"/>
        <w:rPr>
          <w:sz w:val="24"/>
        </w:rPr>
      </w:pPr>
      <w:r>
        <w:rPr>
          <w:rFonts w:hint="eastAsia"/>
          <w:sz w:val="24"/>
        </w:rPr>
        <w:t>主要生态问题：天然森林植被破坏严重，次生林和人工林面积大，水源涵养和土壤保持功能退化，山洪灾害频发，矿产资源开发无序，局部地区工业污染蔓延速度加快。</w:t>
      </w:r>
    </w:p>
    <w:p>
      <w:pPr>
        <w:spacing w:line="360" w:lineRule="auto"/>
        <w:ind w:firstLine="480" w:firstLineChars="200"/>
        <w:rPr>
          <w:sz w:val="24"/>
        </w:rPr>
      </w:pPr>
      <w:r>
        <w:rPr>
          <w:rFonts w:hint="eastAsia"/>
          <w:sz w:val="24"/>
        </w:rPr>
        <w:t>生态保护主要措施：以饮用水源地、东江湖、以及赣江等重要河流源头为重点，保护恢复森林生态系统，加大水源涵养林保护力度，提高水源涵养能力。严格执行封山育林，禁止无序采矿、毁林开荒等行为。严禁在江河源头及上游生态环境敏感地区规划与建设污染企业。</w:t>
      </w:r>
    </w:p>
    <w:p>
      <w:pPr>
        <w:spacing w:line="360" w:lineRule="auto"/>
        <w:ind w:firstLine="480" w:firstLineChars="200"/>
        <w:rPr>
          <w:sz w:val="24"/>
        </w:rPr>
      </w:pPr>
      <w:r>
        <w:rPr>
          <w:rFonts w:hint="eastAsia"/>
          <w:sz w:val="24"/>
        </w:rPr>
        <w:t>二、洞庭湖洪水调蓄与生物多样性保护重要区位于湖南省北部的洞庭湖及其周围湿地分布区，行政区涉及湖南省岳阳、益阳、常德3个市，面积为5216平方公里。该区是长江中游的天然洪水调蓄库，对长江流域的生态安全具有十分重要的作用；同时还是我国重要的水产品生产区。此外，区域内洲滩及湿地植物发育，是迁徙鸟类重要的越冬地，对生物多样性保护具有重要意义。</w:t>
      </w:r>
    </w:p>
    <w:p>
      <w:pPr>
        <w:spacing w:line="360" w:lineRule="auto"/>
        <w:ind w:firstLine="480" w:firstLineChars="200"/>
        <w:rPr>
          <w:sz w:val="24"/>
        </w:rPr>
      </w:pPr>
      <w:r>
        <w:rPr>
          <w:rFonts w:hint="eastAsia"/>
          <w:sz w:val="24"/>
        </w:rPr>
        <w:t>主要生态问题：湖泊围垦和泥沙淤积导致湖泊面积和容积缩小，洪水调蓄能力降低；迁徙鸟类等重要物种的栖息地受到损害；随着洞庭湖流域经济发展与城市化，水环境质量面临威胁。此外，长江干流水利工程建设与运行，对洞庭湖湿地生态系统功能与生物多样性保护的影响初步显现。洪水调蓄能力降低；迁徙鸟类等重要物种的栖息地受到损害；随着洞庭湖流域经济发展与城市化，水环境质量面临威胁。此外，长江干流水利工程建设与运行，对洞庭湖湿地生态系统功能与生物多样性保护的影响初步显现。</w:t>
      </w:r>
    </w:p>
    <w:p>
      <w:pPr>
        <w:spacing w:line="360" w:lineRule="auto"/>
        <w:ind w:firstLine="480" w:firstLineChars="200"/>
        <w:rPr>
          <w:sz w:val="24"/>
        </w:rPr>
      </w:pPr>
      <w:r>
        <w:rPr>
          <w:rFonts w:hint="eastAsia"/>
          <w:sz w:val="24"/>
        </w:rPr>
        <w:t>生态保护主要措施：实行平垸行洪、退田还湖、移民建镇，扩大湖泊面积，提高其洪水调蓄的能力；以湿地生物多样性保护为核心，加强区内湿地自然保护区的建设与管理，处理好湿地生态保护与经济发展关系，保护渔业资源与水生生物多样性；控制点源和面源污染，加强江湖关系演变的监测和研究，实施长江干流水利工程的生态调度，保护与恢复洞庭湖生态系统结构与功能。</w:t>
      </w:r>
    </w:p>
    <w:p>
      <w:pPr>
        <w:pStyle w:val="5"/>
        <w:rPr>
          <w:rFonts w:ascii="Times New Roman" w:hAnsi="Times New Roman"/>
        </w:rPr>
      </w:pPr>
      <w:bookmarkStart w:id="232" w:name="_Toc5953849"/>
      <w:bookmarkStart w:id="233" w:name="_Toc496628854"/>
      <w:bookmarkStart w:id="234" w:name="_Toc4491193"/>
      <w:bookmarkStart w:id="235" w:name="_Toc499558161"/>
      <w:bookmarkStart w:id="236" w:name="_Toc496628782"/>
      <w:bookmarkStart w:id="237" w:name="_Toc437896847"/>
      <w:r>
        <w:rPr>
          <w:rFonts w:ascii="Times New Roman" w:hAnsi="Times New Roman"/>
        </w:rPr>
        <w:t>3.2生态现状调查</w:t>
      </w:r>
      <w:bookmarkEnd w:id="232"/>
      <w:bookmarkEnd w:id="233"/>
      <w:bookmarkEnd w:id="234"/>
      <w:bookmarkEnd w:id="235"/>
      <w:bookmarkEnd w:id="236"/>
      <w:bookmarkEnd w:id="237"/>
    </w:p>
    <w:p>
      <w:pPr>
        <w:pStyle w:val="6"/>
        <w:rPr>
          <w:rFonts w:ascii="Times New Roman" w:hAnsi="Times New Roman"/>
        </w:rPr>
      </w:pPr>
      <w:bookmarkStart w:id="238" w:name="_Toc496628783"/>
      <w:r>
        <w:rPr>
          <w:rFonts w:ascii="Times New Roman" w:hAnsi="Times New Roman"/>
        </w:rPr>
        <w:t>3.2.1 调查</w:t>
      </w:r>
      <w:bookmarkEnd w:id="238"/>
      <w:r>
        <w:rPr>
          <w:rFonts w:ascii="Times New Roman" w:hAnsi="Times New Roman"/>
        </w:rPr>
        <w:t>内容</w:t>
      </w:r>
    </w:p>
    <w:p>
      <w:pPr>
        <w:tabs>
          <w:tab w:val="left" w:pos="2350"/>
        </w:tabs>
        <w:spacing w:line="360" w:lineRule="auto"/>
        <w:ind w:firstLine="480"/>
        <w:rPr>
          <w:sz w:val="24"/>
        </w:rPr>
      </w:pPr>
      <w:r>
        <w:rPr>
          <w:rFonts w:hint="eastAsia"/>
          <w:sz w:val="24"/>
        </w:rPr>
        <w:t>本次评价按照生态评价导则要求，按照本项目生态影响评价范围内特点，调查影响区域内涉及岳阳楼风景区的生态系统类型、结构、功能和过程，以及相关的非生物因子特征，重点调查受保护的珍稀濒危物种、关键种、土著种、建群种和特有种，天然的重要经济物种等。同时调查影响区域内已经存在的制约本区域可持续发展的主要生态问题。</w:t>
      </w:r>
    </w:p>
    <w:p>
      <w:pPr>
        <w:pStyle w:val="6"/>
        <w:rPr>
          <w:rFonts w:ascii="Times New Roman" w:hAnsi="Times New Roman"/>
        </w:rPr>
      </w:pPr>
      <w:r>
        <w:rPr>
          <w:rFonts w:ascii="Times New Roman" w:hAnsi="Times New Roman"/>
        </w:rPr>
        <w:t>3.2.2 调查方法</w:t>
      </w:r>
    </w:p>
    <w:p>
      <w:pPr>
        <w:tabs>
          <w:tab w:val="left" w:pos="2350"/>
        </w:tabs>
        <w:spacing w:line="360" w:lineRule="auto"/>
        <w:ind w:firstLine="480"/>
        <w:rPr>
          <w:sz w:val="24"/>
        </w:rPr>
      </w:pPr>
      <w:r>
        <w:rPr>
          <w:rFonts w:hint="eastAsia"/>
          <w:sz w:val="24"/>
        </w:rPr>
        <w:t>本次生态环境影响评价等级为三级，项目建设内容为非工业型项目，生态现状调查资料可充分借鉴已有资料进行说明。岳阳楼景区现状生态调查主要采用查阅收集相关地方规划基础资料汇编内容开展。</w:t>
      </w:r>
    </w:p>
    <w:p>
      <w:pPr>
        <w:pStyle w:val="6"/>
        <w:rPr>
          <w:rFonts w:ascii="Times New Roman" w:hAnsi="Times New Roman"/>
        </w:rPr>
      </w:pPr>
      <w:bookmarkStart w:id="239" w:name="_Toc496628784"/>
      <w:r>
        <w:rPr>
          <w:rFonts w:ascii="Times New Roman" w:hAnsi="Times New Roman"/>
        </w:rPr>
        <w:t>3.2.3 生态系统现状调查</w:t>
      </w:r>
      <w:bookmarkEnd w:id="239"/>
    </w:p>
    <w:p>
      <w:pPr>
        <w:tabs>
          <w:tab w:val="left" w:pos="2350"/>
        </w:tabs>
        <w:spacing w:line="360" w:lineRule="auto"/>
        <w:ind w:firstLine="480"/>
        <w:rPr>
          <w:sz w:val="24"/>
        </w:rPr>
      </w:pPr>
      <w:r>
        <w:rPr>
          <w:rFonts w:hint="eastAsia"/>
          <w:sz w:val="24"/>
        </w:rPr>
        <w:t>根据</w:t>
      </w:r>
      <w:r>
        <w:rPr>
          <w:rFonts w:hint="eastAsia" w:ascii="宋体" w:hAnsi="宋体" w:cs="宋体"/>
          <w:sz w:val="24"/>
        </w:rPr>
        <w:t>《岳阳市城市总体</w:t>
      </w:r>
      <w:r>
        <w:rPr>
          <w:sz w:val="24"/>
        </w:rPr>
        <w:t>规划（2008-2030）</w:t>
      </w:r>
      <w:r>
        <w:rPr>
          <w:rFonts w:hint="eastAsia" w:ascii="宋体" w:hAnsi="宋体" w:cs="宋体"/>
          <w:sz w:val="24"/>
        </w:rPr>
        <w:t>》</w:t>
      </w:r>
      <w:r>
        <w:rPr>
          <w:rFonts w:hint="eastAsia"/>
          <w:sz w:val="24"/>
        </w:rPr>
        <w:t>，项目生态环境评价区处于得胜北路西侧，属于城市区域，目前主要为城市生态系统。在岳阳楼景区规划中属于</w:t>
      </w:r>
      <w:r>
        <w:rPr>
          <w:rFonts w:hint="eastAsia" w:ascii="宋体" w:hAnsi="宋体"/>
          <w:sz w:val="24"/>
        </w:rPr>
        <w:t>历史文化风貌协调区，现状工业、居住用地混杂，建筑密集，交通梗塞，生活环境差，居住人口密度大，风貌规划要求在旧城改造更新中（包括风貌整治区和新建区内）应保护、挖掘、整理该地带的传统元素，在城市的街巷格局、空间形态、建筑园林等方面彰显传统风格，使该地带景观风貌与岳阳楼景区和历史文化街区取得很好的协调统一。</w:t>
      </w:r>
    </w:p>
    <w:p>
      <w:pPr>
        <w:tabs>
          <w:tab w:val="left" w:pos="2350"/>
        </w:tabs>
        <w:spacing w:line="360" w:lineRule="auto"/>
        <w:ind w:firstLine="480"/>
        <w:rPr>
          <w:sz w:val="24"/>
        </w:rPr>
      </w:pPr>
      <w:r>
        <w:rPr>
          <w:rFonts w:hint="eastAsia"/>
          <w:sz w:val="24"/>
        </w:rPr>
        <w:t>生态评价区域主要土壤为红壤、黄红壤和潮土，属酸性和微酸性土壤，极少中性土和微碱性土，有利于植物的生长。土壤成分主要为土母岩、砂岩和第四纪红色粘土，河湖冲积物以及少量石灰岩等。土壤以第四纪红壤为主。红壤土红色粘土层深厚，剖面发育完整，网纹状较发达，多为棱块状结构，具有酸、粘、瘦等特点，红壤抗蚀性一般较弱，遇水易崩解、悬移。</w:t>
      </w:r>
    </w:p>
    <w:p>
      <w:pPr>
        <w:pStyle w:val="6"/>
        <w:rPr>
          <w:rFonts w:ascii="Times New Roman" w:hAnsi="Times New Roman"/>
        </w:rPr>
      </w:pPr>
      <w:bookmarkStart w:id="240" w:name="_Toc23766"/>
      <w:bookmarkStart w:id="241" w:name="_Toc6003"/>
      <w:bookmarkStart w:id="242" w:name="_Toc18179"/>
      <w:r>
        <w:rPr>
          <w:rFonts w:ascii="Times New Roman" w:hAnsi="Times New Roman"/>
        </w:rPr>
        <w:t>3.2.4植物物种多样性调查</w:t>
      </w:r>
      <w:bookmarkEnd w:id="240"/>
      <w:bookmarkEnd w:id="241"/>
      <w:bookmarkEnd w:id="242"/>
    </w:p>
    <w:p>
      <w:pPr>
        <w:tabs>
          <w:tab w:val="left" w:pos="2350"/>
        </w:tabs>
        <w:spacing w:line="360" w:lineRule="auto"/>
        <w:ind w:firstLine="480"/>
        <w:rPr>
          <w:sz w:val="24"/>
        </w:rPr>
      </w:pPr>
      <w:r>
        <w:rPr>
          <w:rFonts w:hint="eastAsia"/>
          <w:sz w:val="24"/>
        </w:rPr>
        <w:t>根据查阅资料，岳阳楼景区地处湘北植被区的东半部，西侧属洞庭湖平原及湖泊植被小区一部分，东部为环湖低丘、岗地植被小区幕阜山余脉植被片。在湖南植被区划中属中亚热带典型常绿阔叶林北部植被亚地带湘北植被区的一部分，其森林生态和湿地生态具有明显的地域性特征。森林植物据1984年树木普查，木本植物共有95科345属1118种，其中乡土树种898种，引进树种220种；其中乔木551种，灌木和木质藤本541种，竹类26种。水生植物有40科75属131种，优势种群有芦、荻、莲藕、菱角、茭白、芡实、荸荠、席草等18种。</w:t>
      </w:r>
    </w:p>
    <w:p>
      <w:pPr>
        <w:tabs>
          <w:tab w:val="left" w:pos="2350"/>
        </w:tabs>
        <w:spacing w:line="360" w:lineRule="auto"/>
        <w:ind w:firstLine="480"/>
        <w:rPr>
          <w:sz w:val="24"/>
        </w:rPr>
      </w:pPr>
      <w:r>
        <w:rPr>
          <w:rFonts w:hint="eastAsia"/>
          <w:sz w:val="24"/>
        </w:rPr>
        <w:t>风景区内已记录到维管束植物159科1186种，其中：被子植物135科1129种，裸子植物5科25种；厥类植物19科32种。古生代或中生代遗留下来的残存种有南方红豆杉、银杏、芒箕、石松等，中国特有种有银杏、苦槠、马尾松、小叶朴、杉、喜树等。列入中国重点保护的植物有一级 3种，二级31种。</w:t>
      </w:r>
    </w:p>
    <w:p>
      <w:pPr>
        <w:spacing w:line="360" w:lineRule="auto"/>
        <w:ind w:firstLine="480" w:firstLineChars="200"/>
        <w:rPr>
          <w:sz w:val="24"/>
        </w:rPr>
      </w:pPr>
      <w:r>
        <w:rPr>
          <w:rFonts w:hint="eastAsia"/>
          <w:sz w:val="24"/>
        </w:rPr>
        <w:t>植被类型复杂，有9个植被62个群系，展示了植物多样性保护研究的巨大价值和潜力。主要森林植被类型有：常绿阔叶林、常绿落叶阔叶混交林、针叶林、毛竹林。常见常绿阔叶树有苦槠、青冈栎、石栎、香樟、冬青等；落叶树有枫香、黄檀、白栎等；下木有白继木、映山红、乌饭树、金樱子等。常见常绿落叶阔叶混交林的乔木层有椤木、香樟、冬青、檫木、小叶青冈、白栎、麻栎、栓皮栎等；灌木层有盐肤木、映山红、荆条等。常见针叶林间以天然马尾松林为主，常混有青冈栎、枫香、冬青等阔叶树种；林下灌木层有油茶、映山红、小果蔷薇、中华绣线菊等。常见毛竹林以毛竹纯林为主，常混有少量栎类、榆类等伴生树种。</w:t>
      </w:r>
    </w:p>
    <w:p>
      <w:pPr>
        <w:pStyle w:val="6"/>
        <w:rPr>
          <w:rFonts w:ascii="Times New Roman" w:hAnsi="Times New Roman"/>
        </w:rPr>
      </w:pPr>
      <w:r>
        <w:rPr>
          <w:rFonts w:ascii="Times New Roman" w:hAnsi="Times New Roman"/>
        </w:rPr>
        <w:t>3.2.5动物物种多样性调查</w:t>
      </w:r>
    </w:p>
    <w:p>
      <w:pPr>
        <w:spacing w:line="360" w:lineRule="auto"/>
        <w:ind w:firstLine="480" w:firstLineChars="200"/>
        <w:rPr>
          <w:sz w:val="24"/>
        </w:rPr>
      </w:pPr>
      <w:r>
        <w:rPr>
          <w:rFonts w:hint="eastAsia"/>
          <w:sz w:val="24"/>
        </w:rPr>
        <w:t>根据岳阳楼—洞庭湖风景区规划基础资料汇编内容的统计资料。风景区记录到鱼类共有11目23科70属116种，以鲤科为主，经济价值较大的有青、草、鲢、鳙、鳊、鲫等20余种。珍贵鱼类有中华鲟、鲥鱼、银鱼、鳗鲡等，特种水产有乌龟、甲鱼、江豚、金龟、河蟹等。软体动物有三角帆蚌、褶纹冠蚌等。甲壳动物有蟹类、虾类等。水禽繁多，以野鸭为主。水兽有水獭、水貂等。</w:t>
      </w:r>
    </w:p>
    <w:p>
      <w:pPr>
        <w:spacing w:line="360" w:lineRule="auto"/>
        <w:ind w:firstLine="480" w:firstLineChars="200"/>
        <w:rPr>
          <w:sz w:val="24"/>
        </w:rPr>
      </w:pPr>
      <w:r>
        <w:rPr>
          <w:rFonts w:hint="eastAsia"/>
          <w:bCs/>
          <w:sz w:val="24"/>
        </w:rPr>
        <w:t>扇形动物和腔肠动物</w:t>
      </w:r>
      <w:r>
        <w:rPr>
          <w:rFonts w:hint="eastAsia"/>
          <w:sz w:val="24"/>
        </w:rPr>
        <w:t>有常见的有蜗虫、日本血吸虫、猪肉绦虫、水螅等，多为人畜的寄生虫，危害甚大。</w:t>
      </w:r>
      <w:r>
        <w:rPr>
          <w:rFonts w:hint="eastAsia"/>
          <w:bCs/>
          <w:sz w:val="24"/>
        </w:rPr>
        <w:t>环节动物和线形动物</w:t>
      </w:r>
      <w:r>
        <w:rPr>
          <w:rFonts w:hint="eastAsia"/>
          <w:sz w:val="24"/>
        </w:rPr>
        <w:t>有常见的有蚯蚓、蚂蟥、蛔虫、钩虫，除蚯蚓外都是害虫。</w:t>
      </w:r>
      <w:r>
        <w:rPr>
          <w:rFonts w:hint="eastAsia"/>
          <w:bCs/>
          <w:sz w:val="24"/>
        </w:rPr>
        <w:t>软体动物（贝类除外）</w:t>
      </w:r>
      <w:r>
        <w:rPr>
          <w:rFonts w:hint="eastAsia"/>
          <w:sz w:val="24"/>
        </w:rPr>
        <w:t>有蜗牛、蛞蝓，系农作物害虫。</w:t>
      </w:r>
      <w:r>
        <w:rPr>
          <w:rFonts w:hint="eastAsia"/>
          <w:bCs/>
          <w:sz w:val="24"/>
        </w:rPr>
        <w:t>贝类</w:t>
      </w:r>
      <w:r>
        <w:rPr>
          <w:rFonts w:hint="eastAsia"/>
          <w:sz w:val="24"/>
        </w:rPr>
        <w:t>有中国圆田螺、钉螺和其他湖螺等；扭蚌、圆头巨蚌、球形无齿蚌等。</w:t>
      </w:r>
      <w:r>
        <w:rPr>
          <w:rFonts w:hint="eastAsia"/>
          <w:bCs/>
          <w:sz w:val="24"/>
        </w:rPr>
        <w:t>虾、蟹类</w:t>
      </w:r>
      <w:r>
        <w:rPr>
          <w:rFonts w:hint="eastAsia"/>
          <w:sz w:val="24"/>
        </w:rPr>
        <w:t>常见的有粗糙沼虾、秀体白虾、细足米虾、日本沼虾、青虾、岩虾；螃蟹、中华绒鳌蟹等。</w:t>
      </w:r>
      <w:r>
        <w:rPr>
          <w:rFonts w:hint="eastAsia"/>
          <w:bCs/>
          <w:sz w:val="24"/>
        </w:rPr>
        <w:t>昆虫类</w:t>
      </w:r>
      <w:r>
        <w:rPr>
          <w:rFonts w:hint="eastAsia"/>
          <w:sz w:val="24"/>
        </w:rPr>
        <w:t>种类很多，或生于水，或生于陆，或水陆两栖，约千余种。有的尚不知其名称、生活规律、习性、作用，已知的常见昆虫近200种，其中害虫多，益虫少。</w:t>
      </w:r>
    </w:p>
    <w:p>
      <w:pPr>
        <w:spacing w:line="360" w:lineRule="auto"/>
        <w:ind w:firstLine="480"/>
        <w:rPr>
          <w:sz w:val="24"/>
        </w:rPr>
      </w:pPr>
      <w:r>
        <w:rPr>
          <w:rFonts w:hint="eastAsia"/>
          <w:sz w:val="24"/>
        </w:rPr>
        <w:t>根据初步现场调查，项目所在区受人类影响，存在的野生动物较少，主要为分布有两栖蛙类，还有少部分林鸟、蜻蜓等昆虫类出现。</w:t>
      </w:r>
    </w:p>
    <w:p>
      <w:pPr>
        <w:pStyle w:val="5"/>
        <w:rPr>
          <w:rFonts w:ascii="Times New Roman" w:hAnsi="Times New Roman"/>
        </w:rPr>
      </w:pPr>
      <w:bookmarkStart w:id="243" w:name="_Toc500854730"/>
      <w:bookmarkStart w:id="244" w:name="_Toc499280424"/>
      <w:bookmarkStart w:id="245" w:name="_Toc4491195"/>
      <w:bookmarkStart w:id="246" w:name="_Toc5953851"/>
      <w:bookmarkStart w:id="247" w:name="_Toc496628790"/>
      <w:r>
        <w:rPr>
          <w:rFonts w:ascii="Times New Roman" w:hAnsi="Times New Roman"/>
        </w:rPr>
        <w:t>3.3 土地利用调查</w:t>
      </w:r>
      <w:bookmarkEnd w:id="243"/>
      <w:bookmarkEnd w:id="244"/>
      <w:bookmarkEnd w:id="245"/>
      <w:bookmarkEnd w:id="246"/>
      <w:bookmarkEnd w:id="247"/>
    </w:p>
    <w:p>
      <w:pPr>
        <w:spacing w:line="360" w:lineRule="auto"/>
        <w:ind w:firstLine="480" w:firstLineChars="200"/>
        <w:rPr>
          <w:sz w:val="24"/>
        </w:rPr>
      </w:pPr>
      <w:r>
        <w:rPr>
          <w:rFonts w:hint="eastAsia"/>
          <w:sz w:val="24"/>
        </w:rPr>
        <w:t>岳阳楼景区用地规划以《风景名胜区规划规范》为根据，结合景区规划分为风景游赏用地（甲）、游览设施用地（乙）、居民社会用地（丙）、交通与工程用地（丁）、林地（戊）、园地（己）、水域（壬）、滞留用地（癸），共八类，详细规划用地指标见表3.3-1。</w:t>
      </w:r>
    </w:p>
    <w:p>
      <w:pPr>
        <w:spacing w:line="360" w:lineRule="auto"/>
        <w:jc w:val="center"/>
        <w:rPr>
          <w:b/>
          <w:szCs w:val="21"/>
        </w:rPr>
      </w:pPr>
      <w:r>
        <w:rPr>
          <w:rFonts w:hint="eastAsia"/>
          <w:b/>
          <w:szCs w:val="21"/>
        </w:rPr>
        <w:t>表3.3-1景区规划用地平衡表</w:t>
      </w:r>
    </w:p>
    <w:tbl>
      <w:tblPr>
        <w:tblStyle w:val="1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875"/>
        <w:gridCol w:w="1706"/>
        <w:gridCol w:w="1176"/>
        <w:gridCol w:w="1369"/>
        <w:gridCol w:w="1510"/>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shd w:val="clear" w:color="auto" w:fill="E6E6E6"/>
            <w:vAlign w:val="center"/>
          </w:tcPr>
          <w:p>
            <w:pPr>
              <w:tabs>
                <w:tab w:val="left" w:pos="2350"/>
              </w:tabs>
              <w:contextualSpacing/>
              <w:jc w:val="center"/>
              <w:rPr>
                <w:szCs w:val="21"/>
              </w:rPr>
            </w:pPr>
            <w:r>
              <w:rPr>
                <w:rFonts w:hint="eastAsia"/>
                <w:szCs w:val="21"/>
              </w:rPr>
              <w:t>序号</w:t>
            </w:r>
          </w:p>
        </w:tc>
        <w:tc>
          <w:tcPr>
            <w:tcW w:w="875" w:type="dxa"/>
            <w:shd w:val="clear" w:color="auto" w:fill="E6E6E6"/>
            <w:vAlign w:val="center"/>
          </w:tcPr>
          <w:p>
            <w:pPr>
              <w:widowControl/>
              <w:contextualSpacing/>
              <w:jc w:val="center"/>
              <w:rPr>
                <w:szCs w:val="21"/>
              </w:rPr>
            </w:pPr>
            <w:r>
              <w:rPr>
                <w:rFonts w:hint="eastAsia"/>
                <w:szCs w:val="21"/>
              </w:rPr>
              <w:t>用地代码</w:t>
            </w:r>
          </w:p>
        </w:tc>
        <w:tc>
          <w:tcPr>
            <w:tcW w:w="1706" w:type="dxa"/>
            <w:shd w:val="clear" w:color="auto" w:fill="E6E6E6"/>
            <w:vAlign w:val="center"/>
          </w:tcPr>
          <w:p>
            <w:pPr>
              <w:widowControl/>
              <w:contextualSpacing/>
              <w:jc w:val="center"/>
              <w:rPr>
                <w:szCs w:val="21"/>
              </w:rPr>
            </w:pPr>
            <w:r>
              <w:rPr>
                <w:rFonts w:hint="eastAsia"/>
                <w:szCs w:val="21"/>
              </w:rPr>
              <w:t>用地性质</w:t>
            </w:r>
          </w:p>
        </w:tc>
        <w:tc>
          <w:tcPr>
            <w:tcW w:w="1176" w:type="dxa"/>
            <w:shd w:val="clear" w:color="auto" w:fill="E6E6E6"/>
            <w:vAlign w:val="center"/>
          </w:tcPr>
          <w:p>
            <w:pPr>
              <w:widowControl/>
              <w:contextualSpacing/>
              <w:jc w:val="center"/>
              <w:rPr>
                <w:szCs w:val="21"/>
              </w:rPr>
            </w:pPr>
            <w:r>
              <w:rPr>
                <w:rFonts w:hint="eastAsia"/>
                <w:szCs w:val="21"/>
              </w:rPr>
              <w:t>现状用地面积（ha）</w:t>
            </w:r>
          </w:p>
        </w:tc>
        <w:tc>
          <w:tcPr>
            <w:tcW w:w="1369" w:type="dxa"/>
            <w:shd w:val="clear" w:color="auto" w:fill="E6E6E6"/>
            <w:vAlign w:val="center"/>
          </w:tcPr>
          <w:p>
            <w:pPr>
              <w:widowControl/>
              <w:contextualSpacing/>
              <w:jc w:val="center"/>
              <w:rPr>
                <w:szCs w:val="21"/>
              </w:rPr>
            </w:pPr>
            <w:r>
              <w:rPr>
                <w:rFonts w:hint="eastAsia"/>
                <w:szCs w:val="21"/>
              </w:rPr>
              <w:t>占总用地（%）</w:t>
            </w:r>
          </w:p>
        </w:tc>
        <w:tc>
          <w:tcPr>
            <w:tcW w:w="1510" w:type="dxa"/>
            <w:shd w:val="clear" w:color="auto" w:fill="E6E6E6"/>
            <w:vAlign w:val="center"/>
          </w:tcPr>
          <w:p>
            <w:pPr>
              <w:widowControl/>
              <w:contextualSpacing/>
              <w:jc w:val="center"/>
              <w:rPr>
                <w:szCs w:val="21"/>
              </w:rPr>
            </w:pPr>
            <w:r>
              <w:rPr>
                <w:rFonts w:hint="eastAsia"/>
                <w:szCs w:val="21"/>
              </w:rPr>
              <w:t>规划用地面积（ha）</w:t>
            </w:r>
          </w:p>
        </w:tc>
        <w:tc>
          <w:tcPr>
            <w:tcW w:w="1343" w:type="dxa"/>
            <w:shd w:val="clear" w:color="auto" w:fill="E6E6E6"/>
            <w:vAlign w:val="center"/>
          </w:tcPr>
          <w:p>
            <w:pPr>
              <w:widowControl/>
              <w:contextualSpacing/>
              <w:jc w:val="center"/>
              <w:rPr>
                <w:szCs w:val="21"/>
              </w:rPr>
            </w:pPr>
            <w:r>
              <w:rPr>
                <w:rFonts w:hint="eastAsia"/>
                <w:szCs w:val="21"/>
              </w:rPr>
              <w:t>占总用地（%）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1</w:t>
            </w:r>
          </w:p>
        </w:tc>
        <w:tc>
          <w:tcPr>
            <w:tcW w:w="875" w:type="dxa"/>
            <w:vAlign w:val="center"/>
          </w:tcPr>
          <w:p>
            <w:pPr>
              <w:tabs>
                <w:tab w:val="left" w:pos="2350"/>
              </w:tabs>
              <w:contextualSpacing/>
              <w:jc w:val="center"/>
              <w:rPr>
                <w:szCs w:val="21"/>
              </w:rPr>
            </w:pPr>
            <w:r>
              <w:rPr>
                <w:rFonts w:hint="eastAsia"/>
                <w:szCs w:val="21"/>
              </w:rPr>
              <w:t>甲</w:t>
            </w:r>
          </w:p>
        </w:tc>
        <w:tc>
          <w:tcPr>
            <w:tcW w:w="1706" w:type="dxa"/>
            <w:vAlign w:val="center"/>
          </w:tcPr>
          <w:p>
            <w:pPr>
              <w:tabs>
                <w:tab w:val="left" w:pos="2350"/>
              </w:tabs>
              <w:contextualSpacing/>
              <w:jc w:val="center"/>
              <w:rPr>
                <w:szCs w:val="21"/>
              </w:rPr>
            </w:pPr>
            <w:r>
              <w:rPr>
                <w:rFonts w:hint="eastAsia"/>
                <w:szCs w:val="21"/>
              </w:rPr>
              <w:t>风景游赏用地</w:t>
            </w:r>
          </w:p>
        </w:tc>
        <w:tc>
          <w:tcPr>
            <w:tcW w:w="1176" w:type="dxa"/>
            <w:vAlign w:val="center"/>
          </w:tcPr>
          <w:p>
            <w:pPr>
              <w:tabs>
                <w:tab w:val="left" w:pos="2350"/>
              </w:tabs>
              <w:contextualSpacing/>
              <w:jc w:val="center"/>
              <w:rPr>
                <w:szCs w:val="21"/>
              </w:rPr>
            </w:pPr>
            <w:r>
              <w:rPr>
                <w:rFonts w:hint="eastAsia"/>
                <w:szCs w:val="21"/>
              </w:rPr>
              <w:t>14.39</w:t>
            </w:r>
          </w:p>
        </w:tc>
        <w:tc>
          <w:tcPr>
            <w:tcW w:w="1369" w:type="dxa"/>
            <w:vAlign w:val="center"/>
          </w:tcPr>
          <w:p>
            <w:pPr>
              <w:tabs>
                <w:tab w:val="left" w:pos="2350"/>
              </w:tabs>
              <w:contextualSpacing/>
              <w:jc w:val="center"/>
              <w:rPr>
                <w:szCs w:val="21"/>
              </w:rPr>
            </w:pPr>
            <w:r>
              <w:rPr>
                <w:rFonts w:hint="eastAsia"/>
                <w:szCs w:val="21"/>
              </w:rPr>
              <w:t>1.86</w:t>
            </w:r>
          </w:p>
        </w:tc>
        <w:tc>
          <w:tcPr>
            <w:tcW w:w="1510" w:type="dxa"/>
            <w:vAlign w:val="center"/>
          </w:tcPr>
          <w:p>
            <w:pPr>
              <w:tabs>
                <w:tab w:val="left" w:pos="2350"/>
              </w:tabs>
              <w:contextualSpacing/>
              <w:jc w:val="center"/>
              <w:rPr>
                <w:szCs w:val="21"/>
              </w:rPr>
            </w:pPr>
            <w:r>
              <w:rPr>
                <w:rFonts w:hint="eastAsia"/>
                <w:szCs w:val="21"/>
              </w:rPr>
              <w:t>85.77</w:t>
            </w:r>
          </w:p>
        </w:tc>
        <w:tc>
          <w:tcPr>
            <w:tcW w:w="1343" w:type="dxa"/>
            <w:vAlign w:val="center"/>
          </w:tcPr>
          <w:p>
            <w:pPr>
              <w:tabs>
                <w:tab w:val="left" w:pos="2350"/>
              </w:tabs>
              <w:contextualSpacing/>
              <w:jc w:val="center"/>
              <w:rPr>
                <w:szCs w:val="21"/>
              </w:rPr>
            </w:pPr>
            <w:r>
              <w:rPr>
                <w:rFonts w:hint="eastAsia"/>
                <w:szCs w:val="21"/>
              </w:rPr>
              <w:t>11.12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2</w:t>
            </w:r>
          </w:p>
        </w:tc>
        <w:tc>
          <w:tcPr>
            <w:tcW w:w="875" w:type="dxa"/>
            <w:vAlign w:val="center"/>
          </w:tcPr>
          <w:p>
            <w:pPr>
              <w:tabs>
                <w:tab w:val="left" w:pos="2350"/>
              </w:tabs>
              <w:contextualSpacing/>
              <w:jc w:val="center"/>
              <w:rPr>
                <w:szCs w:val="21"/>
              </w:rPr>
            </w:pPr>
            <w:r>
              <w:rPr>
                <w:rFonts w:hint="eastAsia"/>
                <w:szCs w:val="21"/>
              </w:rPr>
              <w:t>乙</w:t>
            </w:r>
          </w:p>
        </w:tc>
        <w:tc>
          <w:tcPr>
            <w:tcW w:w="1706" w:type="dxa"/>
            <w:vAlign w:val="center"/>
          </w:tcPr>
          <w:p>
            <w:pPr>
              <w:tabs>
                <w:tab w:val="left" w:pos="2350"/>
              </w:tabs>
              <w:contextualSpacing/>
              <w:jc w:val="center"/>
              <w:rPr>
                <w:szCs w:val="21"/>
              </w:rPr>
            </w:pPr>
            <w:r>
              <w:rPr>
                <w:rFonts w:hint="eastAsia"/>
                <w:szCs w:val="21"/>
              </w:rPr>
              <w:t>游览设施用地</w:t>
            </w:r>
          </w:p>
        </w:tc>
        <w:tc>
          <w:tcPr>
            <w:tcW w:w="1176" w:type="dxa"/>
            <w:vAlign w:val="center"/>
          </w:tcPr>
          <w:p>
            <w:pPr>
              <w:tabs>
                <w:tab w:val="left" w:pos="2350"/>
              </w:tabs>
              <w:contextualSpacing/>
              <w:jc w:val="center"/>
              <w:rPr>
                <w:szCs w:val="21"/>
              </w:rPr>
            </w:pPr>
            <w:r>
              <w:rPr>
                <w:rFonts w:hint="eastAsia"/>
                <w:szCs w:val="21"/>
              </w:rPr>
              <w:t>5.72</w:t>
            </w:r>
          </w:p>
        </w:tc>
        <w:tc>
          <w:tcPr>
            <w:tcW w:w="1369" w:type="dxa"/>
            <w:vAlign w:val="center"/>
          </w:tcPr>
          <w:p>
            <w:pPr>
              <w:tabs>
                <w:tab w:val="left" w:pos="2350"/>
              </w:tabs>
              <w:contextualSpacing/>
              <w:jc w:val="center"/>
              <w:rPr>
                <w:szCs w:val="21"/>
              </w:rPr>
            </w:pPr>
            <w:r>
              <w:rPr>
                <w:rFonts w:hint="eastAsia"/>
                <w:szCs w:val="21"/>
              </w:rPr>
              <w:t>0.74</w:t>
            </w:r>
          </w:p>
        </w:tc>
        <w:tc>
          <w:tcPr>
            <w:tcW w:w="1510" w:type="dxa"/>
            <w:vAlign w:val="center"/>
          </w:tcPr>
          <w:p>
            <w:pPr>
              <w:tabs>
                <w:tab w:val="left" w:pos="2350"/>
              </w:tabs>
              <w:contextualSpacing/>
              <w:jc w:val="center"/>
              <w:rPr>
                <w:szCs w:val="21"/>
              </w:rPr>
            </w:pPr>
            <w:r>
              <w:rPr>
                <w:rFonts w:hint="eastAsia"/>
                <w:szCs w:val="21"/>
              </w:rPr>
              <w:t>32.37</w:t>
            </w:r>
          </w:p>
        </w:tc>
        <w:tc>
          <w:tcPr>
            <w:tcW w:w="1343" w:type="dxa"/>
            <w:vAlign w:val="center"/>
          </w:tcPr>
          <w:p>
            <w:pPr>
              <w:tabs>
                <w:tab w:val="left" w:pos="2350"/>
              </w:tabs>
              <w:contextualSpacing/>
              <w:jc w:val="center"/>
              <w:rPr>
                <w:szCs w:val="21"/>
              </w:rPr>
            </w:pPr>
            <w:r>
              <w:rPr>
                <w:rFonts w:hint="eastAsia"/>
                <w:szCs w:val="21"/>
              </w:rPr>
              <w:t>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543" w:type="dxa"/>
            <w:vAlign w:val="center"/>
          </w:tcPr>
          <w:p>
            <w:pPr>
              <w:tabs>
                <w:tab w:val="left" w:pos="2350"/>
              </w:tabs>
              <w:contextualSpacing/>
              <w:jc w:val="center"/>
              <w:rPr>
                <w:szCs w:val="21"/>
              </w:rPr>
            </w:pPr>
            <w:r>
              <w:rPr>
                <w:rFonts w:hint="eastAsia"/>
                <w:szCs w:val="21"/>
              </w:rPr>
              <w:t>3</w:t>
            </w:r>
          </w:p>
        </w:tc>
        <w:tc>
          <w:tcPr>
            <w:tcW w:w="875" w:type="dxa"/>
            <w:vAlign w:val="center"/>
          </w:tcPr>
          <w:p>
            <w:pPr>
              <w:tabs>
                <w:tab w:val="left" w:pos="2350"/>
              </w:tabs>
              <w:contextualSpacing/>
              <w:jc w:val="center"/>
              <w:rPr>
                <w:szCs w:val="21"/>
              </w:rPr>
            </w:pPr>
            <w:r>
              <w:rPr>
                <w:rFonts w:hint="eastAsia"/>
                <w:szCs w:val="21"/>
              </w:rPr>
              <w:t>丙</w:t>
            </w:r>
          </w:p>
        </w:tc>
        <w:tc>
          <w:tcPr>
            <w:tcW w:w="1706" w:type="dxa"/>
            <w:vAlign w:val="center"/>
          </w:tcPr>
          <w:p>
            <w:pPr>
              <w:tabs>
                <w:tab w:val="left" w:pos="2350"/>
              </w:tabs>
              <w:contextualSpacing/>
              <w:jc w:val="center"/>
              <w:rPr>
                <w:szCs w:val="21"/>
              </w:rPr>
            </w:pPr>
            <w:r>
              <w:rPr>
                <w:rFonts w:hint="eastAsia"/>
                <w:szCs w:val="21"/>
              </w:rPr>
              <w:t>居民社会用地</w:t>
            </w:r>
          </w:p>
        </w:tc>
        <w:tc>
          <w:tcPr>
            <w:tcW w:w="1176" w:type="dxa"/>
            <w:vAlign w:val="center"/>
          </w:tcPr>
          <w:p>
            <w:pPr>
              <w:tabs>
                <w:tab w:val="left" w:pos="2350"/>
              </w:tabs>
              <w:contextualSpacing/>
              <w:jc w:val="center"/>
              <w:rPr>
                <w:szCs w:val="21"/>
              </w:rPr>
            </w:pPr>
            <w:r>
              <w:rPr>
                <w:rFonts w:hint="eastAsia"/>
                <w:szCs w:val="21"/>
              </w:rPr>
              <w:t>2.09</w:t>
            </w:r>
          </w:p>
        </w:tc>
        <w:tc>
          <w:tcPr>
            <w:tcW w:w="1369" w:type="dxa"/>
            <w:vAlign w:val="center"/>
          </w:tcPr>
          <w:p>
            <w:pPr>
              <w:tabs>
                <w:tab w:val="left" w:pos="2350"/>
              </w:tabs>
              <w:contextualSpacing/>
              <w:jc w:val="center"/>
              <w:rPr>
                <w:szCs w:val="21"/>
              </w:rPr>
            </w:pPr>
            <w:r>
              <w:rPr>
                <w:rFonts w:hint="eastAsia"/>
                <w:szCs w:val="21"/>
              </w:rPr>
              <w:t>0.28</w:t>
            </w:r>
          </w:p>
        </w:tc>
        <w:tc>
          <w:tcPr>
            <w:tcW w:w="1510" w:type="dxa"/>
            <w:vAlign w:val="center"/>
          </w:tcPr>
          <w:p>
            <w:pPr>
              <w:tabs>
                <w:tab w:val="left" w:pos="2350"/>
              </w:tabs>
              <w:contextualSpacing/>
              <w:jc w:val="center"/>
              <w:rPr>
                <w:szCs w:val="21"/>
              </w:rPr>
            </w:pPr>
            <w:r>
              <w:rPr>
                <w:rFonts w:hint="eastAsia"/>
                <w:szCs w:val="21"/>
              </w:rPr>
              <w:t>38.24</w:t>
            </w:r>
          </w:p>
        </w:tc>
        <w:tc>
          <w:tcPr>
            <w:tcW w:w="1343" w:type="dxa"/>
            <w:vAlign w:val="center"/>
          </w:tcPr>
          <w:p>
            <w:pPr>
              <w:tabs>
                <w:tab w:val="left" w:pos="2350"/>
              </w:tabs>
              <w:contextualSpacing/>
              <w:jc w:val="center"/>
              <w:rPr>
                <w:szCs w:val="21"/>
              </w:rPr>
            </w:pPr>
            <w:r>
              <w:rPr>
                <w:rFonts w:hint="eastAsia"/>
                <w:szCs w:val="21"/>
              </w:rPr>
              <w:t>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4</w:t>
            </w:r>
          </w:p>
        </w:tc>
        <w:tc>
          <w:tcPr>
            <w:tcW w:w="875" w:type="dxa"/>
            <w:vAlign w:val="center"/>
          </w:tcPr>
          <w:p>
            <w:pPr>
              <w:tabs>
                <w:tab w:val="left" w:pos="2350"/>
              </w:tabs>
              <w:contextualSpacing/>
              <w:jc w:val="center"/>
              <w:rPr>
                <w:szCs w:val="21"/>
              </w:rPr>
            </w:pPr>
            <w:r>
              <w:rPr>
                <w:rFonts w:hint="eastAsia"/>
                <w:szCs w:val="21"/>
              </w:rPr>
              <w:t>丁</w:t>
            </w:r>
          </w:p>
        </w:tc>
        <w:tc>
          <w:tcPr>
            <w:tcW w:w="1706" w:type="dxa"/>
            <w:vAlign w:val="center"/>
          </w:tcPr>
          <w:p>
            <w:pPr>
              <w:tabs>
                <w:tab w:val="left" w:pos="2350"/>
              </w:tabs>
              <w:contextualSpacing/>
              <w:jc w:val="center"/>
              <w:rPr>
                <w:szCs w:val="21"/>
              </w:rPr>
            </w:pPr>
            <w:r>
              <w:rPr>
                <w:rFonts w:hint="eastAsia"/>
                <w:szCs w:val="21"/>
              </w:rPr>
              <w:t>交通与工程用地</w:t>
            </w:r>
          </w:p>
        </w:tc>
        <w:tc>
          <w:tcPr>
            <w:tcW w:w="1176" w:type="dxa"/>
            <w:vAlign w:val="center"/>
          </w:tcPr>
          <w:p>
            <w:pPr>
              <w:tabs>
                <w:tab w:val="left" w:pos="2350"/>
              </w:tabs>
              <w:contextualSpacing/>
              <w:jc w:val="center"/>
              <w:rPr>
                <w:szCs w:val="21"/>
              </w:rPr>
            </w:pPr>
            <w:r>
              <w:rPr>
                <w:rFonts w:hint="eastAsia"/>
                <w:szCs w:val="21"/>
              </w:rPr>
              <w:t>11.49</w:t>
            </w:r>
          </w:p>
        </w:tc>
        <w:tc>
          <w:tcPr>
            <w:tcW w:w="1369" w:type="dxa"/>
            <w:vAlign w:val="center"/>
          </w:tcPr>
          <w:p>
            <w:pPr>
              <w:tabs>
                <w:tab w:val="left" w:pos="2350"/>
              </w:tabs>
              <w:contextualSpacing/>
              <w:jc w:val="center"/>
              <w:rPr>
                <w:szCs w:val="21"/>
              </w:rPr>
            </w:pPr>
            <w:r>
              <w:rPr>
                <w:rFonts w:hint="eastAsia"/>
                <w:szCs w:val="21"/>
              </w:rPr>
              <w:t>1.49</w:t>
            </w:r>
          </w:p>
        </w:tc>
        <w:tc>
          <w:tcPr>
            <w:tcW w:w="1510" w:type="dxa"/>
            <w:vAlign w:val="center"/>
          </w:tcPr>
          <w:p>
            <w:pPr>
              <w:tabs>
                <w:tab w:val="left" w:pos="2350"/>
              </w:tabs>
              <w:contextualSpacing/>
              <w:jc w:val="center"/>
              <w:rPr>
                <w:szCs w:val="21"/>
              </w:rPr>
            </w:pPr>
            <w:r>
              <w:rPr>
                <w:rFonts w:hint="eastAsia"/>
                <w:szCs w:val="21"/>
              </w:rPr>
              <w:t>19.12</w:t>
            </w:r>
          </w:p>
        </w:tc>
        <w:tc>
          <w:tcPr>
            <w:tcW w:w="1343" w:type="dxa"/>
            <w:vAlign w:val="center"/>
          </w:tcPr>
          <w:p>
            <w:pPr>
              <w:tabs>
                <w:tab w:val="left" w:pos="2350"/>
              </w:tabs>
              <w:contextualSpacing/>
              <w:jc w:val="center"/>
              <w:rPr>
                <w:szCs w:val="21"/>
              </w:rPr>
            </w:pPr>
            <w:r>
              <w:rPr>
                <w:rFonts w:hint="eastAsia"/>
                <w:szCs w:val="21"/>
              </w:rPr>
              <w:t>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5</w:t>
            </w:r>
          </w:p>
        </w:tc>
        <w:tc>
          <w:tcPr>
            <w:tcW w:w="875" w:type="dxa"/>
            <w:vAlign w:val="center"/>
          </w:tcPr>
          <w:p>
            <w:pPr>
              <w:tabs>
                <w:tab w:val="left" w:pos="2350"/>
              </w:tabs>
              <w:contextualSpacing/>
              <w:jc w:val="center"/>
              <w:rPr>
                <w:szCs w:val="21"/>
              </w:rPr>
            </w:pPr>
            <w:r>
              <w:rPr>
                <w:rFonts w:hint="eastAsia"/>
                <w:szCs w:val="21"/>
              </w:rPr>
              <w:t>戊</w:t>
            </w:r>
          </w:p>
        </w:tc>
        <w:tc>
          <w:tcPr>
            <w:tcW w:w="1706" w:type="dxa"/>
            <w:vAlign w:val="center"/>
          </w:tcPr>
          <w:p>
            <w:pPr>
              <w:tabs>
                <w:tab w:val="left" w:pos="2350"/>
              </w:tabs>
              <w:contextualSpacing/>
              <w:jc w:val="center"/>
              <w:rPr>
                <w:szCs w:val="21"/>
              </w:rPr>
            </w:pPr>
            <w:r>
              <w:rPr>
                <w:rFonts w:hint="eastAsia"/>
                <w:szCs w:val="21"/>
              </w:rPr>
              <w:t>林地</w:t>
            </w:r>
          </w:p>
        </w:tc>
        <w:tc>
          <w:tcPr>
            <w:tcW w:w="1176" w:type="dxa"/>
            <w:vAlign w:val="center"/>
          </w:tcPr>
          <w:p>
            <w:pPr>
              <w:tabs>
                <w:tab w:val="left" w:pos="2350"/>
              </w:tabs>
              <w:contextualSpacing/>
              <w:jc w:val="center"/>
              <w:rPr>
                <w:szCs w:val="21"/>
              </w:rPr>
            </w:pPr>
            <w:r>
              <w:rPr>
                <w:rFonts w:hint="eastAsia"/>
                <w:szCs w:val="21"/>
              </w:rPr>
              <w:t>5.24</w:t>
            </w:r>
          </w:p>
        </w:tc>
        <w:tc>
          <w:tcPr>
            <w:tcW w:w="1369" w:type="dxa"/>
            <w:vAlign w:val="center"/>
          </w:tcPr>
          <w:p>
            <w:pPr>
              <w:tabs>
                <w:tab w:val="left" w:pos="2350"/>
              </w:tabs>
              <w:contextualSpacing/>
              <w:jc w:val="center"/>
              <w:rPr>
                <w:szCs w:val="21"/>
              </w:rPr>
            </w:pPr>
            <w:r>
              <w:rPr>
                <w:rFonts w:hint="eastAsia"/>
                <w:szCs w:val="21"/>
              </w:rPr>
              <w:t>0.68</w:t>
            </w:r>
          </w:p>
        </w:tc>
        <w:tc>
          <w:tcPr>
            <w:tcW w:w="1510" w:type="dxa"/>
            <w:vAlign w:val="center"/>
          </w:tcPr>
          <w:p>
            <w:pPr>
              <w:tabs>
                <w:tab w:val="left" w:pos="2350"/>
              </w:tabs>
              <w:contextualSpacing/>
              <w:jc w:val="center"/>
              <w:rPr>
                <w:szCs w:val="21"/>
              </w:rPr>
            </w:pPr>
            <w:r>
              <w:rPr>
                <w:rFonts w:hint="eastAsia"/>
                <w:szCs w:val="21"/>
              </w:rPr>
              <w:t>4.51</w:t>
            </w:r>
          </w:p>
        </w:tc>
        <w:tc>
          <w:tcPr>
            <w:tcW w:w="1343" w:type="dxa"/>
            <w:vAlign w:val="center"/>
          </w:tcPr>
          <w:p>
            <w:pPr>
              <w:tabs>
                <w:tab w:val="left" w:pos="2350"/>
              </w:tabs>
              <w:contextualSpacing/>
              <w:jc w:val="center"/>
              <w:rPr>
                <w:szCs w:val="21"/>
              </w:rPr>
            </w:pPr>
            <w:r>
              <w:rPr>
                <w:rFonts w:hint="eastAsia"/>
                <w:szCs w:val="21"/>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6</w:t>
            </w:r>
          </w:p>
        </w:tc>
        <w:tc>
          <w:tcPr>
            <w:tcW w:w="875" w:type="dxa"/>
            <w:vAlign w:val="center"/>
          </w:tcPr>
          <w:p>
            <w:pPr>
              <w:tabs>
                <w:tab w:val="left" w:pos="2350"/>
              </w:tabs>
              <w:contextualSpacing/>
              <w:jc w:val="center"/>
              <w:rPr>
                <w:szCs w:val="21"/>
              </w:rPr>
            </w:pPr>
            <w:r>
              <w:rPr>
                <w:rFonts w:hint="eastAsia"/>
                <w:szCs w:val="21"/>
              </w:rPr>
              <w:t>辛</w:t>
            </w:r>
          </w:p>
        </w:tc>
        <w:tc>
          <w:tcPr>
            <w:tcW w:w="1706" w:type="dxa"/>
            <w:vAlign w:val="center"/>
          </w:tcPr>
          <w:p>
            <w:pPr>
              <w:tabs>
                <w:tab w:val="left" w:pos="2350"/>
              </w:tabs>
              <w:contextualSpacing/>
              <w:jc w:val="center"/>
              <w:rPr>
                <w:szCs w:val="21"/>
              </w:rPr>
            </w:pPr>
            <w:r>
              <w:rPr>
                <w:rFonts w:hint="eastAsia"/>
                <w:szCs w:val="21"/>
              </w:rPr>
              <w:t>草地</w:t>
            </w:r>
          </w:p>
        </w:tc>
        <w:tc>
          <w:tcPr>
            <w:tcW w:w="1176" w:type="dxa"/>
            <w:vAlign w:val="center"/>
          </w:tcPr>
          <w:p>
            <w:pPr>
              <w:tabs>
                <w:tab w:val="left" w:pos="2350"/>
              </w:tabs>
              <w:contextualSpacing/>
              <w:jc w:val="center"/>
              <w:rPr>
                <w:szCs w:val="21"/>
              </w:rPr>
            </w:pPr>
            <w:r>
              <w:rPr>
                <w:rFonts w:hint="eastAsia"/>
                <w:szCs w:val="21"/>
              </w:rPr>
              <w:t>0.92</w:t>
            </w:r>
          </w:p>
        </w:tc>
        <w:tc>
          <w:tcPr>
            <w:tcW w:w="1369" w:type="dxa"/>
            <w:vAlign w:val="center"/>
          </w:tcPr>
          <w:p>
            <w:pPr>
              <w:tabs>
                <w:tab w:val="left" w:pos="2350"/>
              </w:tabs>
              <w:contextualSpacing/>
              <w:jc w:val="center"/>
              <w:rPr>
                <w:szCs w:val="21"/>
              </w:rPr>
            </w:pPr>
            <w:r>
              <w:rPr>
                <w:rFonts w:hint="eastAsia"/>
                <w:szCs w:val="21"/>
              </w:rPr>
              <w:t>0.12</w:t>
            </w:r>
          </w:p>
        </w:tc>
        <w:tc>
          <w:tcPr>
            <w:tcW w:w="1510" w:type="dxa"/>
            <w:vAlign w:val="center"/>
          </w:tcPr>
          <w:p>
            <w:pPr>
              <w:tabs>
                <w:tab w:val="left" w:pos="2350"/>
              </w:tabs>
              <w:contextualSpacing/>
              <w:jc w:val="center"/>
              <w:rPr>
                <w:szCs w:val="21"/>
              </w:rPr>
            </w:pPr>
            <w:r>
              <w:rPr>
                <w:rFonts w:hint="eastAsia"/>
                <w:szCs w:val="21"/>
              </w:rPr>
              <w:t>0</w:t>
            </w:r>
          </w:p>
        </w:tc>
        <w:tc>
          <w:tcPr>
            <w:tcW w:w="1343" w:type="dxa"/>
            <w:vAlign w:val="center"/>
          </w:tcPr>
          <w:p>
            <w:pPr>
              <w:tabs>
                <w:tab w:val="left" w:pos="2350"/>
              </w:tabs>
              <w:contextualSpacing/>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7</w:t>
            </w:r>
          </w:p>
        </w:tc>
        <w:tc>
          <w:tcPr>
            <w:tcW w:w="875" w:type="dxa"/>
            <w:vAlign w:val="center"/>
          </w:tcPr>
          <w:p>
            <w:pPr>
              <w:tabs>
                <w:tab w:val="left" w:pos="2350"/>
              </w:tabs>
              <w:contextualSpacing/>
              <w:jc w:val="center"/>
              <w:rPr>
                <w:szCs w:val="21"/>
              </w:rPr>
            </w:pPr>
            <w:r>
              <w:rPr>
                <w:rFonts w:hint="eastAsia"/>
                <w:szCs w:val="21"/>
              </w:rPr>
              <w:t>壬</w:t>
            </w:r>
          </w:p>
        </w:tc>
        <w:tc>
          <w:tcPr>
            <w:tcW w:w="1706" w:type="dxa"/>
            <w:vAlign w:val="center"/>
          </w:tcPr>
          <w:p>
            <w:pPr>
              <w:tabs>
                <w:tab w:val="left" w:pos="2350"/>
              </w:tabs>
              <w:contextualSpacing/>
              <w:jc w:val="center"/>
              <w:rPr>
                <w:szCs w:val="21"/>
              </w:rPr>
            </w:pPr>
            <w:r>
              <w:rPr>
                <w:rFonts w:hint="eastAsia"/>
                <w:szCs w:val="21"/>
              </w:rPr>
              <w:t>水域（包括水池和鱼塘）</w:t>
            </w:r>
          </w:p>
        </w:tc>
        <w:tc>
          <w:tcPr>
            <w:tcW w:w="1176" w:type="dxa"/>
            <w:vAlign w:val="center"/>
          </w:tcPr>
          <w:p>
            <w:pPr>
              <w:tabs>
                <w:tab w:val="left" w:pos="2350"/>
              </w:tabs>
              <w:contextualSpacing/>
              <w:jc w:val="center"/>
              <w:rPr>
                <w:szCs w:val="21"/>
              </w:rPr>
            </w:pPr>
            <w:r>
              <w:rPr>
                <w:rFonts w:hint="eastAsia"/>
                <w:szCs w:val="21"/>
              </w:rPr>
              <w:t>601.81</w:t>
            </w:r>
          </w:p>
        </w:tc>
        <w:tc>
          <w:tcPr>
            <w:tcW w:w="1369" w:type="dxa"/>
            <w:vAlign w:val="center"/>
          </w:tcPr>
          <w:p>
            <w:pPr>
              <w:tabs>
                <w:tab w:val="left" w:pos="2350"/>
              </w:tabs>
              <w:contextualSpacing/>
              <w:jc w:val="center"/>
              <w:rPr>
                <w:szCs w:val="21"/>
              </w:rPr>
            </w:pPr>
            <w:r>
              <w:rPr>
                <w:rFonts w:hint="eastAsia"/>
                <w:szCs w:val="21"/>
              </w:rPr>
              <w:t>78.00</w:t>
            </w:r>
          </w:p>
        </w:tc>
        <w:tc>
          <w:tcPr>
            <w:tcW w:w="1510" w:type="dxa"/>
            <w:vAlign w:val="center"/>
          </w:tcPr>
          <w:p>
            <w:pPr>
              <w:tabs>
                <w:tab w:val="left" w:pos="2350"/>
              </w:tabs>
              <w:contextualSpacing/>
              <w:jc w:val="center"/>
              <w:rPr>
                <w:szCs w:val="21"/>
              </w:rPr>
            </w:pPr>
            <w:r>
              <w:rPr>
                <w:rFonts w:hint="eastAsia"/>
                <w:szCs w:val="21"/>
              </w:rPr>
              <w:t>590.68</w:t>
            </w:r>
          </w:p>
        </w:tc>
        <w:tc>
          <w:tcPr>
            <w:tcW w:w="1343" w:type="dxa"/>
            <w:vAlign w:val="center"/>
          </w:tcPr>
          <w:p>
            <w:pPr>
              <w:tabs>
                <w:tab w:val="left" w:pos="2350"/>
              </w:tabs>
              <w:contextualSpacing/>
              <w:jc w:val="center"/>
              <w:rPr>
                <w:szCs w:val="21"/>
              </w:rPr>
            </w:pPr>
            <w:r>
              <w:rPr>
                <w:rFonts w:hint="eastAsia"/>
                <w:szCs w:val="21"/>
              </w:rPr>
              <w:t>76.56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8</w:t>
            </w:r>
          </w:p>
        </w:tc>
        <w:tc>
          <w:tcPr>
            <w:tcW w:w="875" w:type="dxa"/>
            <w:vAlign w:val="center"/>
          </w:tcPr>
          <w:p>
            <w:pPr>
              <w:tabs>
                <w:tab w:val="left" w:pos="2350"/>
              </w:tabs>
              <w:contextualSpacing/>
              <w:jc w:val="center"/>
              <w:rPr>
                <w:szCs w:val="21"/>
              </w:rPr>
            </w:pPr>
            <w:r>
              <w:rPr>
                <w:rFonts w:hint="eastAsia"/>
                <w:szCs w:val="21"/>
              </w:rPr>
              <w:t>葵</w:t>
            </w:r>
          </w:p>
        </w:tc>
        <w:tc>
          <w:tcPr>
            <w:tcW w:w="1706" w:type="dxa"/>
            <w:vAlign w:val="center"/>
          </w:tcPr>
          <w:p>
            <w:pPr>
              <w:tabs>
                <w:tab w:val="left" w:pos="2350"/>
              </w:tabs>
              <w:contextualSpacing/>
              <w:jc w:val="center"/>
              <w:rPr>
                <w:szCs w:val="21"/>
              </w:rPr>
            </w:pPr>
            <w:r>
              <w:rPr>
                <w:rFonts w:hint="eastAsia"/>
                <w:szCs w:val="21"/>
              </w:rPr>
              <w:t>滞留用地</w:t>
            </w:r>
          </w:p>
        </w:tc>
        <w:tc>
          <w:tcPr>
            <w:tcW w:w="1176" w:type="dxa"/>
            <w:vAlign w:val="center"/>
          </w:tcPr>
          <w:p>
            <w:pPr>
              <w:tabs>
                <w:tab w:val="left" w:pos="2350"/>
              </w:tabs>
              <w:contextualSpacing/>
              <w:jc w:val="center"/>
              <w:rPr>
                <w:szCs w:val="21"/>
              </w:rPr>
            </w:pPr>
            <w:r>
              <w:rPr>
                <w:rFonts w:hint="eastAsia"/>
                <w:szCs w:val="21"/>
              </w:rPr>
              <w:t>129.86</w:t>
            </w:r>
          </w:p>
        </w:tc>
        <w:tc>
          <w:tcPr>
            <w:tcW w:w="1369" w:type="dxa"/>
            <w:vAlign w:val="center"/>
          </w:tcPr>
          <w:p>
            <w:pPr>
              <w:tabs>
                <w:tab w:val="left" w:pos="2350"/>
              </w:tabs>
              <w:contextualSpacing/>
              <w:jc w:val="center"/>
              <w:rPr>
                <w:szCs w:val="21"/>
              </w:rPr>
            </w:pPr>
            <w:r>
              <w:rPr>
                <w:rFonts w:hint="eastAsia"/>
                <w:szCs w:val="21"/>
              </w:rPr>
              <w:t>16.83</w:t>
            </w:r>
          </w:p>
        </w:tc>
        <w:tc>
          <w:tcPr>
            <w:tcW w:w="1510" w:type="dxa"/>
            <w:vAlign w:val="center"/>
          </w:tcPr>
          <w:p>
            <w:pPr>
              <w:tabs>
                <w:tab w:val="left" w:pos="2350"/>
              </w:tabs>
              <w:contextualSpacing/>
              <w:jc w:val="center"/>
              <w:rPr>
                <w:szCs w:val="21"/>
              </w:rPr>
            </w:pPr>
            <w:r>
              <w:rPr>
                <w:rFonts w:hint="eastAsia"/>
                <w:szCs w:val="21"/>
              </w:rPr>
              <w:t>0.83</w:t>
            </w:r>
          </w:p>
        </w:tc>
        <w:tc>
          <w:tcPr>
            <w:tcW w:w="1343" w:type="dxa"/>
            <w:vAlign w:val="center"/>
          </w:tcPr>
          <w:p>
            <w:pPr>
              <w:tabs>
                <w:tab w:val="left" w:pos="2350"/>
              </w:tabs>
              <w:contextualSpacing/>
              <w:jc w:val="center"/>
              <w:rPr>
                <w:szCs w:val="21"/>
              </w:rPr>
            </w:pPr>
            <w:r>
              <w:rPr>
                <w:rFonts w:hint="eastAsia"/>
                <w:szCs w:val="21"/>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3" w:type="dxa"/>
            <w:vAlign w:val="center"/>
          </w:tcPr>
          <w:p>
            <w:pPr>
              <w:tabs>
                <w:tab w:val="left" w:pos="2350"/>
              </w:tabs>
              <w:contextualSpacing/>
              <w:jc w:val="center"/>
              <w:rPr>
                <w:szCs w:val="21"/>
              </w:rPr>
            </w:pPr>
            <w:r>
              <w:rPr>
                <w:rFonts w:hint="eastAsia"/>
                <w:szCs w:val="21"/>
              </w:rPr>
              <w:t>合计</w:t>
            </w:r>
          </w:p>
        </w:tc>
        <w:tc>
          <w:tcPr>
            <w:tcW w:w="875" w:type="dxa"/>
            <w:vAlign w:val="center"/>
          </w:tcPr>
          <w:p>
            <w:pPr>
              <w:tabs>
                <w:tab w:val="left" w:pos="2350"/>
              </w:tabs>
              <w:contextualSpacing/>
              <w:jc w:val="center"/>
              <w:rPr>
                <w:szCs w:val="21"/>
              </w:rPr>
            </w:pPr>
          </w:p>
        </w:tc>
        <w:tc>
          <w:tcPr>
            <w:tcW w:w="1706" w:type="dxa"/>
            <w:vAlign w:val="center"/>
          </w:tcPr>
          <w:p>
            <w:pPr>
              <w:tabs>
                <w:tab w:val="left" w:pos="2350"/>
              </w:tabs>
              <w:contextualSpacing/>
              <w:jc w:val="center"/>
              <w:rPr>
                <w:szCs w:val="21"/>
              </w:rPr>
            </w:pPr>
            <w:r>
              <w:rPr>
                <w:rFonts w:hint="eastAsia"/>
                <w:szCs w:val="21"/>
              </w:rPr>
              <w:t>总用地总面积</w:t>
            </w:r>
          </w:p>
        </w:tc>
        <w:tc>
          <w:tcPr>
            <w:tcW w:w="1176" w:type="dxa"/>
            <w:vAlign w:val="center"/>
          </w:tcPr>
          <w:p>
            <w:pPr>
              <w:tabs>
                <w:tab w:val="left" w:pos="2350"/>
              </w:tabs>
              <w:contextualSpacing/>
              <w:jc w:val="center"/>
              <w:rPr>
                <w:szCs w:val="21"/>
              </w:rPr>
            </w:pPr>
            <w:r>
              <w:rPr>
                <w:rFonts w:hint="eastAsia"/>
                <w:szCs w:val="21"/>
              </w:rPr>
              <w:t>771.52</w:t>
            </w:r>
          </w:p>
        </w:tc>
        <w:tc>
          <w:tcPr>
            <w:tcW w:w="1369" w:type="dxa"/>
            <w:vAlign w:val="center"/>
          </w:tcPr>
          <w:p>
            <w:pPr>
              <w:tabs>
                <w:tab w:val="left" w:pos="2350"/>
              </w:tabs>
              <w:contextualSpacing/>
              <w:jc w:val="center"/>
              <w:rPr>
                <w:szCs w:val="21"/>
              </w:rPr>
            </w:pPr>
            <w:r>
              <w:rPr>
                <w:rFonts w:hint="eastAsia"/>
                <w:szCs w:val="21"/>
              </w:rPr>
              <w:t>100</w:t>
            </w:r>
          </w:p>
        </w:tc>
        <w:tc>
          <w:tcPr>
            <w:tcW w:w="1510" w:type="dxa"/>
            <w:vAlign w:val="center"/>
          </w:tcPr>
          <w:p>
            <w:pPr>
              <w:tabs>
                <w:tab w:val="left" w:pos="2350"/>
              </w:tabs>
              <w:contextualSpacing/>
              <w:jc w:val="center"/>
              <w:rPr>
                <w:szCs w:val="21"/>
              </w:rPr>
            </w:pPr>
            <w:r>
              <w:rPr>
                <w:rFonts w:hint="eastAsia"/>
                <w:szCs w:val="21"/>
              </w:rPr>
              <w:t>771.52</w:t>
            </w:r>
          </w:p>
        </w:tc>
        <w:tc>
          <w:tcPr>
            <w:tcW w:w="1343" w:type="dxa"/>
            <w:vAlign w:val="center"/>
          </w:tcPr>
          <w:p>
            <w:pPr>
              <w:tabs>
                <w:tab w:val="left" w:pos="2350"/>
              </w:tabs>
              <w:contextualSpacing/>
              <w:jc w:val="center"/>
              <w:rPr>
                <w:szCs w:val="21"/>
              </w:rPr>
            </w:pPr>
            <w:r>
              <w:rPr>
                <w:rFonts w:hint="eastAsia"/>
                <w:szCs w:val="21"/>
              </w:rPr>
              <w:t>100</w:t>
            </w:r>
          </w:p>
        </w:tc>
      </w:tr>
    </w:tbl>
    <w:p>
      <w:pPr>
        <w:pStyle w:val="5"/>
        <w:rPr>
          <w:rFonts w:ascii="Times New Roman" w:hAnsi="Times New Roman"/>
        </w:rPr>
      </w:pPr>
      <w:r>
        <w:rPr>
          <w:rFonts w:ascii="Times New Roman" w:hAnsi="Times New Roman"/>
        </w:rPr>
        <w:t>3.4 景区生态问题</w:t>
      </w:r>
    </w:p>
    <w:p>
      <w:pPr>
        <w:spacing w:line="360" w:lineRule="auto"/>
        <w:ind w:firstLine="480" w:firstLineChars="200"/>
        <w:rPr>
          <w:sz w:val="24"/>
        </w:rPr>
      </w:pPr>
      <w:r>
        <w:rPr>
          <w:rFonts w:hint="eastAsia"/>
          <w:sz w:val="24"/>
        </w:rPr>
        <w:t>在十几年的运营管理中，风景区规划对岳阳楼景区的保护起到了重要作用，尤其近几年，岳阳楼景区在基础设施建设、旅游开发和资源保护等方面取得了一定成绩，但所存在的问题也是明显的。</w:t>
      </w:r>
      <w:r>
        <w:rPr>
          <w:sz w:val="24"/>
        </w:rPr>
        <w:t>岳阳楼</w:t>
      </w:r>
      <w:r>
        <w:rPr>
          <w:rFonts w:hint="eastAsia"/>
          <w:sz w:val="24"/>
        </w:rPr>
        <w:t>景区</w:t>
      </w:r>
      <w:r>
        <w:rPr>
          <w:sz w:val="24"/>
        </w:rPr>
        <w:t>外围</w:t>
      </w:r>
      <w:r>
        <w:rPr>
          <w:rFonts w:hint="eastAsia"/>
          <w:sz w:val="24"/>
        </w:rPr>
        <w:t>的历史街区</w:t>
      </w:r>
      <w:r>
        <w:rPr>
          <w:sz w:val="24"/>
        </w:rPr>
        <w:t>，其市政基础与配套的公共服务设施仍然缺乏，各历史人文资源仍然没有保护到位，对</w:t>
      </w:r>
      <w:r>
        <w:rPr>
          <w:rFonts w:hint="eastAsia"/>
          <w:sz w:val="24"/>
        </w:rPr>
        <w:t>景区范围</w:t>
      </w:r>
      <w:r>
        <w:rPr>
          <w:sz w:val="24"/>
        </w:rPr>
        <w:t>内历史文化景观风貌造成严重影响的工业企业仍未全部搬迁完成</w:t>
      </w:r>
      <w:r>
        <w:rPr>
          <w:rFonts w:hint="eastAsia"/>
          <w:sz w:val="24"/>
        </w:rPr>
        <w:t>且原工业企业对所在地块土壤造成的污染影响并未全部修复完成。</w:t>
      </w:r>
    </w:p>
    <w:p>
      <w:pPr>
        <w:spacing w:line="360" w:lineRule="auto"/>
        <w:ind w:firstLine="480" w:firstLineChars="200"/>
        <w:rPr>
          <w:sz w:val="24"/>
        </w:rPr>
      </w:pPr>
      <w:r>
        <w:rPr>
          <w:rFonts w:hint="eastAsia"/>
          <w:sz w:val="24"/>
        </w:rPr>
        <w:t>1、管理方面</w:t>
      </w:r>
    </w:p>
    <w:p>
      <w:pPr>
        <w:spacing w:line="360" w:lineRule="auto"/>
        <w:ind w:firstLine="480" w:firstLineChars="200"/>
        <w:rPr>
          <w:sz w:val="24"/>
        </w:rPr>
      </w:pPr>
      <w:r>
        <w:rPr>
          <w:rFonts w:hint="eastAsia"/>
          <w:sz w:val="24"/>
        </w:rPr>
        <w:t>由于历史原因和管理力度不足，景区范围内</w:t>
      </w:r>
      <w:r>
        <w:rPr>
          <w:rFonts w:hint="eastAsia" w:ascii="宋体" w:hAnsi="宋体"/>
          <w:sz w:val="24"/>
        </w:rPr>
        <w:t>景观风貌整治区</w:t>
      </w:r>
      <w:r>
        <w:rPr>
          <w:sz w:val="24"/>
        </w:rPr>
        <w:t>以及旧城区内大量对该地带历史文化景观风貌造成严重影响的工业企业</w:t>
      </w:r>
      <w:r>
        <w:rPr>
          <w:rFonts w:hint="eastAsia"/>
          <w:sz w:val="24"/>
        </w:rPr>
        <w:t>整治改善不彻底。</w:t>
      </w:r>
    </w:p>
    <w:p>
      <w:pPr>
        <w:spacing w:line="360" w:lineRule="auto"/>
        <w:ind w:firstLine="480" w:firstLineChars="200"/>
        <w:rPr>
          <w:sz w:val="24"/>
        </w:rPr>
      </w:pPr>
      <w:r>
        <w:rPr>
          <w:rFonts w:hint="eastAsia"/>
          <w:sz w:val="24"/>
        </w:rPr>
        <w:t>2、保护方面</w:t>
      </w:r>
    </w:p>
    <w:p>
      <w:pPr>
        <w:spacing w:line="360" w:lineRule="auto"/>
        <w:ind w:firstLine="480" w:firstLineChars="200"/>
        <w:rPr>
          <w:sz w:val="24"/>
        </w:rPr>
      </w:pPr>
      <w:r>
        <w:rPr>
          <w:rFonts w:hint="eastAsia"/>
          <w:sz w:val="24"/>
        </w:rPr>
        <w:t>宝贵的</w:t>
      </w:r>
      <w:r>
        <w:rPr>
          <w:sz w:val="24"/>
        </w:rPr>
        <w:t>历史人文景点</w:t>
      </w:r>
      <w:r>
        <w:rPr>
          <w:rFonts w:hint="eastAsia"/>
          <w:sz w:val="24"/>
        </w:rPr>
        <w:t>没有得到充分的保护和利用</w:t>
      </w:r>
      <w:r>
        <w:rPr>
          <w:sz w:val="24"/>
        </w:rPr>
        <w:t>，在旅游旺季期间，人流量过大，会对原有的历史景点造成影响。</w:t>
      </w:r>
      <w:r>
        <w:rPr>
          <w:rFonts w:hint="eastAsia"/>
          <w:sz w:val="24"/>
        </w:rPr>
        <w:t>环境存在一定污染，特别是洞庭湖水体污染较为严重，工作需进一步加强。</w:t>
      </w:r>
    </w:p>
    <w:p>
      <w:pPr>
        <w:spacing w:line="360" w:lineRule="auto"/>
        <w:ind w:firstLine="480" w:firstLineChars="200"/>
        <w:rPr>
          <w:sz w:val="24"/>
        </w:rPr>
      </w:pPr>
      <w:r>
        <w:rPr>
          <w:rFonts w:hint="eastAsia"/>
          <w:sz w:val="24"/>
        </w:rPr>
        <w:t>3、已有建设方面</w:t>
      </w:r>
    </w:p>
    <w:p>
      <w:pPr>
        <w:spacing w:line="360" w:lineRule="auto"/>
        <w:ind w:firstLine="480" w:firstLineChars="200"/>
        <w:rPr>
          <w:sz w:val="24"/>
        </w:rPr>
      </w:pPr>
      <w:r>
        <w:rPr>
          <w:rFonts w:hint="eastAsia"/>
          <w:sz w:val="24"/>
        </w:rPr>
        <w:t>整体上用地比较混杂，各类用地相互交错较为严重，并且土地使用效率比较很低，现状的部分建筑高度和形式都与岳阳楼等古建筑风格不协调，建筑高度缺乏控制。</w:t>
      </w:r>
    </w:p>
    <w:p>
      <w:pPr>
        <w:spacing w:line="360" w:lineRule="auto"/>
        <w:ind w:firstLine="480" w:firstLineChars="200"/>
        <w:rPr>
          <w:sz w:val="24"/>
        </w:rPr>
      </w:pPr>
      <w:r>
        <w:rPr>
          <w:rFonts w:hint="eastAsia"/>
          <w:sz w:val="24"/>
        </w:rPr>
        <w:t>4、基础设施与社会生活方面</w:t>
      </w:r>
    </w:p>
    <w:p>
      <w:pPr>
        <w:spacing w:line="360" w:lineRule="auto"/>
        <w:ind w:firstLine="480" w:firstLineChars="200"/>
        <w:rPr>
          <w:sz w:val="24"/>
        </w:rPr>
      </w:pPr>
      <w:r>
        <w:rPr>
          <w:rFonts w:ascii="宋体" w:hAnsi="宋体" w:cs="宋体"/>
          <w:sz w:val="24"/>
        </w:rPr>
        <w:t>景区旅游配套设施滞后</w:t>
      </w:r>
      <w:r>
        <w:rPr>
          <w:rFonts w:hint="eastAsia" w:ascii="宋体" w:hAnsi="宋体" w:cs="宋体"/>
          <w:sz w:val="24"/>
        </w:rPr>
        <w:t>，</w:t>
      </w:r>
      <w:r>
        <w:rPr>
          <w:rFonts w:ascii="宋体" w:hAnsi="宋体" w:cs="宋体"/>
          <w:sz w:val="24"/>
        </w:rPr>
        <w:t>公共配套设施不足。本景区大量为建成区，存量可建设的后备用地少，景区居民社会安置、完善旅游配套设施、补足公共配套设施短板具有较大的挑战。</w:t>
      </w:r>
      <w:r>
        <w:rPr>
          <w:rFonts w:hint="eastAsia"/>
          <w:sz w:val="24"/>
        </w:rPr>
        <w:t>景区内居民的生产与生活严重影响景区的景观与环境。用地内人口的膨胀严重影响景区的保护与可持续发展。</w:t>
      </w:r>
    </w:p>
    <w:p>
      <w:pPr>
        <w:spacing w:line="360" w:lineRule="auto"/>
        <w:ind w:firstLine="480" w:firstLineChars="200"/>
        <w:rPr>
          <w:sz w:val="24"/>
        </w:rPr>
      </w:pPr>
      <w:r>
        <w:rPr>
          <w:rFonts w:hint="eastAsia"/>
          <w:sz w:val="24"/>
        </w:rPr>
        <w:t>岳阳市政府针对岳阳楼景区现状，近年来也加大人力物力的投入，如岳阳楼——洞庭湖旅游观光区建设项目、</w:t>
      </w:r>
      <w:r>
        <w:rPr>
          <w:rFonts w:hint="eastAsia" w:ascii="Arial" w:hAnsi="Arial" w:cs="Arial"/>
          <w:sz w:val="24"/>
          <w:shd w:val="clear" w:color="auto" w:fill="FFFFFF"/>
        </w:rPr>
        <w:t>洞庭南路历史文化旧区改造与基础设施建设项目、</w:t>
      </w:r>
      <w:r>
        <w:rPr>
          <w:sz w:val="24"/>
          <w:shd w:val="clear" w:color="auto" w:fill="FFFFFF"/>
        </w:rPr>
        <w:t>对岳阳楼进行为期三个月保养维护（2021.3.33—6.18）、</w:t>
      </w:r>
      <w:r>
        <w:rPr>
          <w:rFonts w:hint="eastAsia"/>
          <w:sz w:val="24"/>
          <w:shd w:val="clear" w:color="auto" w:fill="FFFFFF"/>
        </w:rPr>
        <w:t>以及即将开展的</w:t>
      </w:r>
      <w:r>
        <w:rPr>
          <w:rFonts w:hint="eastAsia" w:ascii="Arial" w:hAnsi="Arial" w:cs="Arial"/>
          <w:sz w:val="24"/>
          <w:shd w:val="clear" w:color="auto" w:fill="FFFFFF"/>
        </w:rPr>
        <w:t>岳阳楼景区</w:t>
      </w:r>
      <w:r>
        <w:rPr>
          <w:sz w:val="24"/>
          <w:shd w:val="clear" w:color="auto" w:fill="FFFFFF"/>
        </w:rPr>
        <w:t>洞庭南路历史街区开发旅游基础设施项目（一期）</w:t>
      </w:r>
      <w:r>
        <w:rPr>
          <w:rFonts w:hint="eastAsia"/>
          <w:sz w:val="24"/>
          <w:shd w:val="clear" w:color="auto" w:fill="FFFFFF"/>
        </w:rPr>
        <w:t>和</w:t>
      </w:r>
      <w:r>
        <w:rPr>
          <w:rFonts w:ascii="Arial" w:hAnsi="Arial" w:cs="Arial"/>
          <w:sz w:val="24"/>
          <w:shd w:val="clear" w:color="auto" w:fill="FFFFFF"/>
        </w:rPr>
        <w:t>岳阳楼景区提质及北扩项目</w:t>
      </w:r>
      <w:r>
        <w:rPr>
          <w:rFonts w:hint="eastAsia"/>
          <w:sz w:val="24"/>
        </w:rPr>
        <w:t>等一系列工程，这些工程的建成会对岳阳楼景区生态环境的恢复起到良好的促进的作用。</w:t>
      </w:r>
    </w:p>
    <w:p>
      <w:pPr>
        <w:pStyle w:val="5"/>
        <w:rPr>
          <w:rFonts w:ascii="Times New Roman" w:hAnsi="Times New Roman"/>
        </w:rPr>
      </w:pPr>
      <w:bookmarkStart w:id="248" w:name="_Toc500854732"/>
      <w:bookmarkStart w:id="249" w:name="_Toc496628797"/>
      <w:bookmarkStart w:id="250" w:name="_Toc499280427"/>
      <w:bookmarkStart w:id="251" w:name="_Toc5953853"/>
      <w:bookmarkStart w:id="252" w:name="_Toc4491197"/>
      <w:r>
        <w:rPr>
          <w:rFonts w:ascii="Times New Roman" w:hAnsi="Times New Roman"/>
        </w:rPr>
        <w:t>3.5 生态现状综合评价</w:t>
      </w:r>
      <w:bookmarkEnd w:id="248"/>
      <w:bookmarkEnd w:id="249"/>
      <w:bookmarkEnd w:id="250"/>
      <w:bookmarkEnd w:id="251"/>
      <w:bookmarkEnd w:id="252"/>
    </w:p>
    <w:p>
      <w:pPr>
        <w:spacing w:line="360" w:lineRule="auto"/>
        <w:ind w:firstLine="480" w:firstLineChars="200"/>
        <w:rPr>
          <w:sz w:val="24"/>
        </w:rPr>
      </w:pPr>
      <w:r>
        <w:rPr>
          <w:sz w:val="24"/>
        </w:rPr>
        <w:t>本项目位于</w:t>
      </w:r>
      <w:r>
        <w:rPr>
          <w:rFonts w:hint="eastAsia"/>
          <w:sz w:val="24"/>
        </w:rPr>
        <w:t>岳阳市</w:t>
      </w:r>
      <w:r>
        <w:rPr>
          <w:sz w:val="24"/>
        </w:rPr>
        <w:t>岳阳楼区</w:t>
      </w:r>
      <w:r>
        <w:rPr>
          <w:rFonts w:hint="eastAsia"/>
          <w:sz w:val="24"/>
        </w:rPr>
        <w:t>，</w:t>
      </w:r>
      <w:r>
        <w:rPr>
          <w:sz w:val="24"/>
        </w:rPr>
        <w:t>处于岳阳楼</w:t>
      </w:r>
      <w:r>
        <w:rPr>
          <w:rFonts w:hint="eastAsia"/>
          <w:sz w:val="24"/>
        </w:rPr>
        <w:t>风景区</w:t>
      </w:r>
      <w:r>
        <w:rPr>
          <w:rStyle w:val="29"/>
        </w:rPr>
        <w:t>外围保护地带区，不在岳阳楼—洞庭湖风景名胜区岳阳楼景区范围</w:t>
      </w:r>
      <w:r>
        <w:rPr>
          <w:rFonts w:hint="eastAsia"/>
          <w:sz w:val="24"/>
        </w:rPr>
        <w:t>内（特级、一级、二级、三级保护区）。</w:t>
      </w:r>
      <w:r>
        <w:rPr>
          <w:sz w:val="24"/>
        </w:rPr>
        <w:t>通过</w:t>
      </w:r>
      <w:r>
        <w:rPr>
          <w:rFonts w:hint="eastAsia"/>
          <w:sz w:val="24"/>
        </w:rPr>
        <w:t>现场调查并</w:t>
      </w:r>
      <w:r>
        <w:rPr>
          <w:sz w:val="24"/>
        </w:rPr>
        <w:t>结合</w:t>
      </w:r>
      <w:r>
        <w:rPr>
          <w:rFonts w:hint="eastAsia"/>
          <w:sz w:val="24"/>
        </w:rPr>
        <w:t>相关</w:t>
      </w:r>
      <w:r>
        <w:rPr>
          <w:sz w:val="24"/>
        </w:rPr>
        <w:t>文献资料，</w:t>
      </w:r>
      <w:r>
        <w:rPr>
          <w:rFonts w:hint="eastAsia"/>
          <w:sz w:val="24"/>
        </w:rPr>
        <w:t>本</w:t>
      </w:r>
      <w:r>
        <w:rPr>
          <w:sz w:val="24"/>
        </w:rPr>
        <w:t>项目</w:t>
      </w:r>
      <w:r>
        <w:rPr>
          <w:rFonts w:hint="eastAsia"/>
          <w:sz w:val="24"/>
          <w:lang w:val="en-US"/>
        </w:rPr>
        <w:t>02#</w:t>
      </w:r>
      <w:r>
        <w:rPr>
          <w:rFonts w:hint="eastAsia"/>
          <w:sz w:val="24"/>
          <w:lang w:val="en-US" w:eastAsia="zh-CN"/>
        </w:rPr>
        <w:t>地块主体工程已建成部分</w:t>
      </w:r>
      <w:r>
        <w:rPr>
          <w:rFonts w:hint="eastAsia"/>
          <w:sz w:val="24"/>
          <w:lang w:val="en-US"/>
        </w:rPr>
        <w:t>、03#地块主体工程已基本建成，</w:t>
      </w:r>
      <w:r>
        <w:rPr>
          <w:rFonts w:hint="eastAsia"/>
          <w:sz w:val="24"/>
          <w:lang w:val="en-US" w:eastAsia="zh-CN"/>
        </w:rPr>
        <w:t>02#、03#地块</w:t>
      </w:r>
      <w:r>
        <w:rPr>
          <w:rFonts w:hint="eastAsia"/>
          <w:sz w:val="24"/>
          <w:lang w:val="en-US"/>
        </w:rPr>
        <w:t>抹灰、外墙涂料等配套工程实施中</w:t>
      </w:r>
      <w:r>
        <w:rPr>
          <w:rFonts w:hint="eastAsia"/>
          <w:sz w:val="24"/>
          <w:lang w:val="en-US" w:eastAsia="zh-CN"/>
        </w:rPr>
        <w:t>，</w:t>
      </w:r>
      <w:r>
        <w:rPr>
          <w:rFonts w:hint="eastAsia"/>
          <w:sz w:val="24"/>
          <w:lang w:val="en-US"/>
        </w:rPr>
        <w:t>04#地块处于土方开挖阶段</w:t>
      </w:r>
      <w:r>
        <w:rPr>
          <w:rFonts w:hint="eastAsia"/>
          <w:sz w:val="24"/>
          <w:lang w:val="en-US" w:eastAsia="zh-CN"/>
        </w:rPr>
        <w:t>。</w:t>
      </w:r>
      <w:r>
        <w:rPr>
          <w:sz w:val="24"/>
        </w:rPr>
        <w:t>重点评价范围</w:t>
      </w:r>
      <w:r>
        <w:rPr>
          <w:rFonts w:hint="eastAsia"/>
          <w:sz w:val="24"/>
        </w:rPr>
        <w:t>无自然植被，周边</w:t>
      </w:r>
      <w:r>
        <w:rPr>
          <w:sz w:val="24"/>
        </w:rPr>
        <w:t>自然植被状况</w:t>
      </w:r>
      <w:r>
        <w:rPr>
          <w:rFonts w:hint="eastAsia"/>
          <w:sz w:val="24"/>
        </w:rPr>
        <w:t>一般</w:t>
      </w:r>
      <w:r>
        <w:rPr>
          <w:sz w:val="24"/>
        </w:rPr>
        <w:t>，以人工景观为主</w:t>
      </w:r>
      <w:r>
        <w:rPr>
          <w:rFonts w:hint="eastAsia"/>
          <w:sz w:val="24"/>
        </w:rPr>
        <w:t>，属于城市生态系统</w:t>
      </w:r>
      <w:r>
        <w:rPr>
          <w:sz w:val="24"/>
        </w:rPr>
        <w:t>。重点评价范围区无特种保护的重点动植物，主要植物为人工种植林木、</w:t>
      </w:r>
      <w:r>
        <w:rPr>
          <w:rFonts w:hint="eastAsia"/>
          <w:sz w:val="24"/>
        </w:rPr>
        <w:t>次生灌木林、</w:t>
      </w:r>
      <w:r>
        <w:rPr>
          <w:sz w:val="24"/>
        </w:rPr>
        <w:t>自然野生草地等，主要动物为蛙类、鼠类、</w:t>
      </w:r>
      <w:r>
        <w:rPr>
          <w:rFonts w:hint="eastAsia"/>
          <w:sz w:val="24"/>
        </w:rPr>
        <w:t>人工生态系统中常见鸟</w:t>
      </w:r>
      <w:r>
        <w:rPr>
          <w:sz w:val="24"/>
        </w:rPr>
        <w:t>类等。</w:t>
      </w:r>
    </w:p>
    <w:p>
      <w:pPr>
        <w:spacing w:line="360" w:lineRule="auto"/>
        <w:ind w:firstLine="480" w:firstLineChars="200"/>
        <w:rPr>
          <w:sz w:val="24"/>
        </w:rPr>
      </w:pPr>
      <w:r>
        <w:rPr>
          <w:sz w:val="24"/>
        </w:rPr>
        <w:t>总体评价</w:t>
      </w:r>
      <w:r>
        <w:rPr>
          <w:rFonts w:hint="eastAsia"/>
          <w:sz w:val="24"/>
        </w:rPr>
        <w:t>项目所在</w:t>
      </w:r>
      <w:r>
        <w:rPr>
          <w:sz w:val="24"/>
        </w:rPr>
        <w:t>区域自然环境质量</w:t>
      </w:r>
      <w:r>
        <w:rPr>
          <w:rFonts w:hint="eastAsia"/>
          <w:sz w:val="24"/>
        </w:rPr>
        <w:t>一般</w:t>
      </w:r>
      <w:r>
        <w:rPr>
          <w:sz w:val="24"/>
        </w:rPr>
        <w:t>，人为干扰严重，不是野生动物活动的重要场所，野生动物种类较少</w:t>
      </w:r>
      <w:r>
        <w:rPr>
          <w:rFonts w:hint="eastAsia"/>
          <w:sz w:val="24"/>
        </w:rPr>
        <w:t>。</w:t>
      </w:r>
    </w:p>
    <w:p>
      <w:pPr>
        <w:pStyle w:val="4"/>
      </w:pPr>
      <w:bookmarkStart w:id="253" w:name="_Toc4491198"/>
      <w:bookmarkStart w:id="254" w:name="_Toc496628798"/>
      <w:bookmarkStart w:id="255" w:name="_Toc499280428"/>
      <w:bookmarkStart w:id="256" w:name="_Toc5953854"/>
      <w:bookmarkStart w:id="257" w:name="_Toc500854733"/>
      <w:r>
        <w:t>4、生态影响预测与评价</w:t>
      </w:r>
      <w:bookmarkEnd w:id="253"/>
      <w:bookmarkEnd w:id="254"/>
      <w:bookmarkEnd w:id="255"/>
      <w:bookmarkEnd w:id="256"/>
      <w:bookmarkEnd w:id="257"/>
    </w:p>
    <w:p>
      <w:pPr>
        <w:pStyle w:val="5"/>
        <w:rPr>
          <w:rFonts w:ascii="Times New Roman" w:hAnsi="Times New Roman"/>
        </w:rPr>
      </w:pPr>
      <w:bookmarkStart w:id="258" w:name="_Toc5953855"/>
      <w:bookmarkStart w:id="259" w:name="_Toc4491199"/>
      <w:r>
        <w:rPr>
          <w:rFonts w:ascii="Times New Roman" w:hAnsi="Times New Roman"/>
        </w:rPr>
        <w:t>4.1 生态系统及环境质量影响分析</w:t>
      </w:r>
      <w:bookmarkEnd w:id="258"/>
      <w:bookmarkEnd w:id="259"/>
    </w:p>
    <w:p>
      <w:pPr>
        <w:pStyle w:val="2"/>
      </w:pPr>
      <w:bookmarkStart w:id="260" w:name="_Toc432430515"/>
      <w:r>
        <w:t>生态系统是指在自然界的一定的空间内，生物与环境构成的统一整体，在这个统一整体中，生物与环境之间相互影响、相互制约，并在一定时期内处于相对稳定的动态平衡状态。生态系统是开放系统，为了维系自身的稳定，生态系统需要不断输入能量，否则就有崩溃的危险；许多基础物质在生态系统中不断循环，其中碳循环与全球温室效应密切相关，生态系统是生态学领域的一个主要结构和功能单位，属于生态学研究的最高层次。</w:t>
      </w:r>
      <w:bookmarkEnd w:id="260"/>
    </w:p>
    <w:p>
      <w:pPr>
        <w:pStyle w:val="2"/>
        <w:ind w:firstLine="0"/>
      </w:pPr>
      <w:r>
        <w:rPr>
          <w:rFonts w:hint="eastAsia"/>
          <w:lang w:eastAsia="zh-CN"/>
        </w:rPr>
        <w:t>本项目评价范围内</w:t>
      </w:r>
      <w:r>
        <w:rPr>
          <w:rFonts w:hint="eastAsia"/>
        </w:rPr>
        <w:t>主要为城市生态系统，</w:t>
      </w:r>
      <w:r>
        <w:rPr>
          <w:rFonts w:hint="eastAsia"/>
          <w:sz w:val="24"/>
        </w:rPr>
        <w:t>岳阳楼—洞庭湖风景名胜区岳阳楼景区为以岳阳楼为核心，集名楼、名人、名文、名湖于一身，是岳阳市历史文化名城的重要组成部分，以观光游览、历史探源、爱国主义教育等为主要活动内容，兼具城市文化休闲功能的史迹型景区。</w:t>
      </w:r>
      <w:r>
        <w:rPr>
          <w:rFonts w:hint="eastAsia"/>
          <w:sz w:val="24"/>
          <w:lang w:eastAsia="zh-CN"/>
        </w:rPr>
        <w:t>本项目</w:t>
      </w:r>
      <w:r>
        <w:rPr>
          <w:rFonts w:hint="eastAsia"/>
        </w:rPr>
        <w:t>不涉及岳阳楼风景区内的国家重点保护植物及珍稀濒危植物种类。</w:t>
      </w:r>
      <w:r>
        <w:t>区域主要为草地群落</w:t>
      </w:r>
      <w:r>
        <w:rPr>
          <w:rFonts w:hint="eastAsia"/>
        </w:rPr>
        <w:t>、城市人工植被系统群落</w:t>
      </w:r>
      <w:r>
        <w:t>，植被覆盖度</w:t>
      </w:r>
      <w:r>
        <w:rPr>
          <w:rFonts w:hint="eastAsia"/>
        </w:rPr>
        <w:t>较低</w:t>
      </w:r>
      <w:r>
        <w:t>，地表扰动少，水土流失轻微。项目施工期间，由于土地平整、地基开挖、管网、道路、绿化等建设造成项目区域原有</w:t>
      </w:r>
      <w:r>
        <w:rPr>
          <w:rFonts w:hint="eastAsia"/>
        </w:rPr>
        <w:t>地表被破坏</w:t>
      </w:r>
      <w:r>
        <w:t>，地形地貌发生一定程度的变化，并造成水土流失。项目施工后，及时对项目区域进行绿化，可使地表植被在一定程度上恢复，但主要是以绿化树种为主，在一定程度上降低了水土保持和水源涵养的效果。</w:t>
      </w:r>
    </w:p>
    <w:p>
      <w:pPr>
        <w:pStyle w:val="6"/>
        <w:rPr>
          <w:rFonts w:ascii="Times New Roman" w:hAnsi="Times New Roman"/>
        </w:rPr>
      </w:pPr>
      <w:r>
        <w:rPr>
          <w:rFonts w:ascii="Times New Roman" w:hAnsi="Times New Roman"/>
        </w:rPr>
        <w:t>4.1.1植被及植物多样性影响分析</w:t>
      </w:r>
    </w:p>
    <w:p>
      <w:pPr>
        <w:pStyle w:val="6"/>
        <w:rPr>
          <w:rFonts w:ascii="Times New Roman" w:hAnsi="Times New Roman"/>
        </w:rPr>
      </w:pPr>
      <w:r>
        <w:rPr>
          <w:rFonts w:ascii="Times New Roman" w:hAnsi="Times New Roman"/>
        </w:rPr>
        <w:t>4.1.1.1施工期影响</w:t>
      </w:r>
    </w:p>
    <w:p>
      <w:pPr>
        <w:spacing w:line="360" w:lineRule="auto"/>
        <w:ind w:firstLine="480" w:firstLineChars="200"/>
        <w:rPr>
          <w:sz w:val="24"/>
        </w:rPr>
      </w:pPr>
      <w:r>
        <w:rPr>
          <w:rFonts w:hint="eastAsia"/>
          <w:sz w:val="24"/>
        </w:rPr>
        <w:t>为降低本项目建成后对周围环境景观的负面影响，主体工程设计对项目区内可实施的绿化区域进行景观绿化设计，同时对原有的绿化区域进行补植、修复等植物措施，根据主体工程设计资料，本工程建设完成后</w:t>
      </w:r>
      <w:r>
        <w:rPr>
          <w:rFonts w:hint="eastAsia"/>
          <w:sz w:val="24"/>
          <w:lang w:val="en-US" w:eastAsia="zh-CN"/>
        </w:rPr>
        <w:t>3个地块</w:t>
      </w:r>
      <w:r>
        <w:rPr>
          <w:rFonts w:hint="eastAsia"/>
          <w:sz w:val="24"/>
        </w:rPr>
        <w:t>绿地</w:t>
      </w:r>
      <w:r>
        <w:rPr>
          <w:rFonts w:hint="eastAsia"/>
          <w:sz w:val="24"/>
          <w:lang w:eastAsia="zh-CN"/>
        </w:rPr>
        <w:t>总</w:t>
      </w:r>
      <w:r>
        <w:rPr>
          <w:rFonts w:hint="eastAsia"/>
          <w:sz w:val="24"/>
        </w:rPr>
        <w:t>面积将达到</w:t>
      </w:r>
      <w:r>
        <w:rPr>
          <w:rFonts w:hint="eastAsia"/>
          <w:color w:val="231F20"/>
          <w:kern w:val="0"/>
          <w:sz w:val="24"/>
        </w:rPr>
        <w:t>38735</w:t>
      </w:r>
      <w:r>
        <w:rPr>
          <w:rFonts w:hint="eastAsia"/>
          <w:sz w:val="24"/>
        </w:rPr>
        <w:t>m</w:t>
      </w:r>
      <w:r>
        <w:rPr>
          <w:rFonts w:hint="eastAsia"/>
          <w:sz w:val="24"/>
          <w:vertAlign w:val="superscript"/>
        </w:rPr>
        <w:t>2</w:t>
      </w:r>
      <w:r>
        <w:rPr>
          <w:rFonts w:hint="eastAsia"/>
          <w:sz w:val="24"/>
        </w:rPr>
        <w:t>。</w:t>
      </w:r>
    </w:p>
    <w:p>
      <w:pPr>
        <w:spacing w:line="360" w:lineRule="auto"/>
        <w:ind w:firstLine="480" w:firstLineChars="200"/>
        <w:rPr>
          <w:sz w:val="24"/>
        </w:rPr>
      </w:pPr>
      <w:r>
        <w:rPr>
          <w:rFonts w:hint="eastAsia"/>
          <w:sz w:val="24"/>
        </w:rPr>
        <w:t>从水土保持角度分析，</w:t>
      </w:r>
      <w:r>
        <w:rPr>
          <w:rStyle w:val="29"/>
          <w:rFonts w:hint="eastAsia"/>
        </w:rPr>
        <w:t>主体设计尽量减少了工程建设过程中对地表的破坏，对可绿化的区域进行了景观绿化，增加了项目区的林草植被覆盖率，改善了项目区的小气候，同时有效的防止项目区的水土流失，符合水土保持相关规定的要求。主体设计已进</w:t>
      </w:r>
      <w:r>
        <w:rPr>
          <w:rFonts w:hint="eastAsia"/>
          <w:sz w:val="24"/>
        </w:rPr>
        <w:t>行植物树草种选配但未设计绿化措施的施工方法，建议下阶段主体设计增加绿化措施的施工工艺。</w:t>
      </w:r>
    </w:p>
    <w:p>
      <w:pPr>
        <w:spacing w:line="360" w:lineRule="auto"/>
        <w:ind w:firstLine="480" w:firstLineChars="200"/>
        <w:rPr>
          <w:sz w:val="24"/>
        </w:rPr>
      </w:pPr>
      <w:r>
        <w:rPr>
          <w:rFonts w:hint="eastAsia"/>
          <w:sz w:val="24"/>
        </w:rPr>
        <w:t>项目占用面积涉及岳阳楼景区外围保护地带，不在岳阳楼—洞庭湖风景名胜区岳阳楼景区范围内（特级、一级、二级、三级保护区），说明工程实施对岳阳楼—洞庭湖风景名胜区岳阳楼景区的总体植被及植物多样性影响较小，且在项目施工完成后将对扰动区域进行一定程度的地表恢复，可以恢复施工期造成的影响，可降低对区域植被多样性影响，其对生态环境的影响很小。</w:t>
      </w:r>
    </w:p>
    <w:p>
      <w:pPr>
        <w:pStyle w:val="6"/>
        <w:rPr>
          <w:rFonts w:ascii="Times New Roman" w:hAnsi="Times New Roman"/>
        </w:rPr>
      </w:pPr>
      <w:r>
        <w:rPr>
          <w:rFonts w:ascii="Times New Roman" w:hAnsi="Times New Roman"/>
        </w:rPr>
        <w:t>4.1.1.2运营期影响</w:t>
      </w:r>
    </w:p>
    <w:p>
      <w:pPr>
        <w:spacing w:line="360" w:lineRule="auto"/>
        <w:ind w:firstLine="480" w:firstLineChars="200"/>
        <w:rPr>
          <w:sz w:val="24"/>
        </w:rPr>
      </w:pPr>
      <w:r>
        <w:rPr>
          <w:rFonts w:hint="eastAsia"/>
          <w:sz w:val="24"/>
        </w:rPr>
        <w:t>工程运营期的产生的污染物主要为生活污染源，经合理的防治措施后，不会对区域现有环境造成明显影响。施工通过对占地区域进行绿化景观建设，形成人工城市生态系统，项目规划建设为生态型居民小区，项目良好的景观绿地系统对营运期植物具有正效应。营运期对植被及植物多样性无明显影响。</w:t>
      </w:r>
    </w:p>
    <w:p>
      <w:pPr>
        <w:pStyle w:val="6"/>
        <w:rPr>
          <w:rFonts w:ascii="Times New Roman" w:hAnsi="Times New Roman"/>
        </w:rPr>
      </w:pPr>
      <w:r>
        <w:rPr>
          <w:rFonts w:ascii="Times New Roman" w:hAnsi="Times New Roman"/>
        </w:rPr>
        <w:t>4.1.2动物多样性影响分析</w:t>
      </w:r>
    </w:p>
    <w:p>
      <w:pPr>
        <w:pStyle w:val="6"/>
      </w:pPr>
      <w:r>
        <w:rPr>
          <w:rFonts w:ascii="Times New Roman" w:hAnsi="Times New Roman"/>
        </w:rPr>
        <w:t xml:space="preserve">4.1.2.1 </w:t>
      </w:r>
      <w:r>
        <w:t>施工期影响</w:t>
      </w:r>
    </w:p>
    <w:p>
      <w:pPr>
        <w:spacing w:line="360" w:lineRule="auto"/>
        <w:ind w:firstLine="480" w:firstLineChars="200"/>
        <w:rPr>
          <w:sz w:val="24"/>
        </w:rPr>
      </w:pPr>
      <w:r>
        <w:rPr>
          <w:rFonts w:hint="eastAsia"/>
          <w:sz w:val="24"/>
        </w:rPr>
        <w:t>由于项目重点评价区域内有城市</w:t>
      </w:r>
      <w:r>
        <w:rPr>
          <w:rFonts w:hint="eastAsia"/>
          <w:sz w:val="24"/>
          <w:lang w:eastAsia="zh-CN"/>
        </w:rPr>
        <w:t>道路</w:t>
      </w:r>
      <w:r>
        <w:rPr>
          <w:rFonts w:hint="eastAsia"/>
          <w:sz w:val="24"/>
        </w:rPr>
        <w:t>得胜北路、</w:t>
      </w:r>
      <w:r>
        <w:rPr>
          <w:rFonts w:hint="eastAsia"/>
          <w:sz w:val="24"/>
          <w:lang w:eastAsia="zh-CN"/>
        </w:rPr>
        <w:t>开发中路</w:t>
      </w:r>
      <w:r>
        <w:rPr>
          <w:rFonts w:hint="eastAsia"/>
          <w:sz w:val="24"/>
        </w:rPr>
        <w:t>等道路，区域内人类活动较频繁，有一定噪声本底值，动物栖息环境一般，项目占地区不是陆生脊椎动物的重要栖息、觅食、停歇场所，区内动物数量少、种类单一，项目施工期对生态环境重点影响区域范围内动物生长、繁殖及栖息影响小。</w:t>
      </w:r>
    </w:p>
    <w:p>
      <w:pPr>
        <w:autoSpaceDE w:val="0"/>
        <w:autoSpaceDN w:val="0"/>
        <w:adjustRightInd w:val="0"/>
        <w:spacing w:line="360" w:lineRule="auto"/>
        <w:ind w:firstLine="480" w:firstLineChars="200"/>
        <w:rPr>
          <w:sz w:val="24"/>
        </w:rPr>
      </w:pPr>
      <w:r>
        <w:rPr>
          <w:rFonts w:hint="eastAsia"/>
          <w:sz w:val="24"/>
        </w:rPr>
        <w:t>项目占地区域范围内的原有绿地被清除，在短期内会对工程区内的少量两栖爬行动物造成伤害，但由于这些动物在此区域内数量相对稀少，少量的个体损失不会影响周边大区域内的种群数量的显著波动。对于哺乳动物而言，项目区的几种小型兽类主要以鼠类为主，项目施工可能会清除部分鼠类的巢穴、觅食地，但因其活动能力强，场地平整一般不会对它们的生命造成伤害。</w:t>
      </w:r>
    </w:p>
    <w:p>
      <w:pPr>
        <w:autoSpaceDE w:val="0"/>
        <w:autoSpaceDN w:val="0"/>
        <w:adjustRightInd w:val="0"/>
        <w:spacing w:line="360" w:lineRule="auto"/>
        <w:ind w:firstLine="480" w:firstLineChars="200"/>
        <w:rPr>
          <w:color w:val="FF0000"/>
          <w:sz w:val="24"/>
        </w:rPr>
      </w:pPr>
      <w:r>
        <w:rPr>
          <w:sz w:val="24"/>
        </w:rPr>
        <w:t>项目施工期间</w:t>
      </w:r>
      <w:r>
        <w:rPr>
          <w:rFonts w:hint="eastAsia"/>
          <w:sz w:val="24"/>
        </w:rPr>
        <w:t>在</w:t>
      </w:r>
      <w:r>
        <w:rPr>
          <w:sz w:val="24"/>
        </w:rPr>
        <w:t>短期内对周边少量野生动物的影响仅限于减少了一小块觅食地。因项目区周边可替代生境较多，这种影响微乎其微。</w:t>
      </w:r>
    </w:p>
    <w:p>
      <w:pPr>
        <w:autoSpaceDE w:val="0"/>
        <w:autoSpaceDN w:val="0"/>
        <w:adjustRightInd w:val="0"/>
        <w:spacing w:line="360" w:lineRule="auto"/>
        <w:ind w:firstLine="480" w:firstLineChars="200"/>
        <w:rPr>
          <w:sz w:val="24"/>
        </w:rPr>
      </w:pPr>
      <w:r>
        <w:rPr>
          <w:rFonts w:hint="eastAsia"/>
          <w:sz w:val="24"/>
        </w:rPr>
        <w:t>此外，由于施工期间产生的噪声和夜间施工的灯光对</w:t>
      </w:r>
      <w:bookmarkStart w:id="261" w:name="_Toc375679290"/>
      <w:bookmarkStart w:id="262" w:name="_Toc376158977"/>
      <w:bookmarkStart w:id="263" w:name="_Toc380913754"/>
      <w:bookmarkStart w:id="264" w:name="_Toc382655916"/>
      <w:bookmarkStart w:id="265" w:name="_Toc431119607"/>
      <w:bookmarkStart w:id="266" w:name="_Toc432024918"/>
      <w:bookmarkStart w:id="267" w:name="_Toc432430552"/>
      <w:r>
        <w:rPr>
          <w:rFonts w:ascii="Times New Roman" w:hAnsi="Times New Roman"/>
          <w:sz w:val="24"/>
          <w:szCs w:val="24"/>
        </w:rPr>
        <w:t>鸟类睡眠有一定影响，尤其对夜间觅食的鸟类影响较大，强光的刺激将影响鸟类的视觉，从而影响它们的夜间捕食</w:t>
      </w:r>
      <w:bookmarkEnd w:id="261"/>
      <w:bookmarkEnd w:id="262"/>
      <w:bookmarkEnd w:id="263"/>
      <w:bookmarkEnd w:id="264"/>
      <w:bookmarkEnd w:id="265"/>
      <w:bookmarkEnd w:id="266"/>
      <w:bookmarkEnd w:id="267"/>
      <w:r>
        <w:rPr>
          <w:rFonts w:hint="eastAsia"/>
          <w:sz w:val="24"/>
        </w:rPr>
        <w:t>。</w:t>
      </w:r>
    </w:p>
    <w:p>
      <w:pPr>
        <w:pStyle w:val="6"/>
        <w:rPr>
          <w:rFonts w:ascii="Times New Roman" w:hAnsi="Times New Roman"/>
        </w:rPr>
      </w:pPr>
      <w:r>
        <w:rPr>
          <w:rFonts w:hint="eastAsia" w:ascii="Times New Roman" w:hAnsi="Times New Roman"/>
        </w:rPr>
        <w:t>4.1.2.2</w:t>
      </w:r>
      <w:r>
        <w:rPr>
          <w:rFonts w:ascii="Times New Roman" w:hAnsi="Times New Roman"/>
        </w:rPr>
        <w:t>营运期影响</w:t>
      </w:r>
    </w:p>
    <w:p>
      <w:pPr>
        <w:autoSpaceDE w:val="0"/>
        <w:autoSpaceDN w:val="0"/>
        <w:adjustRightInd w:val="0"/>
        <w:spacing w:line="360" w:lineRule="auto"/>
        <w:ind w:firstLine="480" w:firstLineChars="200"/>
        <w:rPr>
          <w:sz w:val="24"/>
        </w:rPr>
      </w:pPr>
      <w:r>
        <w:rPr>
          <w:rFonts w:hint="eastAsia"/>
          <w:sz w:val="24"/>
        </w:rPr>
        <w:t>项目建成后，随着项目绿化和景观工程的建成，部分野生动物，尤其是鸟类还会重新出现在该区域内，如岳阳楼风景区内常见的家燕、金腰燕等林鸟鸟类。</w:t>
      </w:r>
    </w:p>
    <w:p>
      <w:pPr>
        <w:pStyle w:val="2"/>
        <w:ind w:firstLine="480"/>
      </w:pPr>
      <w:r>
        <w:rPr>
          <w:rFonts w:hint="eastAsia"/>
        </w:rPr>
        <w:t>项目建成后，将一定程度上丰富现状生态景观系统，项目内部建设丰富的绿化景观，在配置中充分考虑植物的层次感，种植适应岳阳市气候和土壤条件的植物，并采用乔木、灌木、草地等相结合的复层绿化。而这些绿化景观能吸引大部分城市型鸟类回归项目占地区域，丰富项目所在区域的动物资源。</w:t>
      </w:r>
    </w:p>
    <w:p>
      <w:pPr>
        <w:pStyle w:val="6"/>
        <w:rPr>
          <w:rFonts w:ascii="Times New Roman" w:hAnsi="Times New Roman"/>
        </w:rPr>
      </w:pPr>
      <w:r>
        <w:rPr>
          <w:rFonts w:ascii="Times New Roman" w:hAnsi="Times New Roman"/>
        </w:rPr>
        <w:t>4.</w:t>
      </w:r>
      <w:r>
        <w:rPr>
          <w:rFonts w:hint="eastAsia" w:ascii="Times New Roman" w:hAnsi="Times New Roman"/>
        </w:rPr>
        <w:t>1.</w:t>
      </w:r>
      <w:r>
        <w:rPr>
          <w:rFonts w:ascii="Times New Roman" w:hAnsi="Times New Roman"/>
        </w:rPr>
        <w:t>3对水土流失的影响</w:t>
      </w:r>
    </w:p>
    <w:p>
      <w:pPr>
        <w:spacing w:line="360" w:lineRule="auto"/>
        <w:ind w:firstLine="480" w:firstLineChars="200"/>
        <w:rPr>
          <w:rStyle w:val="29"/>
        </w:rPr>
      </w:pPr>
      <w:r>
        <w:rPr>
          <w:rStyle w:val="29"/>
        </w:rPr>
        <w:t>水土流失过程是地表在水力或风力等外应力的作用下，土壤发生冲刷并随水分一同流失的过程。它是自然因素和人为因素综合作用下的产物，其影响因素包括气候、水文、地质、地貌、植被、工程建设等。项目所在地暴雨较多，在项目建设过程中，由于修路、建房、填挖等活动，地表植被遭到破坏并产生大量松散的泥土，</w:t>
      </w:r>
      <w:r>
        <w:rPr>
          <w:rStyle w:val="29"/>
          <w:rFonts w:hint="eastAsia"/>
        </w:rPr>
        <w:t>会</w:t>
      </w:r>
      <w:r>
        <w:rPr>
          <w:rStyle w:val="29"/>
        </w:rPr>
        <w:t>使原地貌的水土保持功能完全改变和短期内水土保持功能丧失。</w:t>
      </w:r>
    </w:p>
    <w:p>
      <w:pPr>
        <w:spacing w:line="360" w:lineRule="auto"/>
        <w:ind w:firstLine="480" w:firstLineChars="200"/>
        <w:rPr>
          <w:sz w:val="24"/>
        </w:rPr>
      </w:pPr>
      <w:r>
        <w:rPr>
          <w:rFonts w:hint="eastAsia"/>
          <w:sz w:val="24"/>
        </w:rPr>
        <w:t>根据《关于湖南省水土流失重点预防区和重点治理区划定公告》（湖南省水利厅2017年公告），项目区属于洞庭湖平原湿地省级水土流失重点预防区。根据《生产建设项目水土流失防治标准》（GB50434-2018）的规定，本工程水土流失防治标准执行建设类项目一级防治标准。根据《土壤侵蚀分类分级标准》（SLl90-2007）中土壤侵蚀强度分类分级标准，在全国土壤侵蚀类型区划上，本项目属于以水力侵蚀为主的类型区中的南方红壤丘陵区，其土壤容许流失量为500t/km</w:t>
      </w:r>
      <w:r>
        <w:rPr>
          <w:rFonts w:hint="eastAsia"/>
          <w:sz w:val="24"/>
          <w:vertAlign w:val="superscript"/>
        </w:rPr>
        <w:t>2</w:t>
      </w:r>
      <w:r>
        <w:rPr>
          <w:rFonts w:hint="eastAsia"/>
          <w:sz w:val="24"/>
        </w:rPr>
        <w:t>·a。</w:t>
      </w:r>
    </w:p>
    <w:p>
      <w:pPr>
        <w:spacing w:line="360" w:lineRule="auto"/>
        <w:ind w:firstLine="480" w:firstLineChars="200"/>
        <w:rPr>
          <w:sz w:val="24"/>
        </w:rPr>
      </w:pPr>
      <w:r>
        <w:rPr>
          <w:rFonts w:hint="eastAsia"/>
          <w:sz w:val="24"/>
        </w:rPr>
        <w:t>不同地形、降水条件下建筑用地原生土壤侵蚀模数为100t/km</w:t>
      </w:r>
      <w:r>
        <w:rPr>
          <w:rFonts w:hint="eastAsia"/>
          <w:sz w:val="24"/>
          <w:vertAlign w:val="superscript"/>
        </w:rPr>
        <w:t>2</w:t>
      </w:r>
      <w:r>
        <w:rPr>
          <w:rFonts w:hint="eastAsia"/>
          <w:sz w:val="24"/>
        </w:rPr>
        <w:t>·a，为轻度侵蚀。项目用地面积110638m</w:t>
      </w:r>
      <w:r>
        <w:rPr>
          <w:rFonts w:hint="eastAsia"/>
          <w:sz w:val="24"/>
          <w:vertAlign w:val="superscript"/>
        </w:rPr>
        <w:t>2</w:t>
      </w:r>
      <w:r>
        <w:rPr>
          <w:rFonts w:hint="eastAsia"/>
          <w:sz w:val="24"/>
        </w:rPr>
        <w:t>，全部为永久占地，占地类型为建设用地，建设期不会破坏周边现有的树木，且对现有环境进行统一规划协调建设。</w:t>
      </w:r>
    </w:p>
    <w:p>
      <w:pPr>
        <w:spacing w:line="360" w:lineRule="auto"/>
        <w:ind w:firstLine="480" w:firstLineChars="200"/>
        <w:rPr>
          <w:sz w:val="24"/>
        </w:rPr>
      </w:pPr>
      <w:r>
        <w:rPr>
          <w:rFonts w:hint="eastAsia"/>
          <w:sz w:val="24"/>
        </w:rPr>
        <w:t>项目征地范围内施工严格控制施工范围，不得占压红线范围外的土地。施工结束后，工程永久占地范围内基本进行了硬化及绿化措施。工程建设区主要布置在平坦地方，没有大的集雨面积和径流冲刷，便于控制施工过程中的水土流失。</w:t>
      </w:r>
    </w:p>
    <w:p>
      <w:pPr>
        <w:pStyle w:val="2"/>
        <w:ind w:firstLine="480"/>
      </w:pPr>
      <w:r>
        <w:rPr>
          <w:rFonts w:hint="eastAsia"/>
        </w:rPr>
        <w:t>工程施工主要包括土方基础工程、房建工程、道路硬化及绿化工程等，工程建设对项目区水土流失的影响主要表现为土石方开挖和回填，影响时段主要为施工期。施工期是损坏原地貌植被、临时堆土的集中时期建设过程中大量占用土地、进行场地平整、建筑物建设等改变了原地貌形态和土层结构，形成的临时堆土体较松散，如不采取临时防护措施，受降水和地表径流冲刷时其水土流失强度可达到极强烈，并可能对周边环境造成影响。但本工程的土石方施工期较短，工程施工活动对当地水土流失的影响范围相对有限，且在主体工程设计中采取了部分水土保持措施，只要及时实施主体工程设计和水保方案中的水土保持措施，可有效控制工程建设所产生的水土流失。</w:t>
      </w:r>
    </w:p>
    <w:p/>
    <w:p>
      <w:pPr>
        <w:pStyle w:val="6"/>
        <w:rPr>
          <w:rFonts w:ascii="Times New Roman" w:hAnsi="Times New Roman"/>
        </w:rPr>
      </w:pPr>
      <w:r>
        <w:rPr>
          <w:rFonts w:hint="eastAsia" w:ascii="Times New Roman" w:hAnsi="Times New Roman"/>
        </w:rPr>
        <w:t>4.1.4</w:t>
      </w:r>
      <w:r>
        <w:rPr>
          <w:rFonts w:hint="eastAsia"/>
        </w:rPr>
        <w:t>对土壤和景观的影响</w:t>
      </w:r>
    </w:p>
    <w:p>
      <w:pPr>
        <w:pStyle w:val="2"/>
        <w:adjustRightInd w:val="0"/>
        <w:snapToGrid w:val="0"/>
        <w:ind w:firstLine="482"/>
        <w:rPr>
          <w:b/>
          <w:bCs/>
        </w:rPr>
      </w:pPr>
      <w:r>
        <w:rPr>
          <w:rFonts w:hint="eastAsia"/>
          <w:b/>
          <w:bCs/>
        </w:rPr>
        <w:t>（1）土壤</w:t>
      </w:r>
    </w:p>
    <w:p>
      <w:pPr>
        <w:pStyle w:val="2"/>
        <w:adjustRightInd w:val="0"/>
        <w:snapToGrid w:val="0"/>
        <w:ind w:firstLine="480"/>
      </w:pPr>
      <w:r>
        <w:rPr>
          <w:rFonts w:hint="eastAsia"/>
        </w:rPr>
        <w:t>施工期由于地基开挖、管网、道路、绿化等建设，产生大量的土石方，大部分不能利用而作为弃土，减少了项目区域的土壤容量，此外，建设过程中水土流失等因此也会使土壤减少，变薄和贫瘠。</w:t>
      </w:r>
    </w:p>
    <w:p>
      <w:pPr>
        <w:pStyle w:val="2"/>
        <w:ind w:firstLine="480"/>
      </w:pPr>
      <w:r>
        <w:rPr>
          <w:rFonts w:hint="eastAsia"/>
        </w:rPr>
        <w:t>施工期由于机械的碾压及施工人员的践踏，在施工作业区周围的土壤将被严重压实，部分施工区域的表土被铲去，另一些区域的表土将可能被填埋，从而使施工完成后的土壤表土层缺乏原有土壤的肥力，不利于植物的生长和植被恢复。</w:t>
      </w:r>
    </w:p>
    <w:p>
      <w:pPr>
        <w:pStyle w:val="2"/>
        <w:ind w:firstLine="482"/>
        <w:rPr>
          <w:b/>
          <w:bCs/>
        </w:rPr>
      </w:pPr>
      <w:r>
        <w:rPr>
          <w:rFonts w:hint="eastAsia"/>
          <w:b/>
          <w:bCs/>
        </w:rPr>
        <w:t>（2）</w:t>
      </w:r>
      <w:r>
        <w:rPr>
          <w:b/>
          <w:bCs/>
        </w:rPr>
        <w:t>植物景观</w:t>
      </w:r>
    </w:p>
    <w:p>
      <w:pPr>
        <w:pStyle w:val="2"/>
        <w:ind w:firstLine="480"/>
      </w:pPr>
      <w:r>
        <w:rPr>
          <w:rFonts w:hint="eastAsia"/>
        </w:rPr>
        <w:t>景观是构成视觉图案的地貌和土地覆盖物，是人们对诸如自然景物和城市建筑物等环境因素审美的综合反映。在施工期间由于地表被破坏，大部分地将成为缺乏植被的裸地，破坏区域景观的连续性，会对景观造成不利影响，但随着施工期的结束，景观将会得到逐步的恢复和改善。</w:t>
      </w:r>
    </w:p>
    <w:p>
      <w:pPr>
        <w:pStyle w:val="2"/>
        <w:ind w:firstLine="480"/>
      </w:pPr>
      <w:r>
        <w:rPr>
          <w:rFonts w:hint="eastAsia"/>
        </w:rPr>
        <w:t>建设项目在总体布局方面，合理的利用了区域的地形、地貌，采取了分散布局的方式。本项目住宅楼、绿化带，每一个功能区建筑美观新颖，结合地形地势和自然植被，将人工建筑与自然风光巧妙的结合出来，使楼宇、园林、绿水交相辉映，形成一条亮丽的风光带。整个占地范围，一改过去灌草丛生，杂乱无章的无序景象，取而代之的是满目翠绿，鲜花怒放。</w:t>
      </w:r>
    </w:p>
    <w:p>
      <w:pPr>
        <w:pStyle w:val="6"/>
        <w:rPr>
          <w:rFonts w:ascii="Times New Roman" w:hAnsi="Times New Roman"/>
        </w:rPr>
      </w:pPr>
      <w:r>
        <w:rPr>
          <w:rFonts w:ascii="Times New Roman" w:hAnsi="Times New Roman"/>
        </w:rPr>
        <w:t>4.1.</w:t>
      </w:r>
      <w:r>
        <w:rPr>
          <w:rFonts w:hint="eastAsia" w:ascii="Times New Roman" w:hAnsi="Times New Roman"/>
        </w:rPr>
        <w:t>5</w:t>
      </w:r>
      <w:r>
        <w:rPr>
          <w:rFonts w:ascii="Times New Roman" w:hAnsi="Times New Roman"/>
        </w:rPr>
        <w:t xml:space="preserve"> 施工期</w:t>
      </w:r>
      <w:r>
        <w:rPr>
          <w:rFonts w:hint="eastAsia"/>
        </w:rPr>
        <w:t>对环境质量影响</w:t>
      </w:r>
    </w:p>
    <w:p>
      <w:pPr>
        <w:spacing w:line="360" w:lineRule="auto"/>
        <w:ind w:firstLine="480" w:firstLineChars="200"/>
        <w:rPr>
          <w:sz w:val="24"/>
        </w:rPr>
      </w:pPr>
      <w:r>
        <w:rPr>
          <w:rFonts w:hint="eastAsia"/>
          <w:sz w:val="24"/>
        </w:rPr>
        <w:t>项目施工期对评价区域的生态影响涉及项目区及评价范围内生态系统，包括对声环境、空气环境以及水环境产生影响。</w:t>
      </w:r>
    </w:p>
    <w:p>
      <w:pPr>
        <w:spacing w:line="360" w:lineRule="auto"/>
        <w:ind w:firstLine="482" w:firstLineChars="200"/>
        <w:rPr>
          <w:b/>
          <w:sz w:val="24"/>
        </w:rPr>
      </w:pPr>
      <w:r>
        <w:rPr>
          <w:b/>
          <w:sz w:val="24"/>
        </w:rPr>
        <w:t>（1）</w:t>
      </w:r>
      <w:r>
        <w:rPr>
          <w:rFonts w:hint="eastAsia"/>
          <w:b/>
          <w:sz w:val="24"/>
        </w:rPr>
        <w:t>声环境</w:t>
      </w:r>
      <w:r>
        <w:rPr>
          <w:b/>
          <w:sz w:val="24"/>
        </w:rPr>
        <w:t>影响</w:t>
      </w:r>
    </w:p>
    <w:p>
      <w:pPr>
        <w:spacing w:line="360" w:lineRule="auto"/>
        <w:ind w:firstLine="480" w:firstLineChars="200"/>
        <w:rPr>
          <w:sz w:val="24"/>
        </w:rPr>
      </w:pPr>
      <w:r>
        <w:rPr>
          <w:rFonts w:hint="eastAsia"/>
          <w:sz w:val="24"/>
        </w:rPr>
        <w:t>施工期噪声是建筑施工期间最为显著的污染因素，在选址区域内土地平整阶段土方开挖和回填、机械设备操作、车辆运输等过程中产生振动和噪声，所用机械可能有挖掘机、推土机、振捣机、空压机、电焊、电锯和切割机等，其噪声值在87~99dB(A)之间，在不考虑外界因素等吸收、围挡隔音的影响下，昼间受施工单台机械噪声影响集中在声源范围60m以内，夜间禁止施工（除抢险作业、特殊施工工艺要求外）。同时如遇特殊施工工艺要求需在夜间进行施工时，影响范围在300m内。因此建设单位夜间施工作业必须征得主管部门同意，并公告周边居民取得其谅解。为减少本项目建设对周边环境敏感点人员和区域外界声环境的影响，建设单位必须加强施工期的组织管理，采取必要的防护措施对施工噪声进行控制后，将本项目施工噪声对周围敏感点影响控制在最低水平。</w:t>
      </w:r>
    </w:p>
    <w:p>
      <w:pPr>
        <w:spacing w:line="360" w:lineRule="auto"/>
        <w:ind w:firstLine="482" w:firstLineChars="200"/>
        <w:rPr>
          <w:b/>
          <w:sz w:val="24"/>
        </w:rPr>
      </w:pPr>
      <w:r>
        <w:rPr>
          <w:b/>
          <w:sz w:val="24"/>
        </w:rPr>
        <w:t>（</w:t>
      </w:r>
      <w:r>
        <w:rPr>
          <w:rFonts w:hint="eastAsia"/>
          <w:b/>
          <w:sz w:val="24"/>
        </w:rPr>
        <w:t>2</w:t>
      </w:r>
      <w:r>
        <w:rPr>
          <w:b/>
          <w:sz w:val="24"/>
        </w:rPr>
        <w:t>）</w:t>
      </w:r>
      <w:r>
        <w:rPr>
          <w:rFonts w:hint="eastAsia"/>
          <w:b/>
          <w:sz w:val="24"/>
        </w:rPr>
        <w:t>空气环境</w:t>
      </w:r>
      <w:r>
        <w:rPr>
          <w:b/>
          <w:sz w:val="24"/>
        </w:rPr>
        <w:t>影响</w:t>
      </w:r>
    </w:p>
    <w:p>
      <w:pPr>
        <w:spacing w:line="360" w:lineRule="auto"/>
        <w:ind w:firstLine="480" w:firstLineChars="200"/>
        <w:rPr>
          <w:sz w:val="24"/>
        </w:rPr>
      </w:pPr>
      <w:r>
        <w:rPr>
          <w:rFonts w:hint="eastAsia"/>
          <w:sz w:val="24"/>
        </w:rPr>
        <w:t>施工过程中产生的主要大气污染物是扬尘，其次是施工机械排放的少量燃油废气，主要发生在以下施工环节：推土机、挖掘机、铲土机、装载车等机械作业处；砂石料堆场在空气动力作用下起尘；汽车在运送土石方和砂石料过程中，由于振动和自然风力等因素引起的物料洒落起尘及道路二次扬尘；卡车自动卸料时产生的粉尘污染以及水泥拆包粉尘。</w:t>
      </w:r>
    </w:p>
    <w:p>
      <w:pPr>
        <w:spacing w:line="360" w:lineRule="auto"/>
        <w:ind w:firstLine="480" w:firstLineChars="200"/>
        <w:rPr>
          <w:bCs/>
          <w:sz w:val="24"/>
        </w:rPr>
      </w:pPr>
      <w:r>
        <w:rPr>
          <w:rFonts w:hint="eastAsia"/>
          <w:bCs/>
          <w:sz w:val="24"/>
        </w:rPr>
        <w:t>施工场界下风向</w:t>
      </w:r>
      <w:r>
        <w:rPr>
          <w:bCs/>
          <w:sz w:val="24"/>
        </w:rPr>
        <w:t>150m</w:t>
      </w:r>
      <w:r>
        <w:rPr>
          <w:rFonts w:hint="eastAsia"/>
          <w:bCs/>
          <w:sz w:val="24"/>
        </w:rPr>
        <w:t>处满足《大气污染物综合排放标准》</w:t>
      </w:r>
      <w:r>
        <w:rPr>
          <w:bCs/>
          <w:sz w:val="24"/>
        </w:rPr>
        <w:t xml:space="preserve">(GB16297-1996) </w:t>
      </w:r>
      <w:r>
        <w:rPr>
          <w:rFonts w:hint="eastAsia"/>
          <w:bCs/>
          <w:sz w:val="24"/>
        </w:rPr>
        <w:t>中无组织排放监控浓度限值</w:t>
      </w:r>
      <w:r>
        <w:rPr>
          <w:bCs/>
          <w:sz w:val="24"/>
        </w:rPr>
        <w:t>(</w:t>
      </w:r>
      <w:r>
        <w:rPr>
          <w:rFonts w:hint="eastAsia"/>
          <w:bCs/>
          <w:sz w:val="24"/>
        </w:rPr>
        <w:t>1</w:t>
      </w:r>
      <w:r>
        <w:rPr>
          <w:bCs/>
          <w:sz w:val="24"/>
        </w:rPr>
        <w:t>.0mg/m</w:t>
      </w:r>
      <w:r>
        <w:rPr>
          <w:bCs/>
          <w:sz w:val="24"/>
          <w:vertAlign w:val="superscript"/>
        </w:rPr>
        <w:t>3</w:t>
      </w:r>
      <w:r>
        <w:rPr>
          <w:bCs/>
          <w:sz w:val="24"/>
        </w:rPr>
        <w:t>)</w:t>
      </w:r>
      <w:r>
        <w:rPr>
          <w:rFonts w:hint="eastAsia"/>
          <w:bCs/>
          <w:sz w:val="24"/>
        </w:rPr>
        <w:t>。其它作业环节如场地平整、材料运输和堆存等施工作业产生的尘污染，在正常风况下，一般可控制在施工现场</w:t>
      </w:r>
      <w:r>
        <w:rPr>
          <w:bCs/>
          <w:sz w:val="24"/>
        </w:rPr>
        <w:t>100m</w:t>
      </w:r>
      <w:r>
        <w:rPr>
          <w:rFonts w:hint="eastAsia"/>
          <w:bCs/>
          <w:sz w:val="24"/>
        </w:rPr>
        <w:t>范围内，在此范围以外符合《环境空气质量标准》</w:t>
      </w:r>
      <w:r>
        <w:rPr>
          <w:bCs/>
          <w:sz w:val="24"/>
        </w:rPr>
        <w:t>(GB3095-</w:t>
      </w:r>
      <w:r>
        <w:rPr>
          <w:rFonts w:hint="eastAsia"/>
          <w:bCs/>
          <w:sz w:val="24"/>
        </w:rPr>
        <w:t>2012</w:t>
      </w:r>
      <w:r>
        <w:rPr>
          <w:bCs/>
          <w:sz w:val="24"/>
        </w:rPr>
        <w:t>)</w:t>
      </w:r>
      <w:r>
        <w:rPr>
          <w:rFonts w:hint="eastAsia"/>
          <w:bCs/>
          <w:sz w:val="24"/>
        </w:rPr>
        <w:t>中的二级标准。</w:t>
      </w:r>
      <w:r>
        <w:rPr>
          <w:bCs/>
          <w:sz w:val="24"/>
        </w:rPr>
        <w:t>如果在施工期间对车辆行驶路面实施洒水抑尘，可使扬尘减少70</w:t>
      </w:r>
      <w:r>
        <w:rPr>
          <w:rFonts w:hint="eastAsia"/>
          <w:bCs/>
          <w:sz w:val="24"/>
        </w:rPr>
        <w:t>%</w:t>
      </w:r>
      <w:r>
        <w:rPr>
          <w:bCs/>
          <w:sz w:val="24"/>
        </w:rPr>
        <w:t>左右</w:t>
      </w:r>
      <w:r>
        <w:rPr>
          <w:rFonts w:hint="eastAsia"/>
          <w:bCs/>
          <w:sz w:val="24"/>
        </w:rPr>
        <w:t>，若在施工区域内</w:t>
      </w:r>
      <w:r>
        <w:rPr>
          <w:bCs/>
          <w:sz w:val="24"/>
        </w:rPr>
        <w:t>每天洒水4-5次进行抑尘，可有效的控制施工扬尘，可将污染距离缩小到50m范围</w:t>
      </w:r>
      <w:r>
        <w:rPr>
          <w:rFonts w:hint="eastAsia"/>
          <w:bCs/>
          <w:sz w:val="24"/>
        </w:rPr>
        <w:t>内</w:t>
      </w:r>
      <w:r>
        <w:rPr>
          <w:bCs/>
          <w:sz w:val="24"/>
        </w:rPr>
        <w:t>。另外，为控制车辆装卸货物行驶对施工场地外的影响，可在车辆离开施工场地时在车身相应部位洒水清除污泥与灰尘，以减少扬尘对外界的影响。</w:t>
      </w:r>
      <w:r>
        <w:rPr>
          <w:rFonts w:hint="eastAsia"/>
          <w:bCs/>
          <w:sz w:val="24"/>
        </w:rPr>
        <w:t>在采取相应的防治措施后，会有效减轻施工期扬尘对周围环境的影响。</w:t>
      </w:r>
    </w:p>
    <w:p>
      <w:pPr>
        <w:spacing w:line="360" w:lineRule="auto"/>
        <w:ind w:firstLine="482" w:firstLineChars="200"/>
        <w:rPr>
          <w:b/>
          <w:sz w:val="24"/>
        </w:rPr>
      </w:pPr>
      <w:r>
        <w:rPr>
          <w:rFonts w:hint="eastAsia"/>
          <w:b/>
          <w:bCs/>
          <w:sz w:val="24"/>
        </w:rPr>
        <w:t>（3）水环境影响</w:t>
      </w:r>
    </w:p>
    <w:p>
      <w:pPr>
        <w:pStyle w:val="2"/>
        <w:rPr>
          <w:sz w:val="24"/>
        </w:rPr>
      </w:pPr>
      <w:r>
        <w:rPr>
          <w:rFonts w:hint="eastAsia"/>
        </w:rPr>
        <w:t>项目施工期废水主要来自于对施工机械、运输车辆和工具清洗时产生的废水、</w:t>
      </w:r>
      <w:r>
        <w:t>结构阶段混凝土养护排水、桩基施工产生的泥浆废水，以及雨水冲刷施工场地内裸露表土产生的含泥沙废水。</w:t>
      </w:r>
      <w:r>
        <w:rPr>
          <w:rFonts w:hint="eastAsia"/>
        </w:rPr>
        <w:t>主要污染因子为SS和石油类</w:t>
      </w:r>
      <w:r>
        <w:rPr>
          <w:rFonts w:hint="eastAsia"/>
          <w:lang w:eastAsia="zh-CN"/>
        </w:rPr>
        <w:t>。</w:t>
      </w:r>
      <w:r>
        <w:rPr>
          <w:rFonts w:hint="eastAsia"/>
          <w:sz w:val="24"/>
        </w:rPr>
        <w:t>因此在施工场地应加强管理，注意剥离表层土的合理堆放，做好相应生态防护措施，临时堆土区应距市政雨水管网入口保持一定距离，尽量避免流入</w:t>
      </w:r>
      <w:r>
        <w:rPr>
          <w:rFonts w:hint="eastAsia"/>
          <w:sz w:val="24"/>
          <w:lang w:eastAsia="zh-CN"/>
        </w:rPr>
        <w:t>附近</w:t>
      </w:r>
      <w:r>
        <w:rPr>
          <w:rFonts w:hint="eastAsia"/>
          <w:sz w:val="24"/>
        </w:rPr>
        <w:t>水体。</w:t>
      </w:r>
    </w:p>
    <w:p>
      <w:pPr>
        <w:spacing w:line="360" w:lineRule="auto"/>
        <w:ind w:firstLine="480" w:firstLineChars="200"/>
        <w:rPr>
          <w:sz w:val="24"/>
        </w:rPr>
      </w:pPr>
      <w:r>
        <w:rPr>
          <w:rFonts w:hint="eastAsia"/>
          <w:sz w:val="24"/>
        </w:rPr>
        <w:t>同时做好建筑材料和建筑废料的管理，防止其成为地面水的二次污染源，项目施工期计划安排20名施工人员，施工人员生活用水量按平均每天80L/人计，则生活用水量为</w:t>
      </w:r>
      <w:r>
        <w:rPr>
          <w:rFonts w:hint="eastAsia"/>
          <w:sz w:val="24"/>
          <w:lang w:val="en-US" w:eastAsia="zh-CN"/>
        </w:rPr>
        <w:t>8</w:t>
      </w:r>
      <w:r>
        <w:rPr>
          <w:rFonts w:hint="eastAsia"/>
          <w:sz w:val="24"/>
        </w:rPr>
        <w:t>m</w:t>
      </w:r>
      <w:r>
        <w:rPr>
          <w:rFonts w:hint="eastAsia"/>
          <w:sz w:val="24"/>
          <w:vertAlign w:val="superscript"/>
        </w:rPr>
        <w:t>3</w:t>
      </w:r>
      <w:r>
        <w:rPr>
          <w:rFonts w:hint="eastAsia"/>
          <w:sz w:val="24"/>
        </w:rPr>
        <w:t>/d。生活污水的排放量按用水量的80%计算，则生活污水的排放量为</w:t>
      </w:r>
      <w:r>
        <w:rPr>
          <w:rFonts w:hint="eastAsia"/>
          <w:sz w:val="24"/>
          <w:lang w:val="en-US" w:eastAsia="zh-CN"/>
        </w:rPr>
        <w:t>6.4</w:t>
      </w:r>
      <w:r>
        <w:rPr>
          <w:rFonts w:hint="eastAsia"/>
          <w:sz w:val="24"/>
        </w:rPr>
        <w:t>m</w:t>
      </w:r>
      <w:r>
        <w:rPr>
          <w:rFonts w:hint="eastAsia"/>
          <w:sz w:val="24"/>
          <w:vertAlign w:val="superscript"/>
        </w:rPr>
        <w:t>3</w:t>
      </w:r>
      <w:r>
        <w:rPr>
          <w:rFonts w:hint="eastAsia"/>
          <w:sz w:val="24"/>
        </w:rPr>
        <w:t>/d，主要污染因子为CODCr、BOD</w:t>
      </w:r>
      <w:r>
        <w:rPr>
          <w:rFonts w:hint="eastAsia"/>
          <w:sz w:val="24"/>
          <w:vertAlign w:val="subscript"/>
        </w:rPr>
        <w:t>5</w:t>
      </w:r>
      <w:r>
        <w:rPr>
          <w:rFonts w:hint="eastAsia"/>
          <w:sz w:val="24"/>
        </w:rPr>
        <w:t>和SS等。在施工工地周界和场内设置排水收集沟和隔油沉砂池，收集施工区域产生的施工废水和雨季收集的地表雨水，经沉淀处理后回用于施工。严禁施工废水未经任何处理直排区域地表水体。</w:t>
      </w:r>
    </w:p>
    <w:p>
      <w:pPr>
        <w:spacing w:line="360" w:lineRule="auto"/>
        <w:ind w:firstLine="480" w:firstLineChars="200"/>
        <w:rPr>
          <w:sz w:val="24"/>
        </w:rPr>
      </w:pPr>
      <w:r>
        <w:rPr>
          <w:rFonts w:hint="eastAsia"/>
          <w:sz w:val="24"/>
        </w:rPr>
        <w:t>为防止废水渗漏对地下水造成污染，施工期建设的隔油池、沉淀池、排污沟需做防渗处理；施工场地要加强管理，由专人负责监督，污水不能随意排放，严防废水渗漏对附近水体造成污染。基坑废水和地下水位高低有关，无法定量，但项目应做好区内地下水的导流工作，减少地下水对工程地基的侵蚀。</w:t>
      </w:r>
    </w:p>
    <w:p>
      <w:pPr>
        <w:pStyle w:val="2"/>
        <w:ind w:firstLine="482"/>
      </w:pPr>
      <w:r>
        <w:rPr>
          <w:rFonts w:hint="eastAsia"/>
          <w:b/>
          <w:bCs/>
        </w:rPr>
        <w:t>（</w:t>
      </w:r>
      <w:r>
        <w:rPr>
          <w:b/>
          <w:bCs/>
        </w:rPr>
        <w:t>4</w:t>
      </w:r>
      <w:r>
        <w:rPr>
          <w:rFonts w:hint="eastAsia"/>
          <w:b/>
          <w:bCs/>
        </w:rPr>
        <w:t>）固体废物对环境影响</w:t>
      </w:r>
    </w:p>
    <w:p>
      <w:pPr>
        <w:pStyle w:val="2"/>
        <w:ind w:firstLine="480"/>
      </w:pPr>
      <w:r>
        <w:t>本项目</w:t>
      </w:r>
      <w:r>
        <w:rPr>
          <w:rFonts w:hint="eastAsia"/>
        </w:rPr>
        <w:t>产生的</w:t>
      </w:r>
      <w:r>
        <w:t>建筑垃圾其主要成份为：废弃的沙土石、水泥、木屑、碎木块、弃砖、水泥袋、纤维、塑料泡沫、碎玻璃、废金属、废瓷砖等</w:t>
      </w:r>
      <w:r>
        <w:rPr>
          <w:rFonts w:hint="eastAsia"/>
        </w:rPr>
        <w:t>以及</w:t>
      </w:r>
      <w:r>
        <w:rPr>
          <w:rFonts w:hint="eastAsia" w:hAnsi="宋体"/>
        </w:rPr>
        <w:t>工程弃土</w:t>
      </w:r>
      <w:r>
        <w:t>。</w:t>
      </w:r>
      <w:r>
        <w:rPr>
          <w:rFonts w:hint="eastAsia" w:hAnsi="宋体"/>
        </w:rPr>
        <w:t>本项目无拆迁建筑垃圾</w:t>
      </w:r>
      <w:r>
        <w:t>。</w:t>
      </w:r>
    </w:p>
    <w:p>
      <w:pPr>
        <w:pStyle w:val="2"/>
        <w:ind w:firstLine="480"/>
      </w:pPr>
      <w:r>
        <w:rPr>
          <w:rFonts w:hint="eastAsia"/>
        </w:rPr>
        <w:t>根据类比调查，一般建筑垃圾发生量约为20kg/m</w:t>
      </w:r>
      <w:r>
        <w:rPr>
          <w:rFonts w:hint="eastAsia"/>
          <w:vertAlign w:val="superscript"/>
        </w:rPr>
        <w:t>2</w:t>
      </w:r>
      <w:r>
        <w:rPr>
          <w:rFonts w:hint="eastAsia"/>
        </w:rPr>
        <w:t>，本项目</w:t>
      </w:r>
      <w:r>
        <w:rPr>
          <w:rFonts w:hint="eastAsia"/>
          <w:lang w:val="en-US" w:eastAsia="zh-CN"/>
        </w:rPr>
        <w:t>02#地块总建筑面积201964.116</w:t>
      </w:r>
      <w:r>
        <w:rPr>
          <w:rFonts w:hint="eastAsia"/>
        </w:rPr>
        <w:t>m</w:t>
      </w:r>
      <w:r>
        <w:rPr>
          <w:rFonts w:hint="eastAsia"/>
          <w:vertAlign w:val="superscript"/>
        </w:rPr>
        <w:t>2</w:t>
      </w:r>
      <w:r>
        <w:rPr>
          <w:rFonts w:hint="eastAsia"/>
          <w:lang w:val="en-US" w:eastAsia="zh-CN"/>
        </w:rPr>
        <w:t>，03#地块总建筑面积145713.126</w:t>
      </w:r>
      <w:r>
        <w:rPr>
          <w:rFonts w:hint="eastAsia"/>
        </w:rPr>
        <w:t>m</w:t>
      </w:r>
      <w:r>
        <w:rPr>
          <w:rFonts w:hint="eastAsia"/>
          <w:vertAlign w:val="superscript"/>
        </w:rPr>
        <w:t>2</w:t>
      </w:r>
      <w:r>
        <w:rPr>
          <w:rFonts w:hint="eastAsia"/>
          <w:lang w:val="en-US" w:eastAsia="zh-CN"/>
        </w:rPr>
        <w:t>，</w:t>
      </w:r>
      <w:r>
        <w:rPr>
          <w:rFonts w:hint="eastAsia"/>
        </w:rPr>
        <w:t>04#地块总建筑面积为67982.594m</w:t>
      </w:r>
      <w:r>
        <w:rPr>
          <w:rFonts w:hint="eastAsia"/>
          <w:vertAlign w:val="superscript"/>
        </w:rPr>
        <w:t>2</w:t>
      </w:r>
      <w:r>
        <w:rPr>
          <w:rFonts w:hint="eastAsia"/>
        </w:rPr>
        <w:t>，则本项目</w:t>
      </w:r>
      <w:r>
        <w:rPr>
          <w:rFonts w:hint="eastAsia"/>
          <w:lang w:val="en-US" w:eastAsia="zh-CN"/>
        </w:rPr>
        <w:t>02#地块</w:t>
      </w:r>
      <w:r>
        <w:rPr>
          <w:rFonts w:hint="eastAsia"/>
        </w:rPr>
        <w:t>建筑垃圾的产生量</w:t>
      </w:r>
      <w:r>
        <w:rPr>
          <w:rFonts w:hint="eastAsia"/>
          <w:lang w:eastAsia="zh-CN"/>
        </w:rPr>
        <w:t>为</w:t>
      </w:r>
      <w:r>
        <w:rPr>
          <w:rFonts w:hint="eastAsia"/>
          <w:lang w:val="en-US" w:eastAsia="zh-CN"/>
        </w:rPr>
        <w:t>4039.282t</w:t>
      </w:r>
      <w:r>
        <w:rPr>
          <w:rFonts w:hint="eastAsia"/>
          <w:lang w:eastAsia="zh-CN"/>
        </w:rPr>
        <w:t>，</w:t>
      </w:r>
      <w:r>
        <w:rPr>
          <w:rFonts w:hint="eastAsia"/>
          <w:lang w:val="en-US" w:eastAsia="zh-CN"/>
        </w:rPr>
        <w:t>03#地块</w:t>
      </w:r>
      <w:r>
        <w:rPr>
          <w:rFonts w:hint="eastAsia"/>
        </w:rPr>
        <w:t>建筑垃圾的产生量</w:t>
      </w:r>
      <w:r>
        <w:rPr>
          <w:rFonts w:hint="eastAsia"/>
          <w:lang w:eastAsia="zh-CN"/>
        </w:rPr>
        <w:t>为</w:t>
      </w:r>
      <w:r>
        <w:rPr>
          <w:rFonts w:hint="eastAsia"/>
          <w:lang w:val="en-US" w:eastAsia="zh-CN"/>
        </w:rPr>
        <w:t>2914.262t</w:t>
      </w:r>
      <w:r>
        <w:rPr>
          <w:rFonts w:hint="eastAsia"/>
          <w:lang w:eastAsia="zh-CN"/>
        </w:rPr>
        <w:t>，</w:t>
      </w:r>
      <w:r>
        <w:rPr>
          <w:rFonts w:hint="eastAsia"/>
          <w:lang w:val="en-US" w:eastAsia="zh-CN"/>
        </w:rPr>
        <w:t>04#地块</w:t>
      </w:r>
      <w:r>
        <w:rPr>
          <w:rFonts w:hint="eastAsia"/>
        </w:rPr>
        <w:t>建筑垃圾的产生量约1359.65t。建筑施工过程中废弃包装材料产生量约为每0.01kg/m</w:t>
      </w:r>
      <w:r>
        <w:rPr>
          <w:rFonts w:hint="eastAsia"/>
          <w:vertAlign w:val="superscript"/>
        </w:rPr>
        <w:t>2</w:t>
      </w:r>
      <w:r>
        <w:rPr>
          <w:rFonts w:hint="eastAsia"/>
        </w:rPr>
        <w:t>，按此估算，本建设项目</w:t>
      </w:r>
      <w:r>
        <w:rPr>
          <w:rFonts w:hint="eastAsia"/>
          <w:lang w:val="en-US" w:eastAsia="zh-CN"/>
        </w:rPr>
        <w:t>02#地块</w:t>
      </w:r>
      <w:r>
        <w:rPr>
          <w:rFonts w:hint="eastAsia"/>
        </w:rPr>
        <w:t>产生的废弃包装材料约为</w:t>
      </w:r>
      <w:r>
        <w:rPr>
          <w:rFonts w:hint="eastAsia"/>
          <w:lang w:val="en-US" w:eastAsia="zh-CN"/>
        </w:rPr>
        <w:t>2.02t</w:t>
      </w:r>
      <w:r>
        <w:rPr>
          <w:rFonts w:hint="eastAsia"/>
          <w:lang w:eastAsia="zh-CN"/>
        </w:rPr>
        <w:t>，</w:t>
      </w:r>
      <w:r>
        <w:rPr>
          <w:rFonts w:hint="eastAsia"/>
          <w:lang w:val="en-US" w:eastAsia="zh-CN"/>
        </w:rPr>
        <w:t>03#地块</w:t>
      </w:r>
      <w:r>
        <w:rPr>
          <w:rFonts w:hint="eastAsia"/>
        </w:rPr>
        <w:t>产生的废弃包装材料约为</w:t>
      </w:r>
      <w:r>
        <w:rPr>
          <w:rFonts w:hint="eastAsia"/>
          <w:lang w:val="en-US" w:eastAsia="zh-CN"/>
        </w:rPr>
        <w:t>1.46t</w:t>
      </w:r>
      <w:r>
        <w:rPr>
          <w:rFonts w:hint="eastAsia"/>
          <w:lang w:eastAsia="zh-CN"/>
        </w:rPr>
        <w:t>，</w:t>
      </w:r>
      <w:r>
        <w:rPr>
          <w:rFonts w:hint="eastAsia"/>
          <w:lang w:val="en-US" w:eastAsia="zh-CN"/>
        </w:rPr>
        <w:t>04#地块</w:t>
      </w:r>
      <w:r>
        <w:rPr>
          <w:rFonts w:hint="eastAsia"/>
        </w:rPr>
        <w:t>施工期产生的废弃包装材料约为0.68t。</w:t>
      </w:r>
      <w:r>
        <w:t>对于这部分建筑废物不妥善处置，或乱堆乱弃，将影响该区域景观、生态环境和造成水土流失，因此，必须按照《城市建筑垃圾管理规定》</w:t>
      </w:r>
      <w:r>
        <w:rPr>
          <w:rFonts w:hint="eastAsia"/>
        </w:rPr>
        <w:t>（</w:t>
      </w:r>
      <w:r>
        <w:t>建设部139号令</w:t>
      </w:r>
      <w:r>
        <w:rPr>
          <w:rFonts w:hint="eastAsia"/>
        </w:rPr>
        <w:t>）</w:t>
      </w:r>
      <w:r>
        <w:t>的要求妥善处理建筑垃圾，坚决制止乱倒行为，防止产生水土流失和扬尘，以免污染环境，</w:t>
      </w:r>
      <w:r>
        <w:rPr>
          <w:rFonts w:hint="eastAsia"/>
        </w:rPr>
        <w:t>本</w:t>
      </w:r>
      <w:r>
        <w:t>项目设置临时存渣场及建筑材料堆放场应设置围挡、采用篷布遮盖，周边设置排水沟，并对临时堆放点地面进行硬化进行防渗处理，防止旱季土料产生扬尘对空气环境质量造成影响，同时雨季冲刷物料进入水体，对</w:t>
      </w:r>
      <w:r>
        <w:rPr>
          <w:rFonts w:hint="eastAsia"/>
        </w:rPr>
        <w:t>周边</w:t>
      </w:r>
      <w:r>
        <w:t>河道水体产生不利影响。</w:t>
      </w:r>
    </w:p>
    <w:p>
      <w:pPr>
        <w:pStyle w:val="2"/>
        <w:ind w:firstLine="480"/>
      </w:pPr>
      <w:r>
        <w:rPr>
          <w:rFonts w:hint="eastAsia"/>
        </w:rPr>
        <w:t>根据工程施工方案，本项目</w:t>
      </w:r>
      <w:r>
        <w:rPr>
          <w:rFonts w:hint="eastAsia"/>
          <w:lang w:eastAsia="zh-CN"/>
        </w:rPr>
        <w:t>三个地块均</w:t>
      </w:r>
      <w:r>
        <w:rPr>
          <w:rFonts w:hint="eastAsia"/>
        </w:rPr>
        <w:t>需建地下停车场，</w:t>
      </w:r>
      <w:r>
        <w:rPr>
          <w:rFonts w:hint="eastAsia"/>
          <w:lang w:eastAsia="zh-CN"/>
        </w:rPr>
        <w:t>共需挖方564253.8</w:t>
      </w:r>
      <w:r>
        <w:rPr>
          <w:u w:val="single"/>
        </w:rPr>
        <w:t>m</w:t>
      </w:r>
      <w:r>
        <w:rPr>
          <w:u w:val="single"/>
          <w:vertAlign w:val="superscript"/>
        </w:rPr>
        <w:t>3</w:t>
      </w:r>
      <w:r>
        <w:rPr>
          <w:rFonts w:hint="eastAsia"/>
          <w:lang w:eastAsia="zh-CN"/>
        </w:rPr>
        <w:t>，</w:t>
      </w:r>
      <w:r>
        <w:rPr>
          <w:rFonts w:hint="eastAsia"/>
        </w:rPr>
        <w:t>其中一部分土方回填，一部分为弃土。土方回填主要是场地填方，场地填方来自于场内挖方，无外借方，建设过程中产生的废弃土方应运往指定受纳场所，尽可能避免对项目选址周边环境的影响。本项目不单独设置弃土场。</w:t>
      </w:r>
    </w:p>
    <w:p>
      <w:pPr>
        <w:pStyle w:val="6"/>
        <w:rPr>
          <w:rFonts w:ascii="Times New Roman" w:hAnsi="Times New Roman"/>
        </w:rPr>
      </w:pPr>
      <w:r>
        <w:rPr>
          <w:rFonts w:ascii="Times New Roman" w:hAnsi="Times New Roman"/>
        </w:rPr>
        <w:t>4.1.2 营运期影响</w:t>
      </w:r>
    </w:p>
    <w:p>
      <w:pPr>
        <w:spacing w:line="360" w:lineRule="auto"/>
        <w:ind w:firstLine="480"/>
        <w:rPr>
          <w:b/>
          <w:bCs/>
          <w:kern w:val="0"/>
          <w:sz w:val="24"/>
        </w:rPr>
      </w:pPr>
      <w:r>
        <w:rPr>
          <w:rFonts w:hint="eastAsia"/>
          <w:b/>
          <w:bCs/>
          <w:kern w:val="0"/>
          <w:sz w:val="24"/>
        </w:rPr>
        <w:t>（1）水环境影响</w:t>
      </w:r>
    </w:p>
    <w:p>
      <w:pPr>
        <w:spacing w:line="360" w:lineRule="auto"/>
        <w:ind w:firstLine="480"/>
        <w:rPr>
          <w:bCs/>
          <w:kern w:val="0"/>
          <w:sz w:val="24"/>
        </w:rPr>
      </w:pPr>
      <w:r>
        <w:rPr>
          <w:rFonts w:hint="eastAsia"/>
          <w:bCs/>
          <w:kern w:val="0"/>
          <w:sz w:val="24"/>
        </w:rPr>
        <w:t>项目建成后，在建设用地区域铺设雨污分流管网。雨水经雨水收集明沟和管道收集后经雨水系统外排周边沟渠内，建设区范围内在雨季形成的雨水中主要污染物为悬浮物，经雨水收集池调节沉淀后，排放的雨水不会对现有区域水体水质造成明显影响。</w:t>
      </w:r>
    </w:p>
    <w:p>
      <w:pPr>
        <w:spacing w:line="360" w:lineRule="auto"/>
        <w:ind w:firstLine="480"/>
        <w:rPr>
          <w:bCs/>
          <w:kern w:val="24"/>
          <w:sz w:val="24"/>
          <w:lang w:bidi="en-US"/>
        </w:rPr>
      </w:pPr>
      <w:r>
        <w:rPr>
          <w:rFonts w:hint="eastAsia"/>
          <w:bCs/>
          <w:kern w:val="24"/>
          <w:sz w:val="24"/>
          <w:lang w:bidi="en-US"/>
        </w:rPr>
        <w:t>项目运营期产生的污水经隔油池、化粪池处理后通过市政污水管网排入岳阳市马壕污水处理厂进行深度处理，不对外直接排放</w:t>
      </w:r>
      <w:r>
        <w:rPr>
          <w:rFonts w:hint="eastAsia"/>
          <w:bCs/>
          <w:kern w:val="24"/>
          <w:sz w:val="24"/>
        </w:rPr>
        <w:t>。</w:t>
      </w:r>
    </w:p>
    <w:p>
      <w:pPr>
        <w:spacing w:line="360" w:lineRule="auto"/>
        <w:ind w:firstLine="482" w:firstLineChars="200"/>
        <w:rPr>
          <w:b/>
          <w:sz w:val="24"/>
        </w:rPr>
      </w:pPr>
      <w:r>
        <w:rPr>
          <w:rFonts w:hint="eastAsia"/>
          <w:b/>
          <w:sz w:val="24"/>
        </w:rPr>
        <w:t>（2）声环境影响</w:t>
      </w:r>
    </w:p>
    <w:p>
      <w:pPr>
        <w:spacing w:line="360" w:lineRule="auto"/>
        <w:ind w:firstLine="480"/>
        <w:rPr>
          <w:bCs/>
          <w:kern w:val="24"/>
          <w:sz w:val="24"/>
        </w:rPr>
      </w:pPr>
      <w:r>
        <w:rPr>
          <w:rFonts w:hint="eastAsia"/>
          <w:bCs/>
          <w:kern w:val="24"/>
          <w:sz w:val="24"/>
        </w:rPr>
        <w:t>项目营运期噪声源主要为社会生活噪声、少量机动车行驶噪声以及</w:t>
      </w:r>
      <w:r>
        <w:rPr>
          <w:bCs/>
          <w:kern w:val="24"/>
          <w:sz w:val="24"/>
        </w:rPr>
        <w:t>动力设备噪声</w:t>
      </w:r>
      <w:r>
        <w:rPr>
          <w:rFonts w:hint="eastAsia"/>
          <w:bCs/>
          <w:kern w:val="24"/>
          <w:sz w:val="24"/>
        </w:rPr>
        <w:t>，噪声源强一般在60～90dB(A)。项目停车位设置为</w:t>
      </w:r>
      <w:r>
        <w:rPr>
          <w:rFonts w:hint="eastAsia"/>
          <w:bCs/>
          <w:kern w:val="24"/>
          <w:sz w:val="24"/>
          <w:lang w:eastAsia="zh-CN"/>
        </w:rPr>
        <w:t>地上、</w:t>
      </w:r>
      <w:r>
        <w:rPr>
          <w:rFonts w:hint="eastAsia"/>
          <w:bCs/>
          <w:kern w:val="24"/>
          <w:sz w:val="24"/>
        </w:rPr>
        <w:t>地下停车场，经空气衰减传播、地下室墙壁和地面的多层隔声屏蔽作用，对周边现有声环境敏感点影响均在可接受范围内。</w:t>
      </w:r>
    </w:p>
    <w:p>
      <w:pPr>
        <w:spacing w:line="360" w:lineRule="auto"/>
        <w:ind w:firstLine="480"/>
        <w:rPr>
          <w:bCs/>
          <w:kern w:val="24"/>
          <w:sz w:val="24"/>
        </w:rPr>
      </w:pPr>
      <w:r>
        <w:rPr>
          <w:rFonts w:hint="eastAsia"/>
          <w:bCs/>
          <w:kern w:val="24"/>
          <w:sz w:val="24"/>
        </w:rPr>
        <w:t>同时项目施工将建筑物墙体、门窗采取隔音措施，降低外界声环境对项目本体的影响，也将项目产生的偶发性、突发性噪声与外界环境进行隔断防护，采取相应的声环境防护措施后，区域声环境影响在可接受范围内。</w:t>
      </w:r>
    </w:p>
    <w:p>
      <w:pPr>
        <w:spacing w:line="360" w:lineRule="auto"/>
        <w:ind w:firstLine="482" w:firstLineChars="200"/>
        <w:rPr>
          <w:b/>
          <w:sz w:val="24"/>
        </w:rPr>
      </w:pPr>
      <w:r>
        <w:rPr>
          <w:rFonts w:hint="eastAsia"/>
          <w:b/>
          <w:sz w:val="24"/>
        </w:rPr>
        <w:t>（3）空气环境影响</w:t>
      </w:r>
    </w:p>
    <w:p>
      <w:pPr>
        <w:spacing w:line="360" w:lineRule="auto"/>
        <w:ind w:firstLine="480"/>
        <w:rPr>
          <w:bCs/>
          <w:kern w:val="24"/>
          <w:sz w:val="24"/>
        </w:rPr>
      </w:pPr>
      <w:r>
        <w:rPr>
          <w:rFonts w:hint="eastAsia"/>
          <w:bCs/>
          <w:kern w:val="24"/>
          <w:sz w:val="24"/>
        </w:rPr>
        <w:t>项目建成后，本身不排放明显废气污染源，地块为幼儿园、居民居住厨房设置一体化油烟净化设施，采用专用烟道达标外排。营运期机动车在场区内行驶</w:t>
      </w:r>
      <w:r>
        <w:rPr>
          <w:rFonts w:hint="eastAsia"/>
          <w:bCs/>
          <w:kern w:val="24"/>
          <w:sz w:val="24"/>
          <w:lang w:eastAsia="zh-CN"/>
        </w:rPr>
        <w:t>、停车</w:t>
      </w:r>
      <w:r>
        <w:rPr>
          <w:rFonts w:hint="eastAsia"/>
          <w:bCs/>
          <w:kern w:val="24"/>
          <w:sz w:val="24"/>
        </w:rPr>
        <w:t>产生的汽车尾气，由于行驶距离不长，</w:t>
      </w:r>
      <w:r>
        <w:rPr>
          <w:rFonts w:hint="eastAsia"/>
          <w:bCs/>
          <w:kern w:val="24"/>
          <w:sz w:val="24"/>
          <w:lang w:eastAsia="zh-CN"/>
        </w:rPr>
        <w:t>再通过大气空气稀释和周边绿植吸附后，</w:t>
      </w:r>
      <w:r>
        <w:rPr>
          <w:rFonts w:hint="eastAsia"/>
          <w:bCs/>
          <w:kern w:val="24"/>
          <w:sz w:val="24"/>
        </w:rPr>
        <w:t>产生的污染物较小。地下停车场内产生的汽车尾气</w:t>
      </w:r>
      <w:r>
        <w:rPr>
          <w:bCs/>
          <w:kern w:val="24"/>
          <w:sz w:val="24"/>
        </w:rPr>
        <w:t>通过换气排风系统将排放口设置在小区绿化带隐蔽处，排放口高于地面2.5m且远离住户窗口，</w:t>
      </w:r>
      <w:r>
        <w:rPr>
          <w:rFonts w:hint="eastAsia"/>
          <w:bCs/>
          <w:kern w:val="24"/>
          <w:sz w:val="24"/>
        </w:rPr>
        <w:t>因此项目产生的汽车尾气不会对区域大气环境产生明显污染影响。</w:t>
      </w:r>
    </w:p>
    <w:p>
      <w:pPr>
        <w:pStyle w:val="2"/>
        <w:ind w:firstLine="482"/>
        <w:rPr>
          <w:b/>
          <w:bCs/>
        </w:rPr>
      </w:pPr>
      <w:r>
        <w:rPr>
          <w:rFonts w:hint="eastAsia"/>
          <w:b/>
          <w:bCs/>
        </w:rPr>
        <w:t>（4）固体废物环境影响</w:t>
      </w:r>
    </w:p>
    <w:p>
      <w:pPr>
        <w:pStyle w:val="2"/>
        <w:ind w:firstLine="480"/>
      </w:pPr>
      <w:r>
        <w:rPr>
          <w:rFonts w:hint="eastAsia"/>
        </w:rPr>
        <w:t>项目运营期间主要产生的为生活垃圾、商业垃圾</w:t>
      </w:r>
      <w:r>
        <w:rPr>
          <w:bCs/>
          <w:kern w:val="24"/>
        </w:rPr>
        <w:t>和小区化粪池产生的污泥</w:t>
      </w:r>
      <w:r>
        <w:rPr>
          <w:rFonts w:hint="eastAsia"/>
        </w:rPr>
        <w:t>，项目在各个高层楼房外以及商业区周边设置垃圾收集点，统一收集后暂存于本项目02#地块和04#地块的地埋式垃圾站和</w:t>
      </w:r>
      <w:r>
        <w:rPr>
          <w:rFonts w:hint="eastAsia"/>
          <w:lang w:eastAsia="zh-CN"/>
        </w:rPr>
        <w:t>地面</w:t>
      </w:r>
      <w:r>
        <w:rPr>
          <w:rFonts w:hint="eastAsia"/>
        </w:rPr>
        <w:t>垃圾站，再交由岳阳市环卫部门进行处置。化粪池产生的污泥有相关管理人员定期清掏并交由环卫部门进行无害化处理。经上述措施处理后，项目产生的固体废物不会对环境造成明显污染影响。</w:t>
      </w:r>
    </w:p>
    <w:p>
      <w:pPr>
        <w:pStyle w:val="5"/>
        <w:rPr>
          <w:rFonts w:ascii="Times New Roman" w:hAnsi="Times New Roman"/>
        </w:rPr>
      </w:pPr>
      <w:r>
        <w:rPr>
          <w:rFonts w:ascii="Times New Roman" w:hAnsi="Times New Roman"/>
        </w:rPr>
        <w:t>4.</w:t>
      </w:r>
      <w:r>
        <w:rPr>
          <w:rFonts w:hint="eastAsia" w:ascii="Times New Roman" w:hAnsi="Times New Roman"/>
        </w:rPr>
        <w:t>2</w:t>
      </w:r>
      <w:r>
        <w:rPr>
          <w:rFonts w:ascii="Times New Roman" w:hAnsi="Times New Roman"/>
        </w:rPr>
        <w:t>景观生态影响完整性分析</w:t>
      </w:r>
    </w:p>
    <w:p>
      <w:pPr>
        <w:spacing w:line="360" w:lineRule="auto"/>
        <w:ind w:firstLine="480" w:firstLineChars="200"/>
        <w:rPr>
          <w:sz w:val="24"/>
        </w:rPr>
      </w:pPr>
      <w:r>
        <w:rPr>
          <w:rFonts w:hint="eastAsia"/>
          <w:sz w:val="24"/>
        </w:rPr>
        <w:t>工程征地区域内现状占地类型为建设用地，占地区域不涉及生态防护用地和基本农田用地，对区域生态系统功能与完整性无明显影响。</w:t>
      </w:r>
    </w:p>
    <w:p>
      <w:pPr>
        <w:pStyle w:val="6"/>
        <w:rPr>
          <w:rFonts w:ascii="Times New Roman" w:hAnsi="Times New Roman"/>
        </w:rPr>
      </w:pPr>
      <w:bookmarkStart w:id="268" w:name="_Toc5494"/>
      <w:bookmarkStart w:id="269" w:name="_Toc12816"/>
      <w:bookmarkStart w:id="270" w:name="_Toc496628805"/>
      <w:bookmarkStart w:id="271" w:name="_Toc23646"/>
      <w:bookmarkStart w:id="272" w:name="_Toc23359"/>
      <w:bookmarkStart w:id="273" w:name="_Toc17078"/>
      <w:bookmarkStart w:id="274" w:name="_Toc5491"/>
      <w:bookmarkStart w:id="275" w:name="_Toc27060"/>
      <w:bookmarkStart w:id="276" w:name="_Toc31686"/>
      <w:bookmarkStart w:id="277" w:name="_Toc18925"/>
      <w:bookmarkStart w:id="278" w:name="_Toc6213"/>
      <w:r>
        <w:rPr>
          <w:rFonts w:ascii="Times New Roman" w:hAnsi="Times New Roman"/>
        </w:rPr>
        <w:t>4.</w:t>
      </w:r>
      <w:r>
        <w:rPr>
          <w:rFonts w:hint="eastAsia" w:ascii="Times New Roman" w:hAnsi="Times New Roman"/>
        </w:rPr>
        <w:t>2</w:t>
      </w:r>
      <w:r>
        <w:rPr>
          <w:rFonts w:ascii="Times New Roman" w:hAnsi="Times New Roman"/>
        </w:rPr>
        <w:t>.1</w:t>
      </w:r>
      <w:bookmarkEnd w:id="268"/>
      <w:bookmarkEnd w:id="269"/>
      <w:bookmarkEnd w:id="270"/>
      <w:bookmarkEnd w:id="271"/>
      <w:bookmarkEnd w:id="272"/>
      <w:bookmarkEnd w:id="273"/>
      <w:bookmarkEnd w:id="274"/>
      <w:bookmarkEnd w:id="275"/>
      <w:bookmarkEnd w:id="276"/>
      <w:bookmarkEnd w:id="277"/>
      <w:bookmarkEnd w:id="278"/>
      <w:bookmarkStart w:id="279" w:name="_Toc496628806"/>
      <w:r>
        <w:rPr>
          <w:rFonts w:ascii="Times New Roman" w:hAnsi="Times New Roman"/>
        </w:rPr>
        <w:t>对生态系统稳定性的影响</w:t>
      </w:r>
      <w:bookmarkEnd w:id="279"/>
    </w:p>
    <w:p>
      <w:pPr>
        <w:spacing w:line="360" w:lineRule="auto"/>
        <w:ind w:firstLine="480" w:firstLineChars="200"/>
        <w:rPr>
          <w:sz w:val="24"/>
        </w:rPr>
      </w:pPr>
      <w:r>
        <w:rPr>
          <w:rFonts w:hint="eastAsia"/>
          <w:sz w:val="24"/>
        </w:rPr>
        <w:t>自然生态系统的恢复稳定性，可根据植被净生产力的多少来度量。如果植被净生产力高，则其恢复稳定性越强，反之则越弱。工程建设过程中，占用了原有土地，对生态系统的恢复稳定性产生了一定的影响。但项目建成的人工生态系统对现有本身的城市生态系统稳定性基本无影响。工程建成和运行时，会对区域自然体系的景观异质性程度有一定影响，但工程完成园林绿化让其占地得以恢复后，其影响不大。</w:t>
      </w:r>
    </w:p>
    <w:p>
      <w:pPr>
        <w:pStyle w:val="6"/>
        <w:rPr>
          <w:rFonts w:ascii="Times New Roman" w:hAnsi="Times New Roman"/>
        </w:rPr>
      </w:pPr>
      <w:bookmarkStart w:id="280" w:name="_Toc496628807"/>
      <w:r>
        <w:rPr>
          <w:rFonts w:ascii="Times New Roman" w:hAnsi="Times New Roman"/>
        </w:rPr>
        <w:t>4.</w:t>
      </w:r>
      <w:r>
        <w:rPr>
          <w:rFonts w:hint="eastAsia" w:ascii="Times New Roman" w:hAnsi="Times New Roman"/>
        </w:rPr>
        <w:t>2.</w:t>
      </w:r>
      <w:r>
        <w:rPr>
          <w:rFonts w:ascii="Times New Roman" w:hAnsi="Times New Roman"/>
        </w:rPr>
        <w:t>2 对景观生态体系质量的影响</w:t>
      </w:r>
      <w:bookmarkEnd w:id="280"/>
    </w:p>
    <w:p>
      <w:pPr>
        <w:spacing w:line="360" w:lineRule="auto"/>
        <w:ind w:firstLine="480" w:firstLineChars="200"/>
        <w:rPr>
          <w:sz w:val="24"/>
        </w:rPr>
      </w:pPr>
      <w:r>
        <w:rPr>
          <w:rFonts w:hint="eastAsia"/>
          <w:sz w:val="24"/>
        </w:rPr>
        <w:t>工程不涉及岳阳楼景区现有湿地生态系统，对整体保护区的景观体系基本无影响。</w:t>
      </w:r>
    </w:p>
    <w:p>
      <w:pPr>
        <w:pStyle w:val="5"/>
        <w:rPr>
          <w:rFonts w:ascii="Times New Roman" w:hAnsi="Times New Roman"/>
        </w:rPr>
      </w:pPr>
      <w:r>
        <w:rPr>
          <w:rFonts w:ascii="Times New Roman" w:hAnsi="Times New Roman"/>
        </w:rPr>
        <w:t>4.</w:t>
      </w:r>
      <w:r>
        <w:rPr>
          <w:rFonts w:hint="eastAsia" w:ascii="Times New Roman" w:hAnsi="Times New Roman"/>
        </w:rPr>
        <w:t>3</w:t>
      </w:r>
      <w:r>
        <w:rPr>
          <w:rFonts w:ascii="Times New Roman" w:hAnsi="Times New Roman"/>
        </w:rPr>
        <w:t>生态问题影响趋势分析</w:t>
      </w:r>
    </w:p>
    <w:p>
      <w:pPr>
        <w:spacing w:line="360" w:lineRule="auto"/>
        <w:ind w:firstLine="480" w:firstLineChars="200"/>
        <w:rPr>
          <w:sz w:val="24"/>
        </w:rPr>
      </w:pPr>
      <w:r>
        <w:rPr>
          <w:rFonts w:hint="eastAsia"/>
          <w:sz w:val="24"/>
        </w:rPr>
        <w:t>项目建成后为人工城市生态系统，会进一步加大区域人类活动的影响，本项目的建成，落实海绵城市型调蓄水源方式，可最大限度提高水源涵养和土壤保持功能，施工和运营期通过采取合理防护措施，不会对现有生态系统造成明显影响，因此本项目建设对项目区所属的水源涵养与生物多样性保护重要区现存的生态问题不会带来加重影响。</w:t>
      </w:r>
    </w:p>
    <w:p>
      <w:pPr>
        <w:pStyle w:val="4"/>
      </w:pPr>
      <w:bookmarkStart w:id="281" w:name="_Toc500854739"/>
      <w:bookmarkStart w:id="282" w:name="_Toc496628809"/>
      <w:bookmarkStart w:id="283" w:name="_Toc4491205"/>
      <w:bookmarkStart w:id="284" w:name="_Toc5953861"/>
      <w:bookmarkStart w:id="285" w:name="_Toc499280434"/>
      <w:r>
        <w:t>5、生态保护与恢复措施</w:t>
      </w:r>
      <w:bookmarkEnd w:id="281"/>
      <w:bookmarkEnd w:id="282"/>
      <w:bookmarkEnd w:id="283"/>
      <w:bookmarkEnd w:id="284"/>
      <w:bookmarkEnd w:id="285"/>
    </w:p>
    <w:p>
      <w:pPr>
        <w:pStyle w:val="5"/>
        <w:rPr>
          <w:rFonts w:ascii="Times New Roman" w:hAnsi="Times New Roman"/>
        </w:rPr>
      </w:pPr>
      <w:bookmarkStart w:id="286" w:name="_Toc4491206"/>
      <w:bookmarkStart w:id="287" w:name="_Toc496628810"/>
      <w:bookmarkStart w:id="288" w:name="_Toc5953862"/>
      <w:bookmarkStart w:id="289" w:name="_Toc500854740"/>
      <w:bookmarkStart w:id="290" w:name="_Toc499280435"/>
      <w:r>
        <w:rPr>
          <w:rFonts w:ascii="Times New Roman" w:hAnsi="Times New Roman"/>
        </w:rPr>
        <w:t>5.1 施工期生态保护措施</w:t>
      </w:r>
      <w:bookmarkEnd w:id="286"/>
      <w:bookmarkEnd w:id="287"/>
      <w:bookmarkEnd w:id="288"/>
      <w:bookmarkEnd w:id="289"/>
      <w:bookmarkEnd w:id="290"/>
    </w:p>
    <w:p>
      <w:pPr>
        <w:pStyle w:val="6"/>
        <w:rPr>
          <w:rFonts w:ascii="Times New Roman" w:hAnsi="Times New Roman"/>
        </w:rPr>
      </w:pPr>
      <w:r>
        <w:rPr>
          <w:rFonts w:ascii="Times New Roman" w:hAnsi="Times New Roman"/>
        </w:rPr>
        <w:t>5.1.1 植物生态保护措施</w:t>
      </w:r>
    </w:p>
    <w:p>
      <w:pPr>
        <w:spacing w:line="360" w:lineRule="auto"/>
        <w:ind w:firstLine="480" w:firstLineChars="200"/>
        <w:rPr>
          <w:sz w:val="24"/>
        </w:rPr>
      </w:pPr>
      <w:r>
        <w:rPr>
          <w:rFonts w:hint="eastAsia"/>
          <w:sz w:val="24"/>
        </w:rPr>
        <w:t>工程施工建设期间，将对工程占地区生态环境产生一定影响，主要表现为施工占地导致地表局部破坏、植物资源减少、干扰区域内动植物的生长环境、水土流失和生态环境质量有所下降。针对这些影响，主要采取以下生态环境保护恢复措施。</w:t>
      </w:r>
    </w:p>
    <w:p>
      <w:pPr>
        <w:spacing w:line="360" w:lineRule="auto"/>
        <w:ind w:firstLine="480" w:firstLineChars="200"/>
        <w:rPr>
          <w:sz w:val="24"/>
        </w:rPr>
      </w:pPr>
      <w:r>
        <w:rPr>
          <w:rFonts w:hint="eastAsia"/>
          <w:sz w:val="24"/>
        </w:rPr>
        <w:t>（1）严格划定施工范围和人员、车辆的行走路线及施工和生活区域，避免对施工范围之外的区域的植被造成不必要的碾压和破坏；项目施工完成后，需对施工营地临时占地进行覆土、绿化等生态恢复措施。</w:t>
      </w:r>
    </w:p>
    <w:p>
      <w:pPr>
        <w:pStyle w:val="2"/>
        <w:ind w:firstLine="480"/>
      </w:pPr>
      <w:r>
        <w:rPr>
          <w:rFonts w:hint="eastAsia"/>
        </w:rPr>
        <w:t>（2）项目</w:t>
      </w:r>
      <w:r>
        <w:rPr>
          <w:rFonts w:hint="eastAsia"/>
          <w:lang w:val="en-US" w:eastAsia="zh-CN"/>
        </w:rPr>
        <w:t>02#地块主体工程</w:t>
      </w:r>
      <w:r>
        <w:rPr>
          <w:rFonts w:hint="eastAsia"/>
          <w:sz w:val="24"/>
          <w:lang w:val="en-US" w:eastAsia="zh-CN"/>
        </w:rPr>
        <w:t>已建成部分</w:t>
      </w:r>
      <w:r>
        <w:rPr>
          <w:rFonts w:hint="eastAsia"/>
          <w:lang w:val="en-US" w:eastAsia="zh-CN"/>
        </w:rPr>
        <w:t>、03#地块主体工程已建成，04#地块正处于土方开挖阶段，根据现场勘察，04#地块</w:t>
      </w:r>
      <w:r>
        <w:rPr>
          <w:rFonts w:hint="eastAsia"/>
        </w:rPr>
        <w:t>占用建设用地区域无古树名木，施工完成后要尽快进行绿化与生态恢复建设，减少水土流失。</w:t>
      </w:r>
    </w:p>
    <w:p>
      <w:pPr>
        <w:pStyle w:val="2"/>
        <w:ind w:firstLine="480"/>
      </w:pPr>
      <w:r>
        <w:rPr>
          <w:rFonts w:hint="eastAsia"/>
        </w:rPr>
        <w:t>（3）绿化恢复措施采用因地制宜采用规则式、自然式、混合式等多种配套方式种植。</w:t>
      </w:r>
    </w:p>
    <w:p>
      <w:pPr>
        <w:pStyle w:val="6"/>
        <w:rPr>
          <w:rFonts w:ascii="Times New Roman" w:hAnsi="Times New Roman"/>
        </w:rPr>
      </w:pPr>
      <w:r>
        <w:rPr>
          <w:rFonts w:ascii="Times New Roman" w:hAnsi="Times New Roman"/>
        </w:rPr>
        <w:t>5.1.2 动物生态保护措施</w:t>
      </w:r>
    </w:p>
    <w:p>
      <w:pPr>
        <w:pStyle w:val="2"/>
        <w:ind w:firstLine="480"/>
      </w:pPr>
      <w:r>
        <w:rPr>
          <w:rFonts w:hint="eastAsia"/>
        </w:rPr>
        <w:t>（1）施工时间最好选择在鸟类非繁殖期，以避免对项目区内外鸟类繁殖造成消极影响；应合理安排施工季节和作业时间，严禁夜间施工及在施工场地使用强光照明设备，施工期间严格控制工程施工噪声对各类动物的影响。在候鸟迁徙季节，应在施工区域树立警示牌、宣传标语等。</w:t>
      </w:r>
    </w:p>
    <w:p>
      <w:pPr>
        <w:spacing w:line="360" w:lineRule="auto"/>
        <w:ind w:firstLine="480" w:firstLineChars="200"/>
        <w:rPr>
          <w:sz w:val="24"/>
        </w:rPr>
      </w:pPr>
      <w:r>
        <w:rPr>
          <w:rFonts w:hint="eastAsia"/>
          <w:sz w:val="24"/>
        </w:rPr>
        <w:t>（2）施工期间对施工人员的行为加强约束，做到文明施工，管理好生活垃圾、油料、涂料，禁止随意向周边堆放；尽量选择噪音小、污染少新型机械，禁止性能差、排污（浓烟）多、噪音大、效率低的老（旧）机械进入施工场地；加强对施工机械的定期维护和检修，确保机械的正常高效运转；对机械的废油和油污的管理必须严格控制，禁止随地倾倒和排放，有效避免对附近地表水体的污染。</w:t>
      </w:r>
    </w:p>
    <w:p>
      <w:pPr>
        <w:spacing w:line="360" w:lineRule="auto"/>
        <w:ind w:firstLine="480" w:firstLineChars="200"/>
        <w:rPr>
          <w:sz w:val="24"/>
        </w:rPr>
      </w:pPr>
      <w:r>
        <w:rPr>
          <w:rFonts w:hint="eastAsia"/>
          <w:sz w:val="24"/>
        </w:rPr>
        <w:t>（3）一旦在施工期间在施工区域发现野生保护两栖爬行动物后，应及时进行应急救援。在施工区域设置警示牌、标示牌，并采取常规观察和重点巡查，如发现需要特殊保护的湿地鸟类，应对其保护，可有效减少施工对保护区的生态影响。</w:t>
      </w:r>
    </w:p>
    <w:p>
      <w:pPr>
        <w:spacing w:line="360" w:lineRule="auto"/>
        <w:ind w:firstLine="480" w:firstLineChars="200"/>
        <w:rPr>
          <w:sz w:val="24"/>
        </w:rPr>
      </w:pPr>
      <w:r>
        <w:rPr>
          <w:rFonts w:hint="eastAsia"/>
          <w:sz w:val="24"/>
        </w:rPr>
        <w:t>（4）施工期后期应及时进行绿化工程，植树种草，可招引扩散出去的野生动物回归。</w:t>
      </w:r>
    </w:p>
    <w:p>
      <w:pPr>
        <w:pStyle w:val="6"/>
        <w:rPr>
          <w:rFonts w:ascii="Times New Roman" w:hAnsi="Times New Roman"/>
        </w:rPr>
      </w:pPr>
      <w:r>
        <w:rPr>
          <w:rFonts w:ascii="Times New Roman" w:hAnsi="Times New Roman"/>
        </w:rPr>
        <w:t>5.1.3 水保措施</w:t>
      </w:r>
    </w:p>
    <w:p>
      <w:pPr>
        <w:spacing w:line="360" w:lineRule="auto"/>
        <w:ind w:firstLine="480" w:firstLineChars="200"/>
        <w:rPr>
          <w:sz w:val="24"/>
        </w:rPr>
      </w:pPr>
      <w:r>
        <w:rPr>
          <w:rFonts w:hint="eastAsia"/>
          <w:sz w:val="24"/>
          <w:lang w:eastAsia="zh-CN"/>
        </w:rPr>
        <w:t>本项目目前只有</w:t>
      </w:r>
      <w:r>
        <w:rPr>
          <w:rFonts w:hint="eastAsia"/>
          <w:sz w:val="24"/>
          <w:lang w:val="en-US" w:eastAsia="zh-CN"/>
        </w:rPr>
        <w:t>04#地块处于土方开挖阶段，</w:t>
      </w:r>
      <w:r>
        <w:rPr>
          <w:rFonts w:hint="eastAsia"/>
          <w:sz w:val="24"/>
        </w:rPr>
        <w:t>为防止施工期间雨水对施工场地边坡的影响，04#地块开挖边坡上已设置截水沟，截水沟采用砖砌排水沟，截水沟两端出水口处布置砖砌沉砂池；在临时堆土场周边采取袋装土垒砌、彩条布覆盖等临时防护措施，使施工过程中出现的临时堆土产生的水土流失在“点”上集中拦蓄；沿用地红线设置施工围栏，隔离项目区和非项目区，场地内修建排水沟，收集项目区内降雨形成的水流，将水流引入沉沙池内进行泥沙沉淀，避免直接流出项目区，使水土流失在“线”上有效控制，总体控制输出泥沙量；同时对内部景观绿化及周边高地与主体工程用地在场地平整后存在的高差进行生态护坡，不仅能增强项目区的景观效果、保证项目施工安全，还能结合主体工程措施，保持项目区内水土，防治水土流失，使水土流失形成“面”的防治。这样通过点、线、面的综合防治措施有机结合、相互作用，形成立体的综合防治体系，达到保护地表，防止水土流失，改善生态环境的目的。</w:t>
      </w:r>
    </w:p>
    <w:p>
      <w:pPr>
        <w:pStyle w:val="5"/>
        <w:rPr>
          <w:rFonts w:ascii="Times New Roman" w:hAnsi="Times New Roman"/>
        </w:rPr>
      </w:pPr>
      <w:bookmarkStart w:id="291" w:name="_Toc500854741"/>
      <w:bookmarkStart w:id="292" w:name="_Toc496628813"/>
      <w:bookmarkStart w:id="293" w:name="_Toc4491207"/>
      <w:bookmarkStart w:id="294" w:name="_Toc5953863"/>
      <w:bookmarkStart w:id="295" w:name="_Toc499280436"/>
      <w:r>
        <w:rPr>
          <w:rFonts w:ascii="Times New Roman" w:hAnsi="Times New Roman"/>
        </w:rPr>
        <w:t>5.2 运营期生态保护措施</w:t>
      </w:r>
      <w:bookmarkEnd w:id="291"/>
      <w:bookmarkEnd w:id="292"/>
      <w:bookmarkEnd w:id="293"/>
      <w:bookmarkEnd w:id="294"/>
      <w:bookmarkEnd w:id="295"/>
    </w:p>
    <w:p>
      <w:pPr>
        <w:pStyle w:val="2"/>
        <w:ind w:firstLine="480"/>
      </w:pPr>
      <w:r>
        <w:t>施工期间，由于建设需要，</w:t>
      </w:r>
      <w:r>
        <w:rPr>
          <w:rFonts w:hint="eastAsia"/>
        </w:rPr>
        <w:t>会破坏</w:t>
      </w:r>
      <w:r>
        <w:t>项目所在地原有的</w:t>
      </w:r>
      <w:r>
        <w:rPr>
          <w:rFonts w:hint="eastAsia"/>
        </w:rPr>
        <w:t>地表</w:t>
      </w:r>
      <w:r>
        <w:t>，这样应破坏了项目所在地原有的生态系统平衡，对环境生态造成影响。此外，施工期间开挖的土石方，造成水土流失也会对生态环境造成影响。</w:t>
      </w:r>
    </w:p>
    <w:p>
      <w:pPr>
        <w:pStyle w:val="2"/>
        <w:ind w:firstLine="480"/>
      </w:pPr>
      <w:r>
        <w:t>为了有效恢复原有生态环境，为营造一个优美、舒适、清浩、的生活环境，减轻环境污染，建议建设单位在设计上做好绿化措施，力求增加绿化面积，广场花草树木，注重景观建设。在项目空隙地方建设一些小型花坛，种植一些观赏价值高，生命力强，易成活的花草，在小区的围墙及栏杆周围移植一些容易成活的树木，并注意花草、树木的浇水和施肥工作，花草的维护应有专门的园林师进行管理，确保小区的绿化工作。</w:t>
      </w:r>
    </w:p>
    <w:p>
      <w:pPr>
        <w:pStyle w:val="2"/>
        <w:ind w:firstLine="480"/>
      </w:pPr>
      <w:r>
        <w:t>经过对项目的绿化，及时在项目裸土上种植草皮，特别是移植一些大的观赏树木，使被破坏的生态能得到尽快的恢复。项目四周及道路两侧绿化以种植成年树为主，以尽快形成能起防风、减尘、降噪、美化环境、减轻污染作用的绿化带。小区内采用园林式绿化，营造出一种层次丰富、布局活波的视觉效果。通过以上措施可营造优美的生活环境，又可有效保护良好的生态环境。以上关于恢复建设项目生态的措施是成熟、经济可行的，可以有效恢复项目周围生态，将施工过程中对环境造成的破坏降到最低。</w:t>
      </w:r>
    </w:p>
    <w:p>
      <w:pPr>
        <w:pStyle w:val="2"/>
        <w:ind w:firstLine="480"/>
      </w:pPr>
      <w:r>
        <w:rPr>
          <w:rFonts w:hint="eastAsia"/>
        </w:rPr>
        <w:t>综上所述，建设单位只有合理规划，并制定切可行的生态建设方案，保证生态建设方案与项目规划同步进行，注重对生物物种、土地土壤质量的保护，改善区域的生态环境，使其与周围景观协调发展，并保证较高比率的绿地规模，弥补项目的建设对项目区域原有景观的不利影响，方可使项目区域形成更为和谐、美观的景观区域。</w:t>
      </w:r>
    </w:p>
    <w:p>
      <w:pPr>
        <w:pStyle w:val="5"/>
        <w:rPr>
          <w:rFonts w:ascii="Times New Roman" w:hAnsi="Times New Roman"/>
        </w:rPr>
      </w:pPr>
      <w:bookmarkStart w:id="296" w:name="_Toc4491209"/>
      <w:bookmarkStart w:id="297" w:name="_Toc5953865"/>
      <w:r>
        <w:rPr>
          <w:rFonts w:ascii="Times New Roman" w:hAnsi="Times New Roman"/>
        </w:rPr>
        <w:t>5.3生态恢复与补偿措施</w:t>
      </w:r>
      <w:bookmarkEnd w:id="296"/>
      <w:bookmarkEnd w:id="297"/>
    </w:p>
    <w:p>
      <w:pPr>
        <w:spacing w:line="360" w:lineRule="auto"/>
        <w:ind w:firstLine="480" w:firstLineChars="200"/>
        <w:rPr>
          <w:sz w:val="24"/>
        </w:rPr>
      </w:pPr>
      <w:r>
        <w:rPr>
          <w:rFonts w:hint="eastAsia"/>
          <w:sz w:val="24"/>
        </w:rPr>
        <w:t>本项目的永久占地主要为岳阳楼区现有集体用地区域，配套建设场区内道路广场和停车区域等构筑物工程施工时会对表土进行剥离，造成地表植被减少、土壤裸露以及水土流失，对于表层土应在场区内临时暂存堆放，并做好相关生态防护措施，待到工程建成后回用于场区内平整、填方和绿化用土等。对于地表裸露的地方及时播撒草籽，项目建成后，在项目区周围及时植树种草进行绿化，恢复区域生态环境。</w:t>
      </w:r>
    </w:p>
    <w:p>
      <w:pPr>
        <w:spacing w:line="360" w:lineRule="auto"/>
        <w:ind w:firstLine="480" w:firstLineChars="200"/>
        <w:rPr>
          <w:sz w:val="24"/>
        </w:rPr>
      </w:pPr>
      <w:r>
        <w:rPr>
          <w:sz w:val="24"/>
        </w:rPr>
        <w:t>本工程的生态环境保护措施主要分为动植物保护</w:t>
      </w:r>
      <w:r>
        <w:rPr>
          <w:rFonts w:hint="eastAsia"/>
          <w:sz w:val="24"/>
        </w:rPr>
        <w:t>和</w:t>
      </w:r>
      <w:r>
        <w:rPr>
          <w:sz w:val="24"/>
        </w:rPr>
        <w:t>宣传教育、环境保护临时措施</w:t>
      </w:r>
      <w:r>
        <w:rPr>
          <w:rFonts w:hint="eastAsia"/>
          <w:sz w:val="24"/>
        </w:rPr>
        <w:t>、水土保持措施</w:t>
      </w:r>
      <w:r>
        <w:rPr>
          <w:sz w:val="24"/>
        </w:rPr>
        <w:t>及</w:t>
      </w:r>
      <w:r>
        <w:rPr>
          <w:rFonts w:hint="eastAsia"/>
          <w:sz w:val="24"/>
        </w:rPr>
        <w:t>生态恢复</w:t>
      </w:r>
      <w:r>
        <w:rPr>
          <w:sz w:val="24"/>
        </w:rPr>
        <w:t>等。</w:t>
      </w:r>
    </w:p>
    <w:p>
      <w:pPr>
        <w:spacing w:line="360" w:lineRule="auto"/>
        <w:ind w:firstLine="480" w:firstLineChars="200"/>
        <w:rPr>
          <w:sz w:val="24"/>
        </w:rPr>
      </w:pPr>
      <w:r>
        <w:rPr>
          <w:sz w:val="24"/>
        </w:rPr>
        <w:t>本工程</w:t>
      </w:r>
      <w:r>
        <w:rPr>
          <w:rFonts w:hint="eastAsia"/>
          <w:sz w:val="24"/>
        </w:rPr>
        <w:t>主要生态保护措施为施工场区区域生态多样性宣传教育、永久占地范围内的生态恢复，如绿化、种植乔木和草皮等，绿化工程应采用当地常见植被物种，不得引入外来物种，造成生态入侵，破坏区域生态平衡系统。采取相应的生态防护措施后，基本能做到</w:t>
      </w:r>
      <w:r>
        <w:rPr>
          <w:sz w:val="24"/>
        </w:rPr>
        <w:t>不影响</w:t>
      </w:r>
      <w:r>
        <w:rPr>
          <w:rFonts w:hint="eastAsia"/>
          <w:sz w:val="24"/>
        </w:rPr>
        <w:t>岳阳楼景区及外围保护地带区域的现有生态</w:t>
      </w:r>
      <w:r>
        <w:rPr>
          <w:sz w:val="24"/>
        </w:rPr>
        <w:t>功能，</w:t>
      </w:r>
      <w:r>
        <w:rPr>
          <w:rFonts w:hint="eastAsia"/>
          <w:sz w:val="24"/>
        </w:rPr>
        <w:t>将现有</w:t>
      </w:r>
      <w:r>
        <w:rPr>
          <w:sz w:val="24"/>
        </w:rPr>
        <w:t>自然资源</w:t>
      </w:r>
      <w:r>
        <w:rPr>
          <w:rFonts w:hint="eastAsia"/>
          <w:sz w:val="24"/>
        </w:rPr>
        <w:t>、</w:t>
      </w:r>
      <w:r>
        <w:rPr>
          <w:sz w:val="24"/>
        </w:rPr>
        <w:t>景观</w:t>
      </w:r>
      <w:r>
        <w:rPr>
          <w:rFonts w:hint="eastAsia"/>
          <w:sz w:val="24"/>
        </w:rPr>
        <w:t>破坏程度降至最低，并通过生态恢复做好补偿措施</w:t>
      </w:r>
      <w:r>
        <w:rPr>
          <w:sz w:val="24"/>
        </w:rPr>
        <w:t>。</w:t>
      </w:r>
    </w:p>
    <w:p>
      <w:pPr>
        <w:spacing w:line="360" w:lineRule="auto"/>
        <w:ind w:firstLine="480" w:firstLineChars="200"/>
        <w:rPr>
          <w:sz w:val="24"/>
        </w:rPr>
      </w:pPr>
      <w:r>
        <w:rPr>
          <w:rFonts w:hint="eastAsia"/>
          <w:sz w:val="24"/>
        </w:rPr>
        <w:t>项目生态保护措施</w:t>
      </w:r>
      <w:r>
        <w:rPr>
          <w:sz w:val="24"/>
        </w:rPr>
        <w:t>具体如下：</w:t>
      </w:r>
    </w:p>
    <w:p>
      <w:pPr>
        <w:jc w:val="center"/>
        <w:rPr>
          <w:b/>
          <w:color w:val="FF0000"/>
          <w:szCs w:val="21"/>
        </w:rPr>
      </w:pPr>
      <w:r>
        <w:rPr>
          <w:rFonts w:hint="eastAsia"/>
          <w:b/>
          <w:szCs w:val="21"/>
        </w:rPr>
        <w:t>表5.3-1</w:t>
      </w:r>
      <w:r>
        <w:rPr>
          <w:b/>
          <w:szCs w:val="21"/>
        </w:rPr>
        <w:t>项目生态保护投资估算表</w:t>
      </w:r>
    </w:p>
    <w:tbl>
      <w:tblPr>
        <w:tblStyle w:val="1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
        <w:gridCol w:w="1396"/>
        <w:gridCol w:w="892"/>
        <w:gridCol w:w="5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64" w:type="dxa"/>
            <w:vAlign w:val="center"/>
          </w:tcPr>
          <w:p>
            <w:pPr>
              <w:tabs>
                <w:tab w:val="left" w:pos="8820"/>
              </w:tabs>
              <w:jc w:val="center"/>
              <w:rPr>
                <w:szCs w:val="21"/>
              </w:rPr>
            </w:pPr>
            <w:r>
              <w:rPr>
                <w:szCs w:val="21"/>
              </w:rPr>
              <w:t>序号</w:t>
            </w:r>
          </w:p>
        </w:tc>
        <w:tc>
          <w:tcPr>
            <w:tcW w:w="1396" w:type="dxa"/>
            <w:vAlign w:val="center"/>
          </w:tcPr>
          <w:p>
            <w:pPr>
              <w:tabs>
                <w:tab w:val="left" w:pos="8820"/>
              </w:tabs>
              <w:jc w:val="center"/>
              <w:rPr>
                <w:szCs w:val="21"/>
              </w:rPr>
            </w:pPr>
            <w:r>
              <w:rPr>
                <w:szCs w:val="21"/>
              </w:rPr>
              <w:t>项目及费用名称</w:t>
            </w:r>
          </w:p>
        </w:tc>
        <w:tc>
          <w:tcPr>
            <w:tcW w:w="892" w:type="dxa"/>
            <w:vAlign w:val="center"/>
          </w:tcPr>
          <w:p>
            <w:pPr>
              <w:tabs>
                <w:tab w:val="left" w:pos="8820"/>
              </w:tabs>
              <w:jc w:val="center"/>
              <w:rPr>
                <w:szCs w:val="21"/>
              </w:rPr>
            </w:pPr>
            <w:r>
              <w:rPr>
                <w:rFonts w:hint="eastAsia"/>
                <w:szCs w:val="21"/>
              </w:rPr>
              <w:t>投资</w:t>
            </w:r>
            <w:r>
              <w:rPr>
                <w:szCs w:val="21"/>
              </w:rPr>
              <w:t>/万元</w:t>
            </w:r>
          </w:p>
        </w:tc>
        <w:tc>
          <w:tcPr>
            <w:tcW w:w="5853" w:type="dxa"/>
            <w:vAlign w:val="center"/>
          </w:tcPr>
          <w:p>
            <w:pPr>
              <w:tabs>
                <w:tab w:val="left" w:pos="8820"/>
              </w:tabs>
              <w:jc w:val="center"/>
              <w:rPr>
                <w:szCs w:val="21"/>
              </w:rPr>
            </w:pPr>
            <w:r>
              <w:rPr>
                <w:szCs w:val="21"/>
              </w:rPr>
              <w:t>说明</w:t>
            </w:r>
            <w:r>
              <w:rPr>
                <w:rFonts w:hint="eastAsia"/>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szCs w:val="21"/>
              </w:rPr>
              <w:t>一</w:t>
            </w:r>
          </w:p>
        </w:tc>
        <w:tc>
          <w:tcPr>
            <w:tcW w:w="8141" w:type="dxa"/>
            <w:gridSpan w:val="3"/>
            <w:vAlign w:val="center"/>
          </w:tcPr>
          <w:p>
            <w:pPr>
              <w:tabs>
                <w:tab w:val="left" w:pos="8820"/>
              </w:tabs>
              <w:jc w:val="center"/>
              <w:rPr>
                <w:szCs w:val="21"/>
              </w:rPr>
            </w:pPr>
            <w:r>
              <w:rPr>
                <w:szCs w:val="21"/>
              </w:rPr>
              <w:t>生态保护措施与宣传教育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szCs w:val="21"/>
              </w:rPr>
              <w:t>1</w:t>
            </w:r>
          </w:p>
        </w:tc>
        <w:tc>
          <w:tcPr>
            <w:tcW w:w="1396" w:type="dxa"/>
            <w:vAlign w:val="center"/>
          </w:tcPr>
          <w:p>
            <w:pPr>
              <w:tabs>
                <w:tab w:val="left" w:pos="8820"/>
              </w:tabs>
              <w:jc w:val="center"/>
              <w:rPr>
                <w:szCs w:val="21"/>
              </w:rPr>
            </w:pPr>
            <w:r>
              <w:rPr>
                <w:szCs w:val="21"/>
              </w:rPr>
              <w:t>生物多样性保护宣教</w:t>
            </w:r>
          </w:p>
        </w:tc>
        <w:tc>
          <w:tcPr>
            <w:tcW w:w="892" w:type="dxa"/>
            <w:vAlign w:val="center"/>
          </w:tcPr>
          <w:p>
            <w:pPr>
              <w:tabs>
                <w:tab w:val="left" w:pos="8820"/>
              </w:tabs>
              <w:jc w:val="center"/>
              <w:rPr>
                <w:rFonts w:hint="default" w:eastAsia="宋体"/>
                <w:szCs w:val="21"/>
                <w:lang w:val="en-US" w:eastAsia="zh-CN"/>
              </w:rPr>
            </w:pPr>
            <w:r>
              <w:rPr>
                <w:rFonts w:hint="eastAsia"/>
                <w:szCs w:val="21"/>
                <w:lang w:val="en-US" w:eastAsia="zh-CN"/>
              </w:rPr>
              <w:t>1.5</w:t>
            </w:r>
          </w:p>
        </w:tc>
        <w:tc>
          <w:tcPr>
            <w:tcW w:w="5853" w:type="dxa"/>
            <w:vAlign w:val="center"/>
          </w:tcPr>
          <w:p>
            <w:pPr>
              <w:tabs>
                <w:tab w:val="left" w:pos="8820"/>
              </w:tabs>
              <w:jc w:val="center"/>
              <w:rPr>
                <w:szCs w:val="21"/>
              </w:rPr>
            </w:pPr>
            <w:r>
              <w:rPr>
                <w:szCs w:val="21"/>
              </w:rPr>
              <w:t>含珍稀动植物</w:t>
            </w:r>
            <w:r>
              <w:rPr>
                <w:rFonts w:hint="eastAsia"/>
                <w:szCs w:val="21"/>
              </w:rPr>
              <w:t>和</w:t>
            </w:r>
            <w:r>
              <w:rPr>
                <w:szCs w:val="21"/>
              </w:rPr>
              <w:t>生态敏感区保护宣传及环境教育，由建设单位负责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szCs w:val="21"/>
              </w:rPr>
              <w:t>2</w:t>
            </w:r>
          </w:p>
        </w:tc>
        <w:tc>
          <w:tcPr>
            <w:tcW w:w="1396" w:type="dxa"/>
            <w:vAlign w:val="center"/>
          </w:tcPr>
          <w:p>
            <w:pPr>
              <w:tabs>
                <w:tab w:val="left" w:pos="8820"/>
              </w:tabs>
              <w:jc w:val="center"/>
              <w:rPr>
                <w:szCs w:val="21"/>
              </w:rPr>
            </w:pPr>
            <w:r>
              <w:rPr>
                <w:szCs w:val="21"/>
              </w:rPr>
              <w:t>警示牌及宣传保护标志</w:t>
            </w:r>
          </w:p>
        </w:tc>
        <w:tc>
          <w:tcPr>
            <w:tcW w:w="892" w:type="dxa"/>
            <w:vAlign w:val="center"/>
          </w:tcPr>
          <w:p>
            <w:pPr>
              <w:tabs>
                <w:tab w:val="left" w:pos="8820"/>
              </w:tabs>
              <w:jc w:val="center"/>
              <w:rPr>
                <w:rFonts w:hint="default" w:eastAsia="宋体"/>
                <w:szCs w:val="21"/>
                <w:lang w:val="en-US" w:eastAsia="zh-CN"/>
              </w:rPr>
            </w:pPr>
            <w:r>
              <w:rPr>
                <w:rFonts w:hint="eastAsia"/>
                <w:szCs w:val="21"/>
                <w:lang w:val="en-US" w:eastAsia="zh-CN"/>
              </w:rPr>
              <w:t>1.5</w:t>
            </w:r>
          </w:p>
        </w:tc>
        <w:tc>
          <w:tcPr>
            <w:tcW w:w="5853" w:type="dxa"/>
            <w:vAlign w:val="center"/>
          </w:tcPr>
          <w:p>
            <w:pPr>
              <w:tabs>
                <w:tab w:val="left" w:pos="8820"/>
              </w:tabs>
              <w:jc w:val="center"/>
              <w:rPr>
                <w:szCs w:val="21"/>
              </w:rPr>
            </w:pPr>
            <w:r>
              <w:rPr>
                <w:szCs w:val="21"/>
              </w:rPr>
              <w:t>重点设置在工程施工区等区域，由建设单位负责</w:t>
            </w:r>
            <w:r>
              <w:rPr>
                <w:rFonts w:hint="eastAsia"/>
                <w:szCs w:val="21"/>
              </w:rPr>
              <w:t>，禁止任何人员捕捉猎杀野生动物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60" w:type="dxa"/>
            <w:gridSpan w:val="2"/>
            <w:vAlign w:val="center"/>
          </w:tcPr>
          <w:p>
            <w:pPr>
              <w:tabs>
                <w:tab w:val="left" w:pos="8820"/>
              </w:tabs>
              <w:jc w:val="center"/>
              <w:rPr>
                <w:b/>
                <w:szCs w:val="21"/>
              </w:rPr>
            </w:pPr>
            <w:r>
              <w:rPr>
                <w:rFonts w:hint="eastAsia"/>
                <w:b/>
                <w:szCs w:val="21"/>
              </w:rPr>
              <w:t>小计</w:t>
            </w:r>
          </w:p>
        </w:tc>
        <w:tc>
          <w:tcPr>
            <w:tcW w:w="892" w:type="dxa"/>
            <w:vAlign w:val="center"/>
          </w:tcPr>
          <w:p>
            <w:pPr>
              <w:tabs>
                <w:tab w:val="left" w:pos="8820"/>
              </w:tabs>
              <w:jc w:val="center"/>
              <w:rPr>
                <w:rFonts w:hint="eastAsia" w:eastAsia="宋体"/>
                <w:b/>
                <w:szCs w:val="21"/>
                <w:lang w:eastAsia="zh-CN"/>
              </w:rPr>
            </w:pPr>
            <w:r>
              <w:rPr>
                <w:rFonts w:hint="eastAsia"/>
                <w:b/>
                <w:szCs w:val="21"/>
                <w:lang w:val="en-US" w:eastAsia="zh-CN"/>
              </w:rPr>
              <w:t>3</w:t>
            </w:r>
          </w:p>
        </w:tc>
        <w:tc>
          <w:tcPr>
            <w:tcW w:w="5853" w:type="dxa"/>
            <w:vAlign w:val="center"/>
          </w:tcPr>
          <w:p>
            <w:pPr>
              <w:tabs>
                <w:tab w:val="left" w:pos="8820"/>
              </w:tabs>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二</w:t>
            </w:r>
          </w:p>
        </w:tc>
        <w:tc>
          <w:tcPr>
            <w:tcW w:w="8141" w:type="dxa"/>
            <w:gridSpan w:val="3"/>
            <w:vAlign w:val="center"/>
          </w:tcPr>
          <w:p>
            <w:pPr>
              <w:tabs>
                <w:tab w:val="left" w:pos="8820"/>
              </w:tabs>
              <w:jc w:val="center"/>
              <w:rPr>
                <w:szCs w:val="21"/>
              </w:rPr>
            </w:pPr>
            <w:r>
              <w:rPr>
                <w:rFonts w:hint="eastAsia"/>
                <w:szCs w:val="21"/>
              </w:rPr>
              <w:t>水土保持控制措施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1</w:t>
            </w:r>
          </w:p>
        </w:tc>
        <w:tc>
          <w:tcPr>
            <w:tcW w:w="1396" w:type="dxa"/>
            <w:vAlign w:val="center"/>
          </w:tcPr>
          <w:p>
            <w:pPr>
              <w:tabs>
                <w:tab w:val="left" w:pos="8820"/>
              </w:tabs>
              <w:jc w:val="center"/>
              <w:rPr>
                <w:szCs w:val="21"/>
              </w:rPr>
            </w:pPr>
            <w:r>
              <w:rPr>
                <w:rFonts w:hint="eastAsia"/>
                <w:szCs w:val="21"/>
              </w:rPr>
              <w:t>工程措施</w:t>
            </w:r>
          </w:p>
        </w:tc>
        <w:tc>
          <w:tcPr>
            <w:tcW w:w="892" w:type="dxa"/>
            <w:vAlign w:val="center"/>
          </w:tcPr>
          <w:p>
            <w:pPr>
              <w:tabs>
                <w:tab w:val="left" w:pos="8820"/>
              </w:tabs>
              <w:jc w:val="center"/>
              <w:rPr>
                <w:szCs w:val="21"/>
              </w:rPr>
            </w:pPr>
            <w:r>
              <w:rPr>
                <w:rFonts w:hint="eastAsia"/>
                <w:szCs w:val="21"/>
              </w:rPr>
              <w:t>15</w:t>
            </w:r>
          </w:p>
        </w:tc>
        <w:tc>
          <w:tcPr>
            <w:tcW w:w="5853" w:type="dxa"/>
            <w:vAlign w:val="center"/>
          </w:tcPr>
          <w:p>
            <w:pPr>
              <w:tabs>
                <w:tab w:val="left" w:pos="8820"/>
              </w:tabs>
              <w:jc w:val="center"/>
              <w:rPr>
                <w:szCs w:val="21"/>
              </w:rPr>
            </w:pPr>
            <w:r>
              <w:rPr>
                <w:rFonts w:hint="eastAsia"/>
                <w:szCs w:val="21"/>
              </w:rPr>
              <w:t>周边排水管网，截水沟和沉沙池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2</w:t>
            </w:r>
          </w:p>
        </w:tc>
        <w:tc>
          <w:tcPr>
            <w:tcW w:w="1396" w:type="dxa"/>
            <w:vAlign w:val="center"/>
          </w:tcPr>
          <w:p>
            <w:pPr>
              <w:tabs>
                <w:tab w:val="left" w:pos="8820"/>
              </w:tabs>
              <w:jc w:val="center"/>
              <w:rPr>
                <w:szCs w:val="21"/>
              </w:rPr>
            </w:pPr>
            <w:r>
              <w:rPr>
                <w:rFonts w:hint="eastAsia"/>
                <w:szCs w:val="21"/>
              </w:rPr>
              <w:t>植物措施</w:t>
            </w:r>
          </w:p>
        </w:tc>
        <w:tc>
          <w:tcPr>
            <w:tcW w:w="892" w:type="dxa"/>
            <w:vAlign w:val="center"/>
          </w:tcPr>
          <w:p>
            <w:pPr>
              <w:tabs>
                <w:tab w:val="left" w:pos="8820"/>
              </w:tabs>
              <w:jc w:val="center"/>
              <w:rPr>
                <w:szCs w:val="21"/>
              </w:rPr>
            </w:pPr>
            <w:r>
              <w:rPr>
                <w:rFonts w:hint="eastAsia"/>
                <w:szCs w:val="21"/>
              </w:rPr>
              <w:t>100</w:t>
            </w:r>
          </w:p>
        </w:tc>
        <w:tc>
          <w:tcPr>
            <w:tcW w:w="5853" w:type="dxa"/>
            <w:vAlign w:val="center"/>
          </w:tcPr>
          <w:p>
            <w:pPr>
              <w:tabs>
                <w:tab w:val="left" w:pos="8820"/>
              </w:tabs>
              <w:jc w:val="center"/>
              <w:rPr>
                <w:szCs w:val="21"/>
              </w:rPr>
            </w:pPr>
            <w:r>
              <w:rPr>
                <w:rFonts w:hint="eastAsia"/>
                <w:szCs w:val="21"/>
              </w:rPr>
              <w:t>占地区域及场界景观绿化、边坡和场地防护、植草沟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3</w:t>
            </w:r>
          </w:p>
        </w:tc>
        <w:tc>
          <w:tcPr>
            <w:tcW w:w="1396" w:type="dxa"/>
            <w:vAlign w:val="center"/>
          </w:tcPr>
          <w:p>
            <w:pPr>
              <w:tabs>
                <w:tab w:val="left" w:pos="8820"/>
              </w:tabs>
              <w:jc w:val="center"/>
              <w:rPr>
                <w:szCs w:val="21"/>
              </w:rPr>
            </w:pPr>
            <w:r>
              <w:rPr>
                <w:rFonts w:hint="eastAsia"/>
                <w:szCs w:val="21"/>
              </w:rPr>
              <w:t>临时措施</w:t>
            </w:r>
          </w:p>
        </w:tc>
        <w:tc>
          <w:tcPr>
            <w:tcW w:w="892" w:type="dxa"/>
            <w:vAlign w:val="center"/>
          </w:tcPr>
          <w:p>
            <w:pPr>
              <w:tabs>
                <w:tab w:val="left" w:pos="8820"/>
              </w:tabs>
              <w:jc w:val="center"/>
              <w:rPr>
                <w:szCs w:val="21"/>
              </w:rPr>
            </w:pPr>
            <w:r>
              <w:rPr>
                <w:rFonts w:hint="eastAsia"/>
                <w:szCs w:val="21"/>
              </w:rPr>
              <w:t>8</w:t>
            </w:r>
          </w:p>
        </w:tc>
        <w:tc>
          <w:tcPr>
            <w:tcW w:w="5853" w:type="dxa"/>
            <w:vAlign w:val="center"/>
          </w:tcPr>
          <w:p>
            <w:pPr>
              <w:tabs>
                <w:tab w:val="left" w:pos="8820"/>
              </w:tabs>
              <w:jc w:val="center"/>
              <w:rPr>
                <w:szCs w:val="21"/>
              </w:rPr>
            </w:pPr>
            <w:r>
              <w:rPr>
                <w:rFonts w:hint="eastAsia"/>
                <w:szCs w:val="21"/>
              </w:rPr>
              <w:t>集水井、临时拦挡和覆盖、挡土板等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4</w:t>
            </w:r>
          </w:p>
        </w:tc>
        <w:tc>
          <w:tcPr>
            <w:tcW w:w="1396" w:type="dxa"/>
            <w:vAlign w:val="center"/>
          </w:tcPr>
          <w:p>
            <w:pPr>
              <w:tabs>
                <w:tab w:val="left" w:pos="8820"/>
              </w:tabs>
              <w:jc w:val="center"/>
              <w:rPr>
                <w:szCs w:val="21"/>
              </w:rPr>
            </w:pPr>
            <w:r>
              <w:rPr>
                <w:rFonts w:hint="eastAsia"/>
                <w:szCs w:val="21"/>
              </w:rPr>
              <w:t>管理措施</w:t>
            </w:r>
          </w:p>
        </w:tc>
        <w:tc>
          <w:tcPr>
            <w:tcW w:w="892" w:type="dxa"/>
            <w:vAlign w:val="center"/>
          </w:tcPr>
          <w:p>
            <w:pPr>
              <w:tabs>
                <w:tab w:val="left" w:pos="8820"/>
              </w:tabs>
              <w:jc w:val="center"/>
              <w:rPr>
                <w:szCs w:val="21"/>
              </w:rPr>
            </w:pPr>
            <w:r>
              <w:rPr>
                <w:rFonts w:hint="eastAsia"/>
                <w:szCs w:val="21"/>
              </w:rPr>
              <w:t>2</w:t>
            </w:r>
          </w:p>
        </w:tc>
        <w:tc>
          <w:tcPr>
            <w:tcW w:w="5853" w:type="dxa"/>
            <w:vAlign w:val="center"/>
          </w:tcPr>
          <w:p>
            <w:pPr>
              <w:tabs>
                <w:tab w:val="left" w:pos="8820"/>
              </w:tabs>
              <w:jc w:val="center"/>
              <w:rPr>
                <w:szCs w:val="21"/>
              </w:rPr>
            </w:pPr>
            <w:r>
              <w:rPr>
                <w:rFonts w:hint="eastAsia"/>
                <w:szCs w:val="21"/>
              </w:rPr>
              <w:t>建设期管理费、监理费、水保监测费及场地防护验收费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60" w:type="dxa"/>
            <w:gridSpan w:val="2"/>
            <w:vAlign w:val="center"/>
          </w:tcPr>
          <w:p>
            <w:pPr>
              <w:tabs>
                <w:tab w:val="left" w:pos="8820"/>
              </w:tabs>
              <w:jc w:val="center"/>
              <w:rPr>
                <w:b/>
                <w:szCs w:val="21"/>
              </w:rPr>
            </w:pPr>
            <w:r>
              <w:rPr>
                <w:rFonts w:hint="eastAsia"/>
                <w:b/>
                <w:szCs w:val="21"/>
              </w:rPr>
              <w:t>小</w:t>
            </w:r>
            <w:r>
              <w:rPr>
                <w:b/>
                <w:szCs w:val="21"/>
              </w:rPr>
              <w:t>计</w:t>
            </w:r>
          </w:p>
        </w:tc>
        <w:tc>
          <w:tcPr>
            <w:tcW w:w="892" w:type="dxa"/>
            <w:vAlign w:val="center"/>
          </w:tcPr>
          <w:p>
            <w:pPr>
              <w:tabs>
                <w:tab w:val="left" w:pos="8820"/>
              </w:tabs>
              <w:jc w:val="center"/>
              <w:rPr>
                <w:b/>
                <w:szCs w:val="21"/>
              </w:rPr>
            </w:pPr>
            <w:r>
              <w:rPr>
                <w:rFonts w:hint="eastAsia"/>
                <w:b/>
                <w:szCs w:val="21"/>
              </w:rPr>
              <w:t>125</w:t>
            </w:r>
          </w:p>
        </w:tc>
        <w:tc>
          <w:tcPr>
            <w:tcW w:w="5853" w:type="dxa"/>
            <w:vAlign w:val="center"/>
          </w:tcPr>
          <w:p>
            <w:pPr>
              <w:tabs>
                <w:tab w:val="left" w:pos="8820"/>
              </w:tabs>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rFonts w:hint="eastAsia"/>
                <w:szCs w:val="21"/>
              </w:rPr>
              <w:t>三</w:t>
            </w:r>
          </w:p>
        </w:tc>
        <w:tc>
          <w:tcPr>
            <w:tcW w:w="8141" w:type="dxa"/>
            <w:gridSpan w:val="3"/>
            <w:vAlign w:val="center"/>
          </w:tcPr>
          <w:p>
            <w:pPr>
              <w:tabs>
                <w:tab w:val="left" w:pos="8820"/>
              </w:tabs>
              <w:jc w:val="center"/>
              <w:rPr>
                <w:szCs w:val="21"/>
              </w:rPr>
            </w:pPr>
            <w:r>
              <w:rPr>
                <w:szCs w:val="21"/>
              </w:rPr>
              <w:t>环保临时措施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szCs w:val="21"/>
              </w:rPr>
              <w:t>1</w:t>
            </w:r>
          </w:p>
        </w:tc>
        <w:tc>
          <w:tcPr>
            <w:tcW w:w="1396" w:type="dxa"/>
            <w:vAlign w:val="center"/>
          </w:tcPr>
          <w:p>
            <w:pPr>
              <w:tabs>
                <w:tab w:val="left" w:pos="8820"/>
              </w:tabs>
              <w:jc w:val="center"/>
              <w:rPr>
                <w:szCs w:val="21"/>
              </w:rPr>
            </w:pPr>
            <w:r>
              <w:rPr>
                <w:szCs w:val="21"/>
              </w:rPr>
              <w:t>洒水</w:t>
            </w:r>
          </w:p>
        </w:tc>
        <w:tc>
          <w:tcPr>
            <w:tcW w:w="892" w:type="dxa"/>
            <w:vAlign w:val="center"/>
          </w:tcPr>
          <w:p>
            <w:pPr>
              <w:tabs>
                <w:tab w:val="left" w:pos="8820"/>
              </w:tabs>
              <w:jc w:val="center"/>
              <w:rPr>
                <w:szCs w:val="21"/>
              </w:rPr>
            </w:pPr>
            <w:r>
              <w:rPr>
                <w:rFonts w:hint="eastAsia"/>
                <w:szCs w:val="21"/>
              </w:rPr>
              <w:t>10</w:t>
            </w:r>
          </w:p>
        </w:tc>
        <w:tc>
          <w:tcPr>
            <w:tcW w:w="5853" w:type="dxa"/>
            <w:vAlign w:val="center"/>
          </w:tcPr>
          <w:p>
            <w:pPr>
              <w:tabs>
                <w:tab w:val="left" w:pos="8820"/>
              </w:tabs>
              <w:jc w:val="center"/>
              <w:rPr>
                <w:szCs w:val="21"/>
              </w:rPr>
            </w:pPr>
            <w:r>
              <w:rPr>
                <w:szCs w:val="21"/>
              </w:rPr>
              <w:t>由建设单位负责</w:t>
            </w:r>
            <w:r>
              <w:rPr>
                <w:rFonts w:hint="eastAsia"/>
                <w:szCs w:val="21"/>
              </w:rPr>
              <w:t>施工期场地内、施工道路</w:t>
            </w:r>
            <w:r>
              <w:rPr>
                <w:szCs w:val="21"/>
              </w:rPr>
              <w:t>沿线降尘</w:t>
            </w:r>
            <w:r>
              <w:rPr>
                <w:rFonts w:hint="eastAsia"/>
                <w:szCs w:val="21"/>
              </w:rPr>
              <w:t>，租用洒水车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dxa"/>
            <w:vAlign w:val="center"/>
          </w:tcPr>
          <w:p>
            <w:pPr>
              <w:tabs>
                <w:tab w:val="left" w:pos="8820"/>
              </w:tabs>
              <w:jc w:val="center"/>
              <w:rPr>
                <w:szCs w:val="21"/>
              </w:rPr>
            </w:pPr>
            <w:r>
              <w:rPr>
                <w:szCs w:val="21"/>
              </w:rPr>
              <w:t>2</w:t>
            </w:r>
          </w:p>
        </w:tc>
        <w:tc>
          <w:tcPr>
            <w:tcW w:w="1396" w:type="dxa"/>
            <w:vAlign w:val="center"/>
          </w:tcPr>
          <w:p>
            <w:pPr>
              <w:tabs>
                <w:tab w:val="left" w:pos="8820"/>
              </w:tabs>
              <w:jc w:val="center"/>
              <w:rPr>
                <w:szCs w:val="21"/>
              </w:rPr>
            </w:pPr>
            <w:r>
              <w:rPr>
                <w:rFonts w:hint="eastAsia"/>
                <w:szCs w:val="21"/>
              </w:rPr>
              <w:t>施工期临时生态防护</w:t>
            </w:r>
          </w:p>
        </w:tc>
        <w:tc>
          <w:tcPr>
            <w:tcW w:w="892" w:type="dxa"/>
            <w:vAlign w:val="center"/>
          </w:tcPr>
          <w:p>
            <w:pPr>
              <w:tabs>
                <w:tab w:val="left" w:pos="8820"/>
              </w:tabs>
              <w:jc w:val="center"/>
              <w:rPr>
                <w:szCs w:val="21"/>
              </w:rPr>
            </w:pPr>
            <w:r>
              <w:rPr>
                <w:rFonts w:hint="eastAsia"/>
                <w:szCs w:val="21"/>
              </w:rPr>
              <w:t>5</w:t>
            </w:r>
          </w:p>
        </w:tc>
        <w:tc>
          <w:tcPr>
            <w:tcW w:w="5853" w:type="dxa"/>
            <w:vAlign w:val="center"/>
          </w:tcPr>
          <w:p>
            <w:pPr>
              <w:tabs>
                <w:tab w:val="left" w:pos="8820"/>
              </w:tabs>
              <w:jc w:val="center"/>
              <w:rPr>
                <w:szCs w:val="21"/>
              </w:rPr>
            </w:pPr>
            <w:r>
              <w:rPr>
                <w:szCs w:val="21"/>
              </w:rPr>
              <w:t>由建设单位负责</w:t>
            </w:r>
            <w:r>
              <w:rPr>
                <w:rFonts w:hint="eastAsia"/>
                <w:szCs w:val="21"/>
              </w:rPr>
              <w:t>临时土方堆场生态防护等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60" w:type="dxa"/>
            <w:gridSpan w:val="2"/>
            <w:vAlign w:val="center"/>
          </w:tcPr>
          <w:p>
            <w:pPr>
              <w:tabs>
                <w:tab w:val="left" w:pos="8820"/>
              </w:tabs>
              <w:jc w:val="center"/>
              <w:rPr>
                <w:b/>
                <w:szCs w:val="21"/>
              </w:rPr>
            </w:pPr>
            <w:r>
              <w:rPr>
                <w:rFonts w:hint="eastAsia"/>
                <w:b/>
                <w:szCs w:val="21"/>
              </w:rPr>
              <w:t>小</w:t>
            </w:r>
            <w:r>
              <w:rPr>
                <w:b/>
                <w:szCs w:val="21"/>
              </w:rPr>
              <w:t>计</w:t>
            </w:r>
          </w:p>
        </w:tc>
        <w:tc>
          <w:tcPr>
            <w:tcW w:w="892" w:type="dxa"/>
            <w:vAlign w:val="center"/>
          </w:tcPr>
          <w:p>
            <w:pPr>
              <w:tabs>
                <w:tab w:val="left" w:pos="8820"/>
              </w:tabs>
              <w:jc w:val="center"/>
              <w:rPr>
                <w:b/>
                <w:szCs w:val="21"/>
              </w:rPr>
            </w:pPr>
            <w:r>
              <w:rPr>
                <w:b/>
                <w:szCs w:val="21"/>
              </w:rPr>
              <w:fldChar w:fldCharType="begin"/>
            </w:r>
            <w:r>
              <w:rPr>
                <w:b/>
                <w:szCs w:val="21"/>
              </w:rPr>
              <w:instrText xml:space="preserve"> =SUM(ABOVE) </w:instrText>
            </w:r>
            <w:r>
              <w:rPr>
                <w:b/>
                <w:szCs w:val="21"/>
              </w:rPr>
              <w:fldChar w:fldCharType="separate"/>
            </w:r>
            <w:r>
              <w:rPr>
                <w:b/>
                <w:szCs w:val="21"/>
              </w:rPr>
              <w:t>15</w:t>
            </w:r>
            <w:r>
              <w:rPr>
                <w:b/>
                <w:szCs w:val="21"/>
              </w:rPr>
              <w:fldChar w:fldCharType="end"/>
            </w:r>
          </w:p>
        </w:tc>
        <w:tc>
          <w:tcPr>
            <w:tcW w:w="5853" w:type="dxa"/>
            <w:vAlign w:val="center"/>
          </w:tcPr>
          <w:p>
            <w:pPr>
              <w:tabs>
                <w:tab w:val="left" w:pos="8820"/>
              </w:tabs>
              <w:jc w:val="center"/>
              <w:rPr>
                <w:szCs w:val="21"/>
              </w:rPr>
            </w:pPr>
          </w:p>
        </w:tc>
      </w:tr>
    </w:tbl>
    <w:p>
      <w:pPr>
        <w:spacing w:line="360" w:lineRule="auto"/>
        <w:ind w:firstLine="480" w:firstLineChars="200"/>
        <w:rPr>
          <w:sz w:val="24"/>
        </w:rPr>
      </w:pPr>
    </w:p>
    <w:p>
      <w:pPr>
        <w:pStyle w:val="4"/>
      </w:pPr>
      <w:bookmarkStart w:id="298" w:name="_Toc496628871"/>
      <w:bookmarkStart w:id="299" w:name="_Toc499558177"/>
      <w:bookmarkStart w:id="300" w:name="_Toc4491210"/>
      <w:bookmarkStart w:id="301" w:name="_Toc496628818"/>
      <w:bookmarkStart w:id="302" w:name="_Toc5953866"/>
      <w:bookmarkStart w:id="303" w:name="_Toc500854744"/>
      <w:r>
        <w:t>6、生态专项评价结论</w:t>
      </w:r>
      <w:bookmarkEnd w:id="298"/>
      <w:bookmarkEnd w:id="299"/>
      <w:bookmarkEnd w:id="300"/>
      <w:bookmarkEnd w:id="301"/>
      <w:bookmarkEnd w:id="302"/>
      <w:bookmarkEnd w:id="303"/>
    </w:p>
    <w:p>
      <w:pPr>
        <w:spacing w:line="360" w:lineRule="auto"/>
        <w:ind w:firstLine="480" w:firstLineChars="200"/>
        <w:rPr>
          <w:sz w:val="24"/>
        </w:rPr>
      </w:pPr>
      <w:r>
        <w:rPr>
          <w:sz w:val="24"/>
        </w:rPr>
        <w:t>岳阳和茂置业有限公司在岳阳市岳阳楼区沿湖大道与九华山交界处规划净用地110638m</w:t>
      </w:r>
      <w:r>
        <w:rPr>
          <w:sz w:val="24"/>
          <w:vertAlign w:val="superscript"/>
        </w:rPr>
        <w:t>2</w:t>
      </w:r>
      <w:r>
        <w:rPr>
          <w:sz w:val="24"/>
        </w:rPr>
        <w:t>建设</w:t>
      </w:r>
      <w:r>
        <w:rPr>
          <w:rFonts w:hint="eastAsia"/>
          <w:sz w:val="24"/>
        </w:rPr>
        <w:t>金茂·岳茂苑。</w:t>
      </w:r>
      <w:r>
        <w:rPr>
          <w:sz w:val="24"/>
        </w:rPr>
        <w:t>通过</w:t>
      </w:r>
      <w:r>
        <w:rPr>
          <w:rFonts w:hint="eastAsia"/>
          <w:sz w:val="24"/>
        </w:rPr>
        <w:t>现场调查、引用区域生态环境历史记录材料、并</w:t>
      </w:r>
      <w:r>
        <w:rPr>
          <w:sz w:val="24"/>
        </w:rPr>
        <w:t>结合</w:t>
      </w:r>
      <w:r>
        <w:rPr>
          <w:rFonts w:hint="eastAsia"/>
          <w:sz w:val="24"/>
        </w:rPr>
        <w:t>相关</w:t>
      </w:r>
      <w:r>
        <w:rPr>
          <w:sz w:val="24"/>
        </w:rPr>
        <w:t>文献资料，</w:t>
      </w:r>
      <w:r>
        <w:rPr>
          <w:rFonts w:hint="eastAsia"/>
          <w:sz w:val="24"/>
        </w:rPr>
        <w:t>项目生态环境直接影响区</w:t>
      </w:r>
      <w:r>
        <w:rPr>
          <w:sz w:val="24"/>
        </w:rPr>
        <w:t>内主要以</w:t>
      </w:r>
      <w:r>
        <w:rPr>
          <w:rFonts w:hint="eastAsia"/>
          <w:sz w:val="24"/>
        </w:rPr>
        <w:t>城市</w:t>
      </w:r>
      <w:r>
        <w:rPr>
          <w:sz w:val="24"/>
        </w:rPr>
        <w:t>生态系统为主，评价区</w:t>
      </w:r>
      <w:r>
        <w:rPr>
          <w:rFonts w:hint="eastAsia"/>
          <w:sz w:val="24"/>
        </w:rPr>
        <w:t>周边</w:t>
      </w:r>
      <w:r>
        <w:rPr>
          <w:sz w:val="24"/>
        </w:rPr>
        <w:t>自然植被状况</w:t>
      </w:r>
      <w:r>
        <w:rPr>
          <w:rFonts w:hint="eastAsia"/>
          <w:sz w:val="24"/>
        </w:rPr>
        <w:t>一般</w:t>
      </w:r>
      <w:r>
        <w:rPr>
          <w:sz w:val="24"/>
        </w:rPr>
        <w:t>，以人工景观为主</w:t>
      </w:r>
      <w:r>
        <w:rPr>
          <w:rFonts w:hint="eastAsia"/>
          <w:sz w:val="24"/>
        </w:rPr>
        <w:t>，</w:t>
      </w:r>
      <w:r>
        <w:rPr>
          <w:sz w:val="24"/>
        </w:rPr>
        <w:t>重点评价范围区无特种保护的重点动植物，主要植物为人工种植林木、</w:t>
      </w:r>
      <w:r>
        <w:rPr>
          <w:rFonts w:hint="eastAsia"/>
          <w:sz w:val="24"/>
        </w:rPr>
        <w:t>次生灌木林、</w:t>
      </w:r>
      <w:r>
        <w:rPr>
          <w:sz w:val="24"/>
        </w:rPr>
        <w:t>自然野生草地等，主要动物为蛙类、鼠类、</w:t>
      </w:r>
      <w:r>
        <w:rPr>
          <w:rFonts w:hint="eastAsia"/>
          <w:sz w:val="24"/>
        </w:rPr>
        <w:t>人工生态系统中常见鸟</w:t>
      </w:r>
      <w:r>
        <w:rPr>
          <w:sz w:val="24"/>
        </w:rPr>
        <w:t>类等。总体评价</w:t>
      </w:r>
      <w:r>
        <w:rPr>
          <w:rFonts w:hint="eastAsia"/>
          <w:sz w:val="24"/>
        </w:rPr>
        <w:t>项目所在</w:t>
      </w:r>
      <w:r>
        <w:rPr>
          <w:sz w:val="24"/>
        </w:rPr>
        <w:t>区域自然环境质量</w:t>
      </w:r>
      <w:r>
        <w:rPr>
          <w:rFonts w:hint="eastAsia"/>
          <w:sz w:val="24"/>
        </w:rPr>
        <w:t>一般</w:t>
      </w:r>
      <w:r>
        <w:rPr>
          <w:sz w:val="24"/>
        </w:rPr>
        <w:t>，人为干扰严重，不是野生动物活动的重要场所，野生动物种类较少</w:t>
      </w:r>
      <w:r>
        <w:rPr>
          <w:rFonts w:hint="eastAsia"/>
          <w:sz w:val="24"/>
        </w:rPr>
        <w:t>。</w:t>
      </w:r>
    </w:p>
    <w:p>
      <w:pPr>
        <w:autoSpaceDE w:val="0"/>
        <w:autoSpaceDN w:val="0"/>
        <w:adjustRightInd w:val="0"/>
        <w:spacing w:line="360" w:lineRule="auto"/>
        <w:ind w:firstLine="480" w:firstLineChars="200"/>
        <w:rPr>
          <w:sz w:val="24"/>
        </w:rPr>
      </w:pPr>
      <w:r>
        <w:rPr>
          <w:rFonts w:hint="eastAsia"/>
          <w:sz w:val="24"/>
        </w:rPr>
        <w:t>项目所在地现有为人工城市生态系统，建成后将进一步加大区域人类活动的影响。但项目本身为非工业型行业，不会产生工业污染源，对现有生态系统中次生林和人工林面积不会产生负面影响，生态型居民小区的建成，落实海绵城市型调蓄水源方式，可最大限度提高水源涵养和土壤保持功能，施工和运营期通过采取合理防护措施，不会对现有生态系统造成明显影响，因此本项目建设对项目区所属的水源涵养与生物多样性保护重要区现存的生态问题不会带来加重影响。</w:t>
      </w:r>
    </w:p>
    <w:p>
      <w:pPr>
        <w:pStyle w:val="2"/>
        <w:ind w:firstLine="480"/>
      </w:pPr>
      <w:r>
        <w:rPr>
          <w:rFonts w:hint="eastAsia"/>
        </w:rPr>
        <w:t>在采取相应的生态防护措施后，基本能做到</w:t>
      </w:r>
      <w:r>
        <w:t>不影响</w:t>
      </w:r>
      <w:r>
        <w:rPr>
          <w:rFonts w:hint="eastAsia"/>
        </w:rPr>
        <w:t>岳阳楼景区及外围保护地带区域的现有生态</w:t>
      </w:r>
      <w:r>
        <w:t>功能，</w:t>
      </w:r>
      <w:r>
        <w:rPr>
          <w:rFonts w:hint="eastAsia"/>
        </w:rPr>
        <w:t>将现有</w:t>
      </w:r>
      <w:r>
        <w:t>自然资源</w:t>
      </w:r>
      <w:r>
        <w:rPr>
          <w:rFonts w:hint="eastAsia"/>
        </w:rPr>
        <w:t>、</w:t>
      </w:r>
      <w:r>
        <w:t>景观</w:t>
      </w:r>
      <w:r>
        <w:rPr>
          <w:rFonts w:hint="eastAsia"/>
        </w:rPr>
        <w:t>破坏程度降至最低，并通过生态恢复做好补偿措施</w:t>
      </w:r>
      <w:r>
        <w:t>。</w:t>
      </w:r>
      <w:r>
        <w:rPr>
          <w:rFonts w:hint="eastAsia"/>
        </w:rPr>
        <w:t>对保护区完整性、景观生态系统、生物群落（栖息地）、种群</w:t>
      </w:r>
      <w:r>
        <w:t>/</w:t>
      </w:r>
      <w:r>
        <w:rPr>
          <w:rFonts w:hint="eastAsia"/>
        </w:rPr>
        <w:t>物种以及主要保护对象的影响均较小，对生物安全、相关利益群体基本无影响。在采取有效的保护和恢复措施以及协调好相关利益群体关系的前提下，项目建设总体上对岳阳楼风景区的影响较小，在可接受的范围内。从生态环境保护的角度考虑，项目建设方案对生态环境影响在可接受范围内。</w:t>
      </w:r>
    </w:p>
    <w:p>
      <w:pPr>
        <w:pStyle w:val="2"/>
        <w:ind w:firstLine="480"/>
      </w:pPr>
    </w:p>
    <w:p>
      <w:pPr>
        <w:pStyle w:val="2"/>
        <w:ind w:firstLine="480"/>
        <w:sectPr>
          <w:pgSz w:w="11906" w:h="16838"/>
          <w:pgMar w:top="1440" w:right="1800" w:bottom="1440" w:left="1800" w:header="851" w:footer="1077" w:gutter="0"/>
          <w:cols w:space="425" w:num="1"/>
          <w:docGrid w:linePitch="312" w:charSpace="0"/>
        </w:sectPr>
      </w:pPr>
    </w:p>
    <w:p>
      <w:pPr>
        <w:pStyle w:val="2"/>
        <w:ind w:firstLine="0" w:firstLineChars="0"/>
        <w:rPr>
          <w:rStyle w:val="29"/>
        </w:rPr>
      </w:pPr>
      <w:r>
        <w:rPr>
          <w:rStyle w:val="29"/>
          <w:rFonts w:hint="eastAsia"/>
        </w:rPr>
        <w:t>附件1 环评委托书</w:t>
      </w:r>
    </w:p>
    <w:p>
      <w:pPr>
        <w:pStyle w:val="2"/>
        <w:ind w:firstLine="480"/>
        <w:sectPr>
          <w:pgSz w:w="11906" w:h="16838"/>
          <w:pgMar w:top="1440" w:right="1800" w:bottom="1440" w:left="1800" w:header="851" w:footer="1077" w:gutter="0"/>
          <w:cols w:space="425" w:num="1"/>
          <w:docGrid w:linePitch="312" w:charSpace="0"/>
        </w:sectPr>
      </w:pPr>
      <w:r>
        <w:drawing>
          <wp:inline distT="0" distB="0" distL="114300" distR="114300">
            <wp:extent cx="5272405" cy="8056245"/>
            <wp:effectExtent l="0" t="0" r="4445" b="190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9" cstate="print"/>
                    <a:stretch>
                      <a:fillRect/>
                    </a:stretch>
                  </pic:blipFill>
                  <pic:spPr>
                    <a:xfrm>
                      <a:off x="0" y="0"/>
                      <a:ext cx="5272405" cy="8056245"/>
                    </a:xfrm>
                    <a:prstGeom prst="rect">
                      <a:avLst/>
                    </a:prstGeom>
                    <a:noFill/>
                    <a:ln>
                      <a:noFill/>
                    </a:ln>
                  </pic:spPr>
                </pic:pic>
              </a:graphicData>
            </a:graphic>
          </wp:inline>
        </w:drawing>
      </w:r>
    </w:p>
    <w:p>
      <w:pPr>
        <w:rPr>
          <w:rStyle w:val="29"/>
        </w:rPr>
      </w:pPr>
      <w:r>
        <w:rPr>
          <w:rStyle w:val="29"/>
          <w:rFonts w:hint="eastAsia"/>
        </w:rPr>
        <w:t>附件2 项目备案证明</w:t>
      </w:r>
    </w:p>
    <w:p>
      <w:r>
        <w:rPr>
          <w:rFonts w:hint="eastAsia"/>
        </w:rPr>
        <w:drawing>
          <wp:inline distT="0" distB="0" distL="114300" distR="114300">
            <wp:extent cx="5272405" cy="8197215"/>
            <wp:effectExtent l="0" t="0" r="4445" b="13335"/>
            <wp:docPr id="4" name="图片 4" descr="1622529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22529294(1)"/>
                    <pic:cNvPicPr>
                      <a:picLocks noChangeAspect="1"/>
                    </pic:cNvPicPr>
                  </pic:nvPicPr>
                  <pic:blipFill>
                    <a:blip r:embed="rId10" cstate="print"/>
                    <a:stretch>
                      <a:fillRect/>
                    </a:stretch>
                  </pic:blipFill>
                  <pic:spPr>
                    <a:xfrm>
                      <a:off x="0" y="0"/>
                      <a:ext cx="5272405" cy="8197215"/>
                    </a:xfrm>
                    <a:prstGeom prst="rect">
                      <a:avLst/>
                    </a:prstGeom>
                  </pic:spPr>
                </pic:pic>
              </a:graphicData>
            </a:graphic>
          </wp:inline>
        </w:drawing>
      </w:r>
    </w:p>
    <w:p>
      <w:pPr>
        <w:sectPr>
          <w:pgSz w:w="11906" w:h="16838"/>
          <w:pgMar w:top="1440" w:right="1800" w:bottom="1440" w:left="1800" w:header="851" w:footer="1077" w:gutter="0"/>
          <w:cols w:space="425" w:num="1"/>
          <w:docGrid w:linePitch="312" w:charSpace="0"/>
        </w:sectPr>
      </w:pPr>
    </w:p>
    <w:p>
      <w:pPr>
        <w:pStyle w:val="2"/>
        <w:ind w:firstLine="0" w:firstLineChars="0"/>
      </w:pPr>
      <w:r>
        <w:rPr>
          <w:rStyle w:val="29"/>
          <w:rFonts w:hint="eastAsia"/>
        </w:rPr>
        <w:t>附件3</w:t>
      </w:r>
      <w:r>
        <w:rPr>
          <w:rFonts w:hint="eastAsia"/>
        </w:rPr>
        <w:t>项目红线图</w:t>
      </w:r>
    </w:p>
    <w:p>
      <w:pPr>
        <w:pStyle w:val="23"/>
        <w:sectPr>
          <w:pgSz w:w="16838" w:h="11906" w:orient="landscape"/>
          <w:pgMar w:top="1800" w:right="1440" w:bottom="1800" w:left="1440" w:header="851" w:footer="1077" w:gutter="0"/>
          <w:cols w:space="425" w:num="1"/>
          <w:docGrid w:linePitch="312" w:charSpace="0"/>
        </w:sectPr>
      </w:pPr>
      <w:r>
        <w:rPr>
          <w:rFonts w:hint="eastAsia"/>
        </w:rPr>
        <w:drawing>
          <wp:inline distT="0" distB="0" distL="114300" distR="114300">
            <wp:extent cx="7476490" cy="4749165"/>
            <wp:effectExtent l="0" t="0" r="10160" b="13335"/>
            <wp:docPr id="74" name="图片 74" descr="金茂红线与岳阳楼景区相关界线位置关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金茂红线与岳阳楼景区相关界线位置关系图(1)"/>
                    <pic:cNvPicPr>
                      <a:picLocks noChangeAspect="1"/>
                    </pic:cNvPicPr>
                  </pic:nvPicPr>
                  <pic:blipFill>
                    <a:blip r:embed="rId11"/>
                    <a:stretch>
                      <a:fillRect/>
                    </a:stretch>
                  </pic:blipFill>
                  <pic:spPr>
                    <a:xfrm>
                      <a:off x="0" y="0"/>
                      <a:ext cx="7476490" cy="4749165"/>
                    </a:xfrm>
                    <a:prstGeom prst="rect">
                      <a:avLst/>
                    </a:prstGeom>
                  </pic:spPr>
                </pic:pic>
              </a:graphicData>
            </a:graphic>
          </wp:inline>
        </w:drawing>
      </w:r>
    </w:p>
    <w:p>
      <w:pPr>
        <w:pStyle w:val="13"/>
        <w:jc w:val="left"/>
        <w:rPr>
          <w:rStyle w:val="29"/>
        </w:rPr>
      </w:pPr>
      <w:r>
        <w:rPr>
          <w:rFonts w:hint="eastAsia"/>
          <w:sz w:val="24"/>
        </w:rPr>
        <w:t>附件</w:t>
      </w:r>
      <w:r>
        <w:rPr>
          <w:rFonts w:hint="eastAsia"/>
          <w:sz w:val="24"/>
          <w:lang w:val="en-US"/>
        </w:rPr>
        <w:t>4</w:t>
      </w:r>
      <w:r>
        <w:rPr>
          <w:rStyle w:val="29"/>
          <w:rFonts w:hint="eastAsia"/>
        </w:rPr>
        <w:t>土地出让合同节选</w:t>
      </w:r>
    </w:p>
    <w:p>
      <w:pPr>
        <w:pStyle w:val="13"/>
        <w:jc w:val="left"/>
        <w:sectPr>
          <w:pgSz w:w="16838" w:h="11906" w:orient="landscape"/>
          <w:pgMar w:top="1800" w:right="1440" w:bottom="1800" w:left="1440" w:header="851" w:footer="1077" w:gutter="0"/>
          <w:cols w:space="425" w:num="1"/>
          <w:docGrid w:linePitch="312" w:charSpace="0"/>
        </w:sectPr>
      </w:pPr>
      <w:r>
        <w:rPr>
          <w:lang w:val="en-US"/>
        </w:rPr>
        <w:drawing>
          <wp:inline distT="0" distB="0" distL="114300" distR="114300">
            <wp:extent cx="4478655" cy="4776470"/>
            <wp:effectExtent l="0" t="0" r="17145" b="50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2" cstate="print"/>
                    <a:stretch>
                      <a:fillRect/>
                    </a:stretch>
                  </pic:blipFill>
                  <pic:spPr>
                    <a:xfrm>
                      <a:off x="0" y="0"/>
                      <a:ext cx="4478655" cy="4776470"/>
                    </a:xfrm>
                    <a:prstGeom prst="rect">
                      <a:avLst/>
                    </a:prstGeom>
                    <a:noFill/>
                    <a:ln>
                      <a:noFill/>
                    </a:ln>
                  </pic:spPr>
                </pic:pic>
              </a:graphicData>
            </a:graphic>
          </wp:inline>
        </w:drawing>
      </w:r>
      <w:r>
        <w:rPr>
          <w:lang w:val="en-US"/>
        </w:rPr>
        <w:drawing>
          <wp:inline distT="0" distB="0" distL="114300" distR="114300">
            <wp:extent cx="4300855" cy="4700905"/>
            <wp:effectExtent l="0" t="0" r="4445" b="444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3" cstate="print"/>
                    <a:stretch>
                      <a:fillRect/>
                    </a:stretch>
                  </pic:blipFill>
                  <pic:spPr>
                    <a:xfrm>
                      <a:off x="0" y="0"/>
                      <a:ext cx="4300855" cy="4700905"/>
                    </a:xfrm>
                    <a:prstGeom prst="rect">
                      <a:avLst/>
                    </a:prstGeom>
                    <a:noFill/>
                    <a:ln>
                      <a:noFill/>
                    </a:ln>
                  </pic:spPr>
                </pic:pic>
              </a:graphicData>
            </a:graphic>
          </wp:inline>
        </w:drawing>
      </w:r>
    </w:p>
    <w:p>
      <w:pPr>
        <w:sectPr>
          <w:pgSz w:w="16838" w:h="11906" w:orient="landscape"/>
          <w:pgMar w:top="1800" w:right="1440" w:bottom="1800" w:left="1440" w:header="851" w:footer="1077" w:gutter="0"/>
          <w:cols w:space="425" w:num="1"/>
          <w:docGrid w:linePitch="312" w:charSpace="0"/>
        </w:sectPr>
      </w:pPr>
      <w:r>
        <w:drawing>
          <wp:inline distT="0" distB="0" distL="114300" distR="114300">
            <wp:extent cx="4514215" cy="5270500"/>
            <wp:effectExtent l="0" t="0" r="635" b="635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4" cstate="print"/>
                    <a:stretch>
                      <a:fillRect/>
                    </a:stretch>
                  </pic:blipFill>
                  <pic:spPr>
                    <a:xfrm>
                      <a:off x="0" y="0"/>
                      <a:ext cx="4514215" cy="5270500"/>
                    </a:xfrm>
                    <a:prstGeom prst="rect">
                      <a:avLst/>
                    </a:prstGeom>
                    <a:noFill/>
                    <a:ln>
                      <a:noFill/>
                    </a:ln>
                  </pic:spPr>
                </pic:pic>
              </a:graphicData>
            </a:graphic>
          </wp:inline>
        </w:drawing>
      </w:r>
      <w:r>
        <w:drawing>
          <wp:inline distT="0" distB="0" distL="114300" distR="114300">
            <wp:extent cx="4148455" cy="5271135"/>
            <wp:effectExtent l="0" t="0" r="4445" b="571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5" cstate="print"/>
                    <a:stretch>
                      <a:fillRect/>
                    </a:stretch>
                  </pic:blipFill>
                  <pic:spPr>
                    <a:xfrm>
                      <a:off x="0" y="0"/>
                      <a:ext cx="4148455" cy="5271135"/>
                    </a:xfrm>
                    <a:prstGeom prst="rect">
                      <a:avLst/>
                    </a:prstGeom>
                    <a:noFill/>
                    <a:ln>
                      <a:noFill/>
                    </a:ln>
                  </pic:spPr>
                </pic:pic>
              </a:graphicData>
            </a:graphic>
          </wp:inline>
        </w:drawing>
      </w:r>
    </w:p>
    <w:p>
      <w:pPr>
        <w:pStyle w:val="23"/>
        <w:sectPr>
          <w:pgSz w:w="16838" w:h="11906" w:orient="landscape"/>
          <w:pgMar w:top="1800" w:right="1440" w:bottom="1800" w:left="1440" w:header="851" w:footer="1077" w:gutter="0"/>
          <w:cols w:space="425" w:num="1"/>
          <w:docGrid w:linePitch="312" w:charSpace="0"/>
        </w:sectPr>
      </w:pPr>
      <w:r>
        <w:drawing>
          <wp:inline distT="0" distB="0" distL="114300" distR="114300">
            <wp:extent cx="4295775" cy="5266690"/>
            <wp:effectExtent l="0" t="0" r="9525" b="1016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6" cstate="print"/>
                    <a:stretch>
                      <a:fillRect/>
                    </a:stretch>
                  </pic:blipFill>
                  <pic:spPr>
                    <a:xfrm>
                      <a:off x="0" y="0"/>
                      <a:ext cx="4295775" cy="5266690"/>
                    </a:xfrm>
                    <a:prstGeom prst="rect">
                      <a:avLst/>
                    </a:prstGeom>
                    <a:noFill/>
                    <a:ln>
                      <a:noFill/>
                    </a:ln>
                  </pic:spPr>
                </pic:pic>
              </a:graphicData>
            </a:graphic>
          </wp:inline>
        </w:drawing>
      </w:r>
      <w:r>
        <w:drawing>
          <wp:inline distT="0" distB="0" distL="114300" distR="114300">
            <wp:extent cx="4378325" cy="5269230"/>
            <wp:effectExtent l="0" t="0" r="3175" b="762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7" cstate="print"/>
                    <a:stretch>
                      <a:fillRect/>
                    </a:stretch>
                  </pic:blipFill>
                  <pic:spPr>
                    <a:xfrm>
                      <a:off x="0" y="0"/>
                      <a:ext cx="4378325" cy="5269230"/>
                    </a:xfrm>
                    <a:prstGeom prst="rect">
                      <a:avLst/>
                    </a:prstGeom>
                    <a:noFill/>
                    <a:ln>
                      <a:noFill/>
                    </a:ln>
                  </pic:spPr>
                </pic:pic>
              </a:graphicData>
            </a:graphic>
          </wp:inline>
        </w:drawing>
      </w:r>
    </w:p>
    <w:p>
      <w:pPr>
        <w:pStyle w:val="13"/>
        <w:jc w:val="both"/>
        <w:sectPr>
          <w:pgSz w:w="16838" w:h="11906" w:orient="landscape"/>
          <w:pgMar w:top="1800" w:right="1440" w:bottom="1800" w:left="1440" w:header="851" w:footer="1077" w:gutter="0"/>
          <w:cols w:space="425" w:num="1"/>
          <w:docGrid w:linePitch="312" w:charSpace="0"/>
        </w:sectPr>
      </w:pPr>
      <w:r>
        <w:rPr>
          <w:lang w:val="en-US"/>
        </w:rPr>
        <w:drawing>
          <wp:inline distT="0" distB="0" distL="114300" distR="114300">
            <wp:extent cx="4324985" cy="5269230"/>
            <wp:effectExtent l="0" t="0" r="18415" b="762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8" cstate="print"/>
                    <a:stretch>
                      <a:fillRect/>
                    </a:stretch>
                  </pic:blipFill>
                  <pic:spPr>
                    <a:xfrm>
                      <a:off x="0" y="0"/>
                      <a:ext cx="4324985" cy="5269230"/>
                    </a:xfrm>
                    <a:prstGeom prst="rect">
                      <a:avLst/>
                    </a:prstGeom>
                    <a:noFill/>
                    <a:ln>
                      <a:noFill/>
                    </a:ln>
                  </pic:spPr>
                </pic:pic>
              </a:graphicData>
            </a:graphic>
          </wp:inline>
        </w:drawing>
      </w:r>
      <w:r>
        <w:rPr>
          <w:lang w:val="en-US"/>
        </w:rPr>
        <w:drawing>
          <wp:inline distT="0" distB="0" distL="114300" distR="114300">
            <wp:extent cx="4478655" cy="5273040"/>
            <wp:effectExtent l="0" t="0" r="17145" b="381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9" cstate="print"/>
                    <a:stretch>
                      <a:fillRect/>
                    </a:stretch>
                  </pic:blipFill>
                  <pic:spPr>
                    <a:xfrm>
                      <a:off x="0" y="0"/>
                      <a:ext cx="4478655" cy="5273040"/>
                    </a:xfrm>
                    <a:prstGeom prst="rect">
                      <a:avLst/>
                    </a:prstGeom>
                    <a:noFill/>
                    <a:ln>
                      <a:noFill/>
                    </a:ln>
                  </pic:spPr>
                </pic:pic>
              </a:graphicData>
            </a:graphic>
          </wp:inline>
        </w:drawing>
      </w:r>
    </w:p>
    <w:p>
      <w:pPr>
        <w:sectPr>
          <w:pgSz w:w="16838" w:h="11906" w:orient="landscape"/>
          <w:pgMar w:top="1800" w:right="1440" w:bottom="1800" w:left="1440" w:header="851" w:footer="1077" w:gutter="0"/>
          <w:cols w:space="425" w:num="1"/>
          <w:docGrid w:linePitch="312" w:charSpace="0"/>
        </w:sectPr>
      </w:pPr>
      <w:r>
        <w:drawing>
          <wp:inline distT="0" distB="0" distL="114300" distR="114300">
            <wp:extent cx="4286885" cy="5267325"/>
            <wp:effectExtent l="0" t="0" r="18415" b="952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0" cstate="print"/>
                    <a:stretch>
                      <a:fillRect/>
                    </a:stretch>
                  </pic:blipFill>
                  <pic:spPr>
                    <a:xfrm>
                      <a:off x="0" y="0"/>
                      <a:ext cx="4286885" cy="5267325"/>
                    </a:xfrm>
                    <a:prstGeom prst="rect">
                      <a:avLst/>
                    </a:prstGeom>
                    <a:noFill/>
                    <a:ln>
                      <a:noFill/>
                    </a:ln>
                  </pic:spPr>
                </pic:pic>
              </a:graphicData>
            </a:graphic>
          </wp:inline>
        </w:drawing>
      </w:r>
      <w:r>
        <w:drawing>
          <wp:inline distT="0" distB="0" distL="114300" distR="114300">
            <wp:extent cx="4410075" cy="5267325"/>
            <wp:effectExtent l="0" t="0" r="9525" b="952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1" cstate="print"/>
                    <a:stretch>
                      <a:fillRect/>
                    </a:stretch>
                  </pic:blipFill>
                  <pic:spPr>
                    <a:xfrm>
                      <a:off x="0" y="0"/>
                      <a:ext cx="4410075" cy="5267325"/>
                    </a:xfrm>
                    <a:prstGeom prst="rect">
                      <a:avLst/>
                    </a:prstGeom>
                    <a:noFill/>
                    <a:ln>
                      <a:noFill/>
                    </a:ln>
                  </pic:spPr>
                </pic:pic>
              </a:graphicData>
            </a:graphic>
          </wp:inline>
        </w:drawing>
      </w:r>
    </w:p>
    <w:p>
      <w:pPr>
        <w:pStyle w:val="23"/>
        <w:sectPr>
          <w:pgSz w:w="16838" w:h="11906" w:orient="landscape"/>
          <w:pgMar w:top="1800" w:right="1440" w:bottom="1800" w:left="1440" w:header="851" w:footer="1077" w:gutter="0"/>
          <w:cols w:space="425" w:num="1"/>
          <w:docGrid w:linePitch="312" w:charSpace="0"/>
        </w:sectPr>
      </w:pPr>
      <w:r>
        <w:drawing>
          <wp:inline distT="0" distB="0" distL="114300" distR="114300">
            <wp:extent cx="4502785" cy="5271135"/>
            <wp:effectExtent l="0" t="0" r="12065" b="571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2" cstate="print"/>
                    <a:stretch>
                      <a:fillRect/>
                    </a:stretch>
                  </pic:blipFill>
                  <pic:spPr>
                    <a:xfrm>
                      <a:off x="0" y="0"/>
                      <a:ext cx="4502785" cy="5271135"/>
                    </a:xfrm>
                    <a:prstGeom prst="rect">
                      <a:avLst/>
                    </a:prstGeom>
                    <a:noFill/>
                    <a:ln>
                      <a:noFill/>
                    </a:ln>
                  </pic:spPr>
                </pic:pic>
              </a:graphicData>
            </a:graphic>
          </wp:inline>
        </w:drawing>
      </w:r>
      <w:r>
        <w:drawing>
          <wp:inline distT="0" distB="0" distL="114300" distR="114300">
            <wp:extent cx="4247515" cy="5268595"/>
            <wp:effectExtent l="0" t="0" r="635" b="825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 cstate="print"/>
                    <a:stretch>
                      <a:fillRect/>
                    </a:stretch>
                  </pic:blipFill>
                  <pic:spPr>
                    <a:xfrm>
                      <a:off x="0" y="0"/>
                      <a:ext cx="4247515" cy="5268595"/>
                    </a:xfrm>
                    <a:prstGeom prst="rect">
                      <a:avLst/>
                    </a:prstGeom>
                    <a:noFill/>
                    <a:ln>
                      <a:noFill/>
                    </a:ln>
                  </pic:spPr>
                </pic:pic>
              </a:graphicData>
            </a:graphic>
          </wp:inline>
        </w:drawing>
      </w:r>
    </w:p>
    <w:p>
      <w:r>
        <w:drawing>
          <wp:inline distT="0" distB="0" distL="114300" distR="114300">
            <wp:extent cx="4199255" cy="5191125"/>
            <wp:effectExtent l="0" t="0" r="10795" b="952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4" cstate="print"/>
                    <a:stretch>
                      <a:fillRect/>
                    </a:stretch>
                  </pic:blipFill>
                  <pic:spPr>
                    <a:xfrm>
                      <a:off x="0" y="0"/>
                      <a:ext cx="4199255" cy="5191125"/>
                    </a:xfrm>
                    <a:prstGeom prst="rect">
                      <a:avLst/>
                    </a:prstGeom>
                    <a:noFill/>
                    <a:ln>
                      <a:noFill/>
                    </a:ln>
                  </pic:spPr>
                </pic:pic>
              </a:graphicData>
            </a:graphic>
          </wp:inline>
        </w:drawing>
      </w:r>
      <w:r>
        <w:drawing>
          <wp:inline distT="0" distB="0" distL="114300" distR="114300">
            <wp:extent cx="4628515" cy="5267325"/>
            <wp:effectExtent l="0" t="0" r="635" b="952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5" cstate="print"/>
                    <a:stretch>
                      <a:fillRect/>
                    </a:stretch>
                  </pic:blipFill>
                  <pic:spPr>
                    <a:xfrm>
                      <a:off x="0" y="0"/>
                      <a:ext cx="4628515" cy="5267325"/>
                    </a:xfrm>
                    <a:prstGeom prst="rect">
                      <a:avLst/>
                    </a:prstGeom>
                    <a:noFill/>
                    <a:ln>
                      <a:noFill/>
                    </a:ln>
                  </pic:spPr>
                </pic:pic>
              </a:graphicData>
            </a:graphic>
          </wp:inline>
        </w:drawing>
      </w:r>
    </w:p>
    <w:p>
      <w:r>
        <w:drawing>
          <wp:inline distT="0" distB="0" distL="114300" distR="114300">
            <wp:extent cx="4455795" cy="5271770"/>
            <wp:effectExtent l="0" t="0" r="1905" b="5080"/>
            <wp:docPr id="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
                    <pic:cNvPicPr>
                      <a:picLocks noChangeAspect="1"/>
                    </pic:cNvPicPr>
                  </pic:nvPicPr>
                  <pic:blipFill>
                    <a:blip r:embed="rId26" cstate="print"/>
                    <a:stretch>
                      <a:fillRect/>
                    </a:stretch>
                  </pic:blipFill>
                  <pic:spPr>
                    <a:xfrm>
                      <a:off x="0" y="0"/>
                      <a:ext cx="4455795" cy="5271770"/>
                    </a:xfrm>
                    <a:prstGeom prst="rect">
                      <a:avLst/>
                    </a:prstGeom>
                    <a:noFill/>
                    <a:ln>
                      <a:noFill/>
                    </a:ln>
                  </pic:spPr>
                </pic:pic>
              </a:graphicData>
            </a:graphic>
          </wp:inline>
        </w:drawing>
      </w:r>
      <w:r>
        <w:drawing>
          <wp:inline distT="0" distB="0" distL="114300" distR="114300">
            <wp:extent cx="4380230" cy="5271135"/>
            <wp:effectExtent l="0" t="0" r="1270" b="571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7" cstate="print"/>
                    <a:stretch>
                      <a:fillRect/>
                    </a:stretch>
                  </pic:blipFill>
                  <pic:spPr>
                    <a:xfrm>
                      <a:off x="0" y="0"/>
                      <a:ext cx="4380230" cy="5271135"/>
                    </a:xfrm>
                    <a:prstGeom prst="rect">
                      <a:avLst/>
                    </a:prstGeom>
                    <a:noFill/>
                    <a:ln>
                      <a:noFill/>
                    </a:ln>
                  </pic:spPr>
                </pic:pic>
              </a:graphicData>
            </a:graphic>
          </wp:inline>
        </w:drawing>
      </w:r>
    </w:p>
    <w:p>
      <w:r>
        <w:drawing>
          <wp:inline distT="0" distB="0" distL="114300" distR="114300">
            <wp:extent cx="4234180" cy="5274310"/>
            <wp:effectExtent l="0" t="0" r="13970" b="254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8" cstate="print"/>
                    <a:stretch>
                      <a:fillRect/>
                    </a:stretch>
                  </pic:blipFill>
                  <pic:spPr>
                    <a:xfrm>
                      <a:off x="0" y="0"/>
                      <a:ext cx="4234180" cy="5274310"/>
                    </a:xfrm>
                    <a:prstGeom prst="rect">
                      <a:avLst/>
                    </a:prstGeom>
                    <a:noFill/>
                    <a:ln>
                      <a:noFill/>
                    </a:ln>
                  </pic:spPr>
                </pic:pic>
              </a:graphicData>
            </a:graphic>
          </wp:inline>
        </w:drawing>
      </w:r>
      <w:r>
        <w:drawing>
          <wp:inline distT="0" distB="0" distL="114300" distR="114300">
            <wp:extent cx="4194175" cy="5266055"/>
            <wp:effectExtent l="0" t="0" r="15875" b="10795"/>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9" cstate="print"/>
                    <a:stretch>
                      <a:fillRect/>
                    </a:stretch>
                  </pic:blipFill>
                  <pic:spPr>
                    <a:xfrm>
                      <a:off x="0" y="0"/>
                      <a:ext cx="4194175" cy="5266055"/>
                    </a:xfrm>
                    <a:prstGeom prst="rect">
                      <a:avLst/>
                    </a:prstGeom>
                    <a:noFill/>
                    <a:ln>
                      <a:noFill/>
                    </a:ln>
                  </pic:spPr>
                </pic:pic>
              </a:graphicData>
            </a:graphic>
          </wp:inline>
        </w:drawing>
      </w:r>
      <w:r>
        <w:rPr>
          <w:rFonts w:hint="eastAsia"/>
        </w:rPr>
        <w:br w:type="page"/>
      </w:r>
    </w:p>
    <w:p>
      <w:pPr>
        <w:sectPr>
          <w:pgSz w:w="16838" w:h="11906" w:orient="landscape"/>
          <w:pgMar w:top="1800" w:right="1440" w:bottom="1800" w:left="1440" w:header="851" w:footer="1077" w:gutter="0"/>
          <w:cols w:space="425" w:num="1"/>
          <w:docGrid w:linePitch="312" w:charSpace="0"/>
        </w:sectPr>
      </w:pPr>
      <w:r>
        <w:drawing>
          <wp:inline distT="0" distB="0" distL="114300" distR="114300">
            <wp:extent cx="4239895" cy="5267960"/>
            <wp:effectExtent l="0" t="0" r="8255" b="889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0" cstate="print"/>
                    <a:stretch>
                      <a:fillRect/>
                    </a:stretch>
                  </pic:blipFill>
                  <pic:spPr>
                    <a:xfrm>
                      <a:off x="0" y="0"/>
                      <a:ext cx="4239895" cy="5267960"/>
                    </a:xfrm>
                    <a:prstGeom prst="rect">
                      <a:avLst/>
                    </a:prstGeom>
                    <a:noFill/>
                    <a:ln>
                      <a:noFill/>
                    </a:ln>
                  </pic:spPr>
                </pic:pic>
              </a:graphicData>
            </a:graphic>
          </wp:inline>
        </w:drawing>
      </w:r>
      <w:r>
        <w:drawing>
          <wp:inline distT="0" distB="0" distL="114300" distR="114300">
            <wp:extent cx="4431030" cy="5011420"/>
            <wp:effectExtent l="0" t="0" r="7620" b="1778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1" cstate="print"/>
                    <a:stretch>
                      <a:fillRect/>
                    </a:stretch>
                  </pic:blipFill>
                  <pic:spPr>
                    <a:xfrm>
                      <a:off x="0" y="0"/>
                      <a:ext cx="4431030" cy="5011420"/>
                    </a:xfrm>
                    <a:prstGeom prst="rect">
                      <a:avLst/>
                    </a:prstGeom>
                    <a:noFill/>
                    <a:ln>
                      <a:noFill/>
                    </a:ln>
                  </pic:spPr>
                </pic:pic>
              </a:graphicData>
            </a:graphic>
          </wp:inline>
        </w:drawing>
      </w:r>
    </w:p>
    <w:p>
      <w:r>
        <w:drawing>
          <wp:inline distT="0" distB="0" distL="114300" distR="114300">
            <wp:extent cx="4460875" cy="5269865"/>
            <wp:effectExtent l="0" t="0" r="15875" b="698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2" cstate="print"/>
                    <a:stretch>
                      <a:fillRect/>
                    </a:stretch>
                  </pic:blipFill>
                  <pic:spPr>
                    <a:xfrm>
                      <a:off x="0" y="0"/>
                      <a:ext cx="4460875" cy="5269865"/>
                    </a:xfrm>
                    <a:prstGeom prst="rect">
                      <a:avLst/>
                    </a:prstGeom>
                    <a:noFill/>
                    <a:ln>
                      <a:noFill/>
                    </a:ln>
                  </pic:spPr>
                </pic:pic>
              </a:graphicData>
            </a:graphic>
          </wp:inline>
        </w:drawing>
      </w:r>
      <w:r>
        <w:drawing>
          <wp:inline distT="0" distB="0" distL="114300" distR="114300">
            <wp:extent cx="4282440" cy="5267960"/>
            <wp:effectExtent l="0" t="0" r="3810" b="8890"/>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33" cstate="print"/>
                    <a:stretch>
                      <a:fillRect/>
                    </a:stretch>
                  </pic:blipFill>
                  <pic:spPr>
                    <a:xfrm>
                      <a:off x="0" y="0"/>
                      <a:ext cx="4282440" cy="5267960"/>
                    </a:xfrm>
                    <a:prstGeom prst="rect">
                      <a:avLst/>
                    </a:prstGeom>
                    <a:noFill/>
                    <a:ln>
                      <a:noFill/>
                    </a:ln>
                  </pic:spPr>
                </pic:pic>
              </a:graphicData>
            </a:graphic>
          </wp:inline>
        </w:drawing>
      </w:r>
      <w:r>
        <w:rPr>
          <w:rFonts w:hint="eastAsia"/>
        </w:rPr>
        <w:br w:type="page"/>
      </w:r>
    </w:p>
    <w:p>
      <w:r>
        <w:drawing>
          <wp:inline distT="0" distB="0" distL="114300" distR="114300">
            <wp:extent cx="4234180" cy="5267960"/>
            <wp:effectExtent l="0" t="0" r="13970" b="8890"/>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34" cstate="print"/>
                    <a:stretch>
                      <a:fillRect/>
                    </a:stretch>
                  </pic:blipFill>
                  <pic:spPr>
                    <a:xfrm>
                      <a:off x="0" y="0"/>
                      <a:ext cx="4234180" cy="5267960"/>
                    </a:xfrm>
                    <a:prstGeom prst="rect">
                      <a:avLst/>
                    </a:prstGeom>
                    <a:noFill/>
                    <a:ln>
                      <a:noFill/>
                    </a:ln>
                  </pic:spPr>
                </pic:pic>
              </a:graphicData>
            </a:graphic>
          </wp:inline>
        </w:drawing>
      </w:r>
      <w:r>
        <w:drawing>
          <wp:inline distT="0" distB="0" distL="114300" distR="114300">
            <wp:extent cx="4289425" cy="5272405"/>
            <wp:effectExtent l="0" t="0" r="15875" b="444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35" cstate="print"/>
                    <a:stretch>
                      <a:fillRect/>
                    </a:stretch>
                  </pic:blipFill>
                  <pic:spPr>
                    <a:xfrm>
                      <a:off x="0" y="0"/>
                      <a:ext cx="4289425" cy="5272405"/>
                    </a:xfrm>
                    <a:prstGeom prst="rect">
                      <a:avLst/>
                    </a:prstGeom>
                    <a:noFill/>
                    <a:ln>
                      <a:noFill/>
                    </a:ln>
                  </pic:spPr>
                </pic:pic>
              </a:graphicData>
            </a:graphic>
          </wp:inline>
        </w:drawing>
      </w:r>
      <w:r>
        <w:rPr>
          <w:rFonts w:hint="eastAsia"/>
        </w:rPr>
        <w:br w:type="page"/>
      </w:r>
    </w:p>
    <w:p>
      <w:r>
        <w:drawing>
          <wp:inline distT="0" distB="0" distL="114300" distR="114300">
            <wp:extent cx="4484370" cy="5269865"/>
            <wp:effectExtent l="0" t="0" r="11430" b="698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36" cstate="print"/>
                    <a:stretch>
                      <a:fillRect/>
                    </a:stretch>
                  </pic:blipFill>
                  <pic:spPr>
                    <a:xfrm>
                      <a:off x="0" y="0"/>
                      <a:ext cx="4484370" cy="5269865"/>
                    </a:xfrm>
                    <a:prstGeom prst="rect">
                      <a:avLst/>
                    </a:prstGeom>
                    <a:noFill/>
                    <a:ln>
                      <a:noFill/>
                    </a:ln>
                  </pic:spPr>
                </pic:pic>
              </a:graphicData>
            </a:graphic>
          </wp:inline>
        </w:drawing>
      </w:r>
      <w:r>
        <w:drawing>
          <wp:inline distT="0" distB="0" distL="114300" distR="114300">
            <wp:extent cx="3947795" cy="5272405"/>
            <wp:effectExtent l="0" t="0" r="14605" b="4445"/>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37" cstate="print"/>
                    <a:stretch>
                      <a:fillRect/>
                    </a:stretch>
                  </pic:blipFill>
                  <pic:spPr>
                    <a:xfrm>
                      <a:off x="0" y="0"/>
                      <a:ext cx="3947795" cy="5272405"/>
                    </a:xfrm>
                    <a:prstGeom prst="rect">
                      <a:avLst/>
                    </a:prstGeom>
                    <a:noFill/>
                    <a:ln>
                      <a:noFill/>
                    </a:ln>
                  </pic:spPr>
                </pic:pic>
              </a:graphicData>
            </a:graphic>
          </wp:inline>
        </w:drawing>
      </w:r>
    </w:p>
    <w:p>
      <w:pPr>
        <w:pStyle w:val="23"/>
        <w:rPr>
          <w:rStyle w:val="29"/>
        </w:rPr>
        <w:sectPr>
          <w:pgSz w:w="16838" w:h="11906" w:orient="landscape"/>
          <w:pgMar w:top="1800" w:right="1440" w:bottom="1800" w:left="1440" w:header="851" w:footer="1077" w:gutter="0"/>
          <w:cols w:space="425" w:num="1"/>
          <w:docGrid w:linePitch="312" w:charSpace="0"/>
        </w:sectPr>
      </w:pPr>
    </w:p>
    <w:p>
      <w:pPr>
        <w:pStyle w:val="13"/>
        <w:jc w:val="left"/>
        <w:rPr>
          <w:rStyle w:val="29"/>
        </w:rPr>
      </w:pPr>
      <w:r>
        <w:rPr>
          <w:rFonts w:hint="eastAsia"/>
          <w:sz w:val="24"/>
        </w:rPr>
        <w:t>附件</w:t>
      </w:r>
      <w:r>
        <w:rPr>
          <w:rFonts w:hint="eastAsia"/>
          <w:sz w:val="24"/>
          <w:lang w:val="en-US"/>
        </w:rPr>
        <w:t>5</w:t>
      </w:r>
      <w:r>
        <w:rPr>
          <w:rFonts w:hint="eastAsia"/>
          <w:sz w:val="24"/>
          <w:lang w:val="en-US" w:eastAsia="zh-CN"/>
        </w:rPr>
        <w:t xml:space="preserve"> </w:t>
      </w:r>
      <w:r>
        <w:rPr>
          <w:rFonts w:hint="eastAsia"/>
          <w:sz w:val="24"/>
        </w:rPr>
        <w:t>国土证和</w:t>
      </w:r>
      <w:r>
        <w:rPr>
          <w:rStyle w:val="29"/>
          <w:rFonts w:hint="eastAsia"/>
        </w:rPr>
        <w:t>湖南省建设工程规划许可证</w:t>
      </w:r>
      <w:r>
        <w:rPr>
          <w:rStyle w:val="29"/>
          <w:rFonts w:hint="eastAsia"/>
          <w:sz w:val="24"/>
          <w:szCs w:val="24"/>
        </w:rPr>
        <w:t>（</w:t>
      </w:r>
      <w:r>
        <w:rPr>
          <w:rFonts w:hint="eastAsia"/>
          <w:sz w:val="24"/>
          <w:szCs w:val="24"/>
          <w:lang w:val="en-US"/>
        </w:rPr>
        <w:t>02</w:t>
      </w:r>
      <w:r>
        <w:rPr>
          <w:rFonts w:hint="eastAsia"/>
          <w:sz w:val="24"/>
          <w:szCs w:val="24"/>
          <w:lang w:val="en-US" w:eastAsia="zh-CN"/>
        </w:rPr>
        <w:t>#</w:t>
      </w:r>
      <w:r>
        <w:rPr>
          <w:rFonts w:hint="eastAsia"/>
          <w:sz w:val="24"/>
          <w:szCs w:val="24"/>
          <w:lang w:val="en-US"/>
        </w:rPr>
        <w:t>地块</w:t>
      </w:r>
      <w:r>
        <w:rPr>
          <w:rStyle w:val="29"/>
          <w:rFonts w:hint="eastAsia"/>
          <w:sz w:val="24"/>
          <w:szCs w:val="24"/>
        </w:rPr>
        <w:t>）</w:t>
      </w:r>
    </w:p>
    <w:p>
      <w:pPr>
        <w:pStyle w:val="23"/>
      </w:pPr>
      <w:r>
        <w:drawing>
          <wp:inline distT="0" distB="0" distL="114300" distR="114300">
            <wp:extent cx="8856980" cy="4902200"/>
            <wp:effectExtent l="0" t="0" r="1270" b="12700"/>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38" cstate="print"/>
                    <a:stretch>
                      <a:fillRect/>
                    </a:stretch>
                  </pic:blipFill>
                  <pic:spPr>
                    <a:xfrm>
                      <a:off x="0" y="0"/>
                      <a:ext cx="8856980" cy="4902200"/>
                    </a:xfrm>
                    <a:prstGeom prst="rect">
                      <a:avLst/>
                    </a:prstGeom>
                    <a:noFill/>
                    <a:ln>
                      <a:noFill/>
                    </a:ln>
                  </pic:spPr>
                </pic:pic>
              </a:graphicData>
            </a:graphic>
          </wp:inline>
        </w:drawing>
      </w:r>
    </w:p>
    <w:p>
      <w:pPr>
        <w:pStyle w:val="23"/>
        <w:rPr>
          <w:rFonts w:hint="default" w:ascii="Times New Roman" w:hAnsi="Times New Roman" w:cs="Times New Roman"/>
        </w:rPr>
      </w:pPr>
      <w:r>
        <w:rPr>
          <w:rStyle w:val="29"/>
          <w:rFonts w:hint="default" w:ascii="Times New Roman" w:hAnsi="Times New Roman" w:cs="Times New Roman"/>
        </w:rPr>
        <w:t>（</w:t>
      </w:r>
      <w:r>
        <w:rPr>
          <w:rFonts w:hint="default" w:ascii="Times New Roman" w:hAnsi="Times New Roman" w:cs="Times New Roman"/>
        </w:rPr>
        <w:t>0</w:t>
      </w:r>
      <w:r>
        <w:rPr>
          <w:rFonts w:hint="default" w:ascii="Times New Roman" w:hAnsi="Times New Roman" w:cs="Times New Roman"/>
          <w:lang w:val="en-US" w:eastAsia="zh-CN"/>
        </w:rPr>
        <w:t>4#</w:t>
      </w:r>
      <w:r>
        <w:rPr>
          <w:rFonts w:hint="default" w:ascii="Times New Roman" w:hAnsi="Times New Roman" w:cs="Times New Roman"/>
        </w:rPr>
        <w:t>地块</w:t>
      </w:r>
      <w:r>
        <w:rPr>
          <w:rStyle w:val="29"/>
          <w:rFonts w:hint="default" w:ascii="Times New Roman" w:hAnsi="Times New Roman" w:cs="Times New Roman"/>
        </w:rPr>
        <w:t>）</w:t>
      </w:r>
    </w:p>
    <w:p>
      <w:pPr>
        <w:pStyle w:val="23"/>
      </w:pPr>
      <w:r>
        <w:drawing>
          <wp:inline distT="0" distB="0" distL="114300" distR="114300">
            <wp:extent cx="8856980" cy="4783455"/>
            <wp:effectExtent l="0" t="0" r="1270" b="17145"/>
            <wp:docPr id="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6"/>
                    <pic:cNvPicPr>
                      <a:picLocks noChangeAspect="1"/>
                    </pic:cNvPicPr>
                  </pic:nvPicPr>
                  <pic:blipFill>
                    <a:blip r:embed="rId39" cstate="print"/>
                    <a:stretch>
                      <a:fillRect/>
                    </a:stretch>
                  </pic:blipFill>
                  <pic:spPr>
                    <a:xfrm>
                      <a:off x="0" y="0"/>
                      <a:ext cx="8856980" cy="4783455"/>
                    </a:xfrm>
                    <a:prstGeom prst="rect">
                      <a:avLst/>
                    </a:prstGeom>
                    <a:noFill/>
                    <a:ln>
                      <a:noFill/>
                    </a:ln>
                  </pic:spPr>
                </pic:pic>
              </a:graphicData>
            </a:graphic>
          </wp:inline>
        </w:drawing>
      </w:r>
    </w:p>
    <w:p>
      <w:pPr>
        <w:pStyle w:val="13"/>
      </w:pPr>
    </w:p>
    <w:p>
      <w:pPr>
        <w:pStyle w:val="23"/>
        <w:rPr>
          <w:rFonts w:hint="default" w:ascii="Times New Roman" w:hAnsi="Times New Roman" w:cs="Times New Roman"/>
        </w:rPr>
      </w:pPr>
      <w:r>
        <w:rPr>
          <w:rStyle w:val="29"/>
          <w:rFonts w:hint="default" w:ascii="Times New Roman" w:hAnsi="Times New Roman" w:cs="Times New Roman"/>
        </w:rPr>
        <w:t>（</w:t>
      </w:r>
      <w:r>
        <w:rPr>
          <w:rFonts w:hint="default" w:ascii="Times New Roman" w:hAnsi="Times New Roman" w:cs="Times New Roman"/>
        </w:rPr>
        <w:t>0</w:t>
      </w:r>
      <w:r>
        <w:rPr>
          <w:rFonts w:hint="default" w:ascii="Times New Roman" w:hAnsi="Times New Roman" w:cs="Times New Roman"/>
          <w:lang w:val="en-US" w:eastAsia="zh-CN"/>
        </w:rPr>
        <w:t>3#</w:t>
      </w:r>
      <w:r>
        <w:rPr>
          <w:rFonts w:hint="default" w:ascii="Times New Roman" w:hAnsi="Times New Roman" w:cs="Times New Roman"/>
        </w:rPr>
        <w:t>地块</w:t>
      </w:r>
      <w:r>
        <w:rPr>
          <w:rStyle w:val="29"/>
          <w:rFonts w:hint="default" w:ascii="Times New Roman" w:hAnsi="Times New Roman" w:cs="Times New Roman"/>
        </w:rPr>
        <w:t>）</w:t>
      </w:r>
    </w:p>
    <w:p>
      <w:pPr>
        <w:pStyle w:val="23"/>
      </w:pPr>
      <w:r>
        <w:drawing>
          <wp:inline distT="0" distB="0" distL="114300" distR="114300">
            <wp:extent cx="8860155" cy="4768215"/>
            <wp:effectExtent l="0" t="0" r="17145" b="13335"/>
            <wp:docPr id="3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5"/>
                    <pic:cNvPicPr>
                      <a:picLocks noChangeAspect="1"/>
                    </pic:cNvPicPr>
                  </pic:nvPicPr>
                  <pic:blipFill>
                    <a:blip r:embed="rId40" cstate="print"/>
                    <a:stretch>
                      <a:fillRect/>
                    </a:stretch>
                  </pic:blipFill>
                  <pic:spPr>
                    <a:xfrm>
                      <a:off x="0" y="0"/>
                      <a:ext cx="8860155" cy="4768215"/>
                    </a:xfrm>
                    <a:prstGeom prst="rect">
                      <a:avLst/>
                    </a:prstGeom>
                    <a:noFill/>
                    <a:ln>
                      <a:noFill/>
                    </a:ln>
                  </pic:spPr>
                </pic:pic>
              </a:graphicData>
            </a:graphic>
          </wp:inline>
        </w:drawing>
      </w:r>
    </w:p>
    <w:p>
      <w:pPr>
        <w:pStyle w:val="23"/>
        <w:rPr>
          <w:rStyle w:val="29"/>
        </w:rPr>
        <w:sectPr>
          <w:pgSz w:w="16838" w:h="11906" w:orient="landscape"/>
          <w:pgMar w:top="1800" w:right="1440" w:bottom="1800" w:left="1440" w:header="851" w:footer="1077" w:gutter="0"/>
          <w:cols w:space="425" w:num="1"/>
          <w:docGrid w:linePitch="312" w:charSpace="0"/>
        </w:sectPr>
      </w:pPr>
      <w:r>
        <w:drawing>
          <wp:inline distT="0" distB="0" distL="114300" distR="114300">
            <wp:extent cx="8856980" cy="5165725"/>
            <wp:effectExtent l="0" t="0" r="1270" b="15875"/>
            <wp:docPr id="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pic:cNvPicPr>
                      <a:picLocks noChangeAspect="1"/>
                    </pic:cNvPicPr>
                  </pic:nvPicPr>
                  <pic:blipFill>
                    <a:blip r:embed="rId41" cstate="print"/>
                    <a:stretch>
                      <a:fillRect/>
                    </a:stretch>
                  </pic:blipFill>
                  <pic:spPr>
                    <a:xfrm>
                      <a:off x="0" y="0"/>
                      <a:ext cx="8856980" cy="5165725"/>
                    </a:xfrm>
                    <a:prstGeom prst="rect">
                      <a:avLst/>
                    </a:prstGeom>
                    <a:noFill/>
                    <a:ln>
                      <a:noFill/>
                    </a:ln>
                  </pic:spPr>
                </pic:pic>
              </a:graphicData>
            </a:graphic>
          </wp:inline>
        </w:drawing>
      </w:r>
      <w:r>
        <w:drawing>
          <wp:inline distT="0" distB="0" distL="114300" distR="114300">
            <wp:extent cx="8859520" cy="5116195"/>
            <wp:effectExtent l="0" t="0" r="17780" b="8255"/>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42" cstate="print"/>
                    <a:stretch>
                      <a:fillRect/>
                    </a:stretch>
                  </pic:blipFill>
                  <pic:spPr>
                    <a:xfrm>
                      <a:off x="0" y="0"/>
                      <a:ext cx="8859520" cy="5116195"/>
                    </a:xfrm>
                    <a:prstGeom prst="rect">
                      <a:avLst/>
                    </a:prstGeom>
                    <a:noFill/>
                    <a:ln>
                      <a:noFill/>
                    </a:ln>
                  </pic:spPr>
                </pic:pic>
              </a:graphicData>
            </a:graphic>
          </wp:inline>
        </w:drawing>
      </w:r>
      <w:r>
        <w:drawing>
          <wp:inline distT="0" distB="0" distL="114300" distR="114300">
            <wp:extent cx="8862695" cy="5136515"/>
            <wp:effectExtent l="0" t="0" r="14605" b="6985"/>
            <wp:docPr id="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pic:cNvPicPr>
                      <a:picLocks noChangeAspect="1"/>
                    </pic:cNvPicPr>
                  </pic:nvPicPr>
                  <pic:blipFill>
                    <a:blip r:embed="rId43" cstate="print"/>
                    <a:stretch>
                      <a:fillRect/>
                    </a:stretch>
                  </pic:blipFill>
                  <pic:spPr>
                    <a:xfrm>
                      <a:off x="0" y="0"/>
                      <a:ext cx="8862695" cy="5136515"/>
                    </a:xfrm>
                    <a:prstGeom prst="rect">
                      <a:avLst/>
                    </a:prstGeom>
                    <a:noFill/>
                    <a:ln>
                      <a:noFill/>
                    </a:ln>
                  </pic:spPr>
                </pic:pic>
              </a:graphicData>
            </a:graphic>
          </wp:inline>
        </w:drawing>
      </w:r>
      <w:r>
        <w:drawing>
          <wp:inline distT="0" distB="0" distL="114300" distR="114300">
            <wp:extent cx="8862060" cy="4709795"/>
            <wp:effectExtent l="0" t="0" r="15240" b="14605"/>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44" cstate="print"/>
                    <a:stretch>
                      <a:fillRect/>
                    </a:stretch>
                  </pic:blipFill>
                  <pic:spPr>
                    <a:xfrm>
                      <a:off x="0" y="0"/>
                      <a:ext cx="8862060" cy="4709795"/>
                    </a:xfrm>
                    <a:prstGeom prst="rect">
                      <a:avLst/>
                    </a:prstGeom>
                    <a:noFill/>
                    <a:ln>
                      <a:noFill/>
                    </a:ln>
                  </pic:spPr>
                </pic:pic>
              </a:graphicData>
            </a:graphic>
          </wp:inline>
        </w:drawing>
      </w:r>
      <w:r>
        <w:rPr>
          <w:rStyle w:val="29"/>
          <w:rFonts w:hint="eastAsia"/>
        </w:rPr>
        <w:drawing>
          <wp:inline distT="0" distB="0" distL="114300" distR="114300">
            <wp:extent cx="8733790" cy="5271135"/>
            <wp:effectExtent l="0" t="0" r="10160" b="5715"/>
            <wp:docPr id="33" name="图片 33" descr="网挂4#地块工规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网挂4#地块工规证"/>
                    <pic:cNvPicPr>
                      <a:picLocks noChangeAspect="1"/>
                    </pic:cNvPicPr>
                  </pic:nvPicPr>
                  <pic:blipFill>
                    <a:blip r:embed="rId45" cstate="print"/>
                    <a:stretch>
                      <a:fillRect/>
                    </a:stretch>
                  </pic:blipFill>
                  <pic:spPr>
                    <a:xfrm>
                      <a:off x="0" y="0"/>
                      <a:ext cx="8733790" cy="5271135"/>
                    </a:xfrm>
                    <a:prstGeom prst="rect">
                      <a:avLst/>
                    </a:prstGeom>
                  </pic:spPr>
                </pic:pic>
              </a:graphicData>
            </a:graphic>
          </wp:inline>
        </w:drawing>
      </w:r>
    </w:p>
    <w:p>
      <w:pPr>
        <w:pStyle w:val="23"/>
        <w:sectPr>
          <w:pgSz w:w="16838" w:h="11906" w:orient="landscape"/>
          <w:pgMar w:top="1800" w:right="1440" w:bottom="1800" w:left="1440" w:header="851" w:footer="1077" w:gutter="0"/>
          <w:cols w:space="425" w:num="1"/>
          <w:docGrid w:linePitch="312" w:charSpace="0"/>
        </w:sectPr>
      </w:pPr>
      <w:r>
        <w:rPr>
          <w:rStyle w:val="29"/>
          <w:rFonts w:hint="eastAsia"/>
        </w:rPr>
        <w:t>附件6</w:t>
      </w:r>
      <w:r>
        <w:rPr>
          <w:rStyle w:val="29"/>
          <w:rFonts w:hint="eastAsia"/>
          <w:lang w:val="en-US" w:eastAsia="zh-CN"/>
        </w:rPr>
        <w:t xml:space="preserve"> </w:t>
      </w:r>
      <w:r>
        <w:rPr>
          <w:rFonts w:hint="eastAsia"/>
        </w:rPr>
        <w:t>监测报告</w:t>
      </w:r>
    </w:p>
    <w:p>
      <w:pPr>
        <w:pStyle w:val="2"/>
        <w:ind w:firstLine="0" w:firstLineChars="0"/>
      </w:pPr>
      <w:r>
        <w:rPr>
          <w:rFonts w:hint="eastAsia"/>
        </w:rPr>
        <w:t>附图1 项目地理位置图</w:t>
      </w:r>
    </w:p>
    <w:p>
      <w:pPr>
        <w:sectPr>
          <w:pgSz w:w="16838" w:h="11906" w:orient="landscape"/>
          <w:pgMar w:top="1800" w:right="1440" w:bottom="1800" w:left="1440" w:header="851" w:footer="1077" w:gutter="0"/>
          <w:cols w:space="425" w:num="1"/>
          <w:docGrid w:linePitch="312" w:charSpace="0"/>
        </w:sectPr>
      </w:pPr>
      <w:r>
        <w:drawing>
          <wp:anchor distT="0" distB="0" distL="114300" distR="114300" simplePos="0" relativeHeight="251663360" behindDoc="0" locked="0" layoutInCell="1" allowOverlap="1">
            <wp:simplePos x="0" y="0"/>
            <wp:positionH relativeFrom="column">
              <wp:posOffset>8338820</wp:posOffset>
            </wp:positionH>
            <wp:positionV relativeFrom="paragraph">
              <wp:posOffset>28575</wp:posOffset>
            </wp:positionV>
            <wp:extent cx="516255" cy="451485"/>
            <wp:effectExtent l="0" t="0" r="17145" b="5715"/>
            <wp:wrapNone/>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46" cstate="print"/>
                    <a:stretch>
                      <a:fillRect/>
                    </a:stretch>
                  </pic:blipFill>
                  <pic:spPr>
                    <a:xfrm>
                      <a:off x="0" y="0"/>
                      <a:ext cx="516255" cy="451485"/>
                    </a:xfrm>
                    <a:prstGeom prst="rect">
                      <a:avLst/>
                    </a:prstGeom>
                    <a:noFill/>
                    <a:ln>
                      <a:noFill/>
                    </a:ln>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3000375</wp:posOffset>
                </wp:positionH>
                <wp:positionV relativeFrom="paragraph">
                  <wp:posOffset>1434465</wp:posOffset>
                </wp:positionV>
                <wp:extent cx="1048385" cy="419100"/>
                <wp:effectExtent l="302895" t="6350" r="20320" b="317500"/>
                <wp:wrapNone/>
                <wp:docPr id="42" name="圆角矩形标注 42"/>
                <wp:cNvGraphicFramePr/>
                <a:graphic xmlns:a="http://schemas.openxmlformats.org/drawingml/2006/main">
                  <a:graphicData uri="http://schemas.microsoft.com/office/word/2010/wordprocessingShape">
                    <wps:wsp>
                      <wps:cNvSpPr/>
                      <wps:spPr>
                        <a:xfrm>
                          <a:off x="0" y="0"/>
                          <a:ext cx="1048385" cy="419100"/>
                        </a:xfrm>
                        <a:prstGeom prst="wedgeRoundRectCallout">
                          <a:avLst>
                            <a:gd name="adj1" fmla="val -74505"/>
                            <a:gd name="adj2" fmla="val 115986"/>
                            <a:gd name="adj3" fmla="val 16667"/>
                          </a:avLst>
                        </a:prstGeom>
                        <a:noFill/>
                        <a:ln w="12700" cap="flat" cmpd="sng">
                          <a:solidFill>
                            <a:srgbClr val="FF0000"/>
                          </a:solidFill>
                          <a:prstDash val="solid"/>
                          <a:miter/>
                          <a:headEnd type="none" w="med" len="med"/>
                          <a:tailEnd type="none" w="med" len="med"/>
                        </a:ln>
                        <a:effectLst/>
                      </wps:spPr>
                      <wps:txbx>
                        <w:txbxContent>
                          <w:p>
                            <w:pPr>
                              <w:rPr>
                                <w:b/>
                                <w:bCs/>
                                <w:color w:val="000000"/>
                                <w:sz w:val="24"/>
                                <w:szCs w:val="32"/>
                              </w:rPr>
                            </w:pPr>
                            <w:r>
                              <w:rPr>
                                <w:rFonts w:hint="eastAsia"/>
                                <w:b/>
                                <w:bCs/>
                                <w:color w:val="000000"/>
                                <w:sz w:val="24"/>
                                <w:szCs w:val="32"/>
                              </w:rPr>
                              <w:t>项目所在地</w:t>
                            </w:r>
                          </w:p>
                        </w:txbxContent>
                      </wps:txbx>
                      <wps:bodyPr anchor="ctr" anchorCtr="0" upright="1"/>
                    </wps:wsp>
                  </a:graphicData>
                </a:graphic>
              </wp:anchor>
            </w:drawing>
          </mc:Choice>
          <mc:Fallback>
            <w:pict>
              <v:shape id="_x0000_s1026" o:spid="_x0000_s1026" o:spt="62" type="#_x0000_t62" style="position:absolute;left:0pt;margin-left:236.25pt;margin-top:112.95pt;height:33pt;width:82.55pt;z-index:251661312;v-text-anchor:middle;mso-width-relative:page;mso-height-relative:page;" filled="f" stroked="t" coordsize="21600,21600" o:gfxdata="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X8l0TYAAAACwEAAA8AAAAAAAAAAQAgAAAAIgAAAGRycy9kb3ducmV2LnhtbFBLAQIU&#10;ABQAAAAIAIdO4kADFubVZQIAAMAEAAAOAAAAAAAAAAEAIAAAACcBAABkcnMvZTJvRG9jLnhtbFBL&#10;BQYAAAAABgAGAFkBAAD+BQAAAAA=&#10;" adj="-5293,35853,14400">
                <v:fill on="f" focussize="0,0"/>
                <v:stroke weight="1pt" color="#FF0000" joinstyle="miter"/>
                <v:imagedata o:title=""/>
                <o:lock v:ext="edit" aspectratio="f"/>
                <v:textbox>
                  <w:txbxContent>
                    <w:p>
                      <w:pPr>
                        <w:rPr>
                          <w:b/>
                          <w:bCs/>
                          <w:color w:val="000000"/>
                          <w:sz w:val="24"/>
                          <w:szCs w:val="32"/>
                        </w:rPr>
                      </w:pPr>
                      <w:r>
                        <w:rPr>
                          <w:rFonts w:hint="eastAsia"/>
                          <w:b/>
                          <w:bCs/>
                          <w:color w:val="000000"/>
                          <w:sz w:val="24"/>
                          <w:szCs w:val="32"/>
                        </w:rPr>
                        <w:t>项目所在地</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2633345</wp:posOffset>
                </wp:positionH>
                <wp:positionV relativeFrom="paragraph">
                  <wp:posOffset>2084705</wp:posOffset>
                </wp:positionV>
                <wp:extent cx="133350" cy="142875"/>
                <wp:effectExtent l="17145" t="22860" r="20955" b="24765"/>
                <wp:wrapNone/>
                <wp:docPr id="43" name="任意多边形 43"/>
                <wp:cNvGraphicFramePr/>
                <a:graphic xmlns:a="http://schemas.openxmlformats.org/drawingml/2006/main">
                  <a:graphicData uri="http://schemas.microsoft.com/office/word/2010/wordprocessingShape">
                    <wps:wsp>
                      <wps:cNvSpPr/>
                      <wps:spPr>
                        <a:xfrm>
                          <a:off x="0" y="0"/>
                          <a:ext cx="133350" cy="142875"/>
                        </a:xfrm>
                        <a:custGeom>
                          <a:avLst/>
                          <a:gdLst>
                            <a:gd name="A1" fmla="val 0"/>
                            <a:gd name="A2" fmla="val 0"/>
                            <a:gd name="txL" fmla="*/ 0 w 210"/>
                            <a:gd name="txT" fmla="*/ 0 h 225"/>
                            <a:gd name="txR" fmla="*/ 210 w 210"/>
                            <a:gd name="txB" fmla="*/ 225 h 225"/>
                          </a:gdLst>
                          <a:ahLst/>
                          <a:cxnLst>
                            <a:cxn ang="16187392">
                              <a:pos x="105" y="0"/>
                            </a:cxn>
                            <a:cxn ang="10747904">
                              <a:pos x="0" y="85"/>
                            </a:cxn>
                            <a:cxn ang="5373952">
                              <a:pos x="40" y="224"/>
                            </a:cxn>
                            <a:cxn ang="5373952">
                              <a:pos x="169" y="224"/>
                            </a:cxn>
                            <a:cxn ang="0">
                              <a:pos x="209" y="85"/>
                            </a:cxn>
                          </a:cxnLst>
                          <a:rect l="txL" t="txT" r="txR" b="txB"/>
                          <a:pathLst>
                            <a:path w="210" h="225">
                              <a:moveTo>
                                <a:pt x="0" y="85"/>
                              </a:moveTo>
                              <a:lnTo>
                                <a:pt x="80" y="85"/>
                              </a:lnTo>
                              <a:lnTo>
                                <a:pt x="105" y="0"/>
                              </a:lnTo>
                              <a:lnTo>
                                <a:pt x="129" y="85"/>
                              </a:lnTo>
                              <a:lnTo>
                                <a:pt x="209" y="85"/>
                              </a:lnTo>
                              <a:lnTo>
                                <a:pt x="145" y="139"/>
                              </a:lnTo>
                              <a:lnTo>
                                <a:pt x="169" y="224"/>
                              </a:lnTo>
                              <a:lnTo>
                                <a:pt x="105" y="171"/>
                              </a:lnTo>
                              <a:lnTo>
                                <a:pt x="40" y="224"/>
                              </a:lnTo>
                              <a:lnTo>
                                <a:pt x="64" y="139"/>
                              </a:lnTo>
                              <a:close/>
                            </a:path>
                          </a:pathLst>
                        </a:custGeom>
                        <a:solidFill>
                          <a:srgbClr val="FF0000"/>
                        </a:solidFill>
                        <a:ln w="12700" cap="flat" cmpd="sng">
                          <a:solidFill>
                            <a:srgbClr val="FF0000"/>
                          </a:solidFill>
                          <a:prstDash val="solid"/>
                          <a:miter/>
                          <a:headEnd type="none" w="med" len="med"/>
                          <a:tailEnd type="none" w="med" len="med"/>
                        </a:ln>
                        <a:effectLst/>
                      </wps:spPr>
                      <wps:txbx>
                        <w:txbxContent>
                          <w:p>
                            <w:pPr>
                              <w:jc w:val="center"/>
                            </w:pPr>
                          </w:p>
                        </w:txbxContent>
                      </wps:txbx>
                      <wps:bodyPr anchor="ctr" anchorCtr="0" upright="1"/>
                    </wps:wsp>
                  </a:graphicData>
                </a:graphic>
              </wp:anchor>
            </w:drawing>
          </mc:Choice>
          <mc:Fallback>
            <w:pict>
              <v:shape id="_x0000_s1026" o:spid="_x0000_s1026" o:spt="100" style="position:absolute;left:0pt;margin-left:207.35pt;margin-top:164.15pt;height:11.25pt;width:10.5pt;z-index:251662336;v-text-anchor:middle;mso-width-relative:page;mso-height-relative:page;" fillcolor="#FF0000" filled="t" stroked="t" coordsize="210,225" o:gfxdata="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CWaroK2gAAAAsBAAAPAAAAAAAAAAEAIAAAACIAAABkcnMvZG93bnJl&#10;di54bWxQSwECFAAUAAAACACHTuJA1H/QwFEDAABFCAAADgAAAAAAAAABACAAAAApAQAAZHJzL2Uy&#10;b0RvYy54bWxQSwUGAAAAAAYABgBZAQAA7AYAAAAA&#10;" path="m0,85l80,85,105,0,129,85,209,85,145,139,169,224,105,171,40,224,64,139xe">
                <v:path textboxrect="0,0,210,225" o:connectlocs="105,0;0,85;40,224;169,224;209,85" o:connectangles="247,164,82,82,0"/>
                <v:fill on="t" focussize="0,0"/>
                <v:stroke weight="1pt" color="#FF0000" joinstyle="miter"/>
                <v:imagedata o:title=""/>
                <o:lock v:ext="edit" aspectratio="f"/>
                <v:textbox>
                  <w:txbxContent>
                    <w:p>
                      <w:pPr>
                        <w:jc w:val="center"/>
                      </w:pPr>
                    </w:p>
                  </w:txbxContent>
                </v:textbox>
              </v:shape>
            </w:pict>
          </mc:Fallback>
        </mc:AlternateContent>
      </w:r>
      <w:r>
        <w:drawing>
          <wp:inline distT="0" distB="0" distL="114300" distR="114300">
            <wp:extent cx="8857615" cy="4885055"/>
            <wp:effectExtent l="0" t="0" r="635" b="10795"/>
            <wp:docPr id="4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
                    <pic:cNvPicPr>
                      <a:picLocks noChangeAspect="1"/>
                    </pic:cNvPicPr>
                  </pic:nvPicPr>
                  <pic:blipFill>
                    <a:blip r:embed="rId47" cstate="print"/>
                    <a:stretch>
                      <a:fillRect/>
                    </a:stretch>
                  </pic:blipFill>
                  <pic:spPr>
                    <a:xfrm>
                      <a:off x="0" y="0"/>
                      <a:ext cx="8857615" cy="4885055"/>
                    </a:xfrm>
                    <a:prstGeom prst="rect">
                      <a:avLst/>
                    </a:prstGeom>
                    <a:noFill/>
                    <a:ln>
                      <a:noFill/>
                    </a:ln>
                  </pic:spPr>
                </pic:pic>
              </a:graphicData>
            </a:graphic>
          </wp:inline>
        </w:drawing>
      </w:r>
    </w:p>
    <w:p>
      <w:pPr>
        <w:pStyle w:val="2"/>
        <w:ind w:firstLine="0" w:firstLineChars="0"/>
      </w:pPr>
      <w:r>
        <w:rPr>
          <w:rFonts w:hint="eastAsia"/>
        </w:rPr>
        <w:t>附图2 项目外环境关系及环境保护目标分布图</w:t>
      </w:r>
    </w:p>
    <w:p>
      <w:pPr>
        <w:pStyle w:val="23"/>
        <w:sectPr>
          <w:pgSz w:w="16838" w:h="11906" w:orient="landscape"/>
          <w:pgMar w:top="1800" w:right="1440" w:bottom="1800" w:left="1440" w:header="851" w:footer="1077" w:gutter="0"/>
          <w:cols w:space="425" w:num="1"/>
          <w:docGrid w:linePitch="312" w:charSpace="0"/>
        </w:sectPr>
      </w:pPr>
      <w:r>
        <mc:AlternateContent>
          <mc:Choice Requires="wps">
            <w:drawing>
              <wp:anchor distT="0" distB="0" distL="114300" distR="114300" simplePos="0" relativeHeight="251667456" behindDoc="0" locked="0" layoutInCell="1" allowOverlap="1">
                <wp:simplePos x="0" y="0"/>
                <wp:positionH relativeFrom="column">
                  <wp:posOffset>4424680</wp:posOffset>
                </wp:positionH>
                <wp:positionV relativeFrom="paragraph">
                  <wp:posOffset>2522855</wp:posOffset>
                </wp:positionV>
                <wp:extent cx="1254760" cy="278765"/>
                <wp:effectExtent l="4445" t="4445" r="17145" b="21590"/>
                <wp:wrapNone/>
                <wp:docPr id="54" name="文本框 54"/>
                <wp:cNvGraphicFramePr/>
                <a:graphic xmlns:a="http://schemas.openxmlformats.org/drawingml/2006/main">
                  <a:graphicData uri="http://schemas.microsoft.com/office/word/2010/wordprocessingShape">
                    <wps:wsp>
                      <wps:cNvSpPr txBox="1"/>
                      <wps:spPr>
                        <a:xfrm>
                          <a:off x="5368925" y="4019550"/>
                          <a:ext cx="1254760" cy="278765"/>
                        </a:xfrm>
                        <a:prstGeom prst="rect">
                          <a:avLst/>
                        </a:prstGeom>
                        <a:noFill/>
                        <a:ln w="6350">
                          <a:solidFill>
                            <a:srgbClr val="000000"/>
                          </a:solidFill>
                        </a:ln>
                        <a:effectLst/>
                      </wps:spPr>
                      <wps:txbx>
                        <w:txbxContent>
                          <w:p>
                            <w:pPr>
                              <w:jc w:val="center"/>
                              <w:rPr>
                                <w:b/>
                                <w:bCs/>
                              </w:rPr>
                            </w:pPr>
                            <w:r>
                              <w:rPr>
                                <w:rFonts w:hint="eastAsia"/>
                                <w:b/>
                                <w:bCs/>
                                <w:sz w:val="24"/>
                                <w:szCs w:val="32"/>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4pt;margin-top:198.65pt;height:21.95pt;width:98.8pt;z-index:251667456;mso-width-relative:page;mso-height-relative:page;" filled="f" stroked="t" coordsize="21600,21600" o:gfxdata="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wdARv3AAAAAsBAAAPAAAAAAAAAAEAIAAAACIAAABkcnMvZG93bnJldi54bWxQSwEC&#10;FAAUAAAACACHTuJAnqSRfGICAACrBAAADgAAAAAAAAABACAAAAArAQAAZHJzL2Uyb0RvYy54bWxQ&#10;SwUGAAAAAAYABgBZAQAA/wUAAAAA&#10;">
                <v:fill on="f" focussize="0,0"/>
                <v:stroke weight="0.5pt" color="#000000" joinstyle="round"/>
                <v:imagedata o:title=""/>
                <o:lock v:ext="edit" aspectratio="f"/>
                <v:textbox>
                  <w:txbxContent>
                    <w:p>
                      <w:pPr>
                        <w:jc w:val="center"/>
                        <w:rPr>
                          <w:b/>
                          <w:bCs/>
                        </w:rPr>
                      </w:pPr>
                      <w:r>
                        <w:rPr>
                          <w:rFonts w:hint="eastAsia"/>
                          <w:b/>
                          <w:bCs/>
                          <w:sz w:val="24"/>
                          <w:szCs w:val="32"/>
                        </w:rPr>
                        <w:t>项目所在地</w:t>
                      </w:r>
                    </w:p>
                  </w:txbxContent>
                </v:textbox>
              </v:shape>
            </w:pict>
          </mc:Fallback>
        </mc:AlternateContent>
      </w:r>
      <w:r>
        <w:rPr>
          <w:sz w:val="24"/>
        </w:rPr>
        <mc:AlternateContent>
          <mc:Choice Requires="wpg">
            <w:drawing>
              <wp:anchor distT="0" distB="0" distL="114300" distR="114300" simplePos="0" relativeHeight="251668480" behindDoc="0" locked="0" layoutInCell="1" allowOverlap="1">
                <wp:simplePos x="0" y="0"/>
                <wp:positionH relativeFrom="column">
                  <wp:posOffset>3808730</wp:posOffset>
                </wp:positionH>
                <wp:positionV relativeFrom="paragraph">
                  <wp:posOffset>2009140</wp:posOffset>
                </wp:positionV>
                <wp:extent cx="2776855" cy="2014855"/>
                <wp:effectExtent l="6350" t="7620" r="17145" b="15875"/>
                <wp:wrapNone/>
                <wp:docPr id="121" name="组合 121"/>
                <wp:cNvGraphicFramePr/>
                <a:graphic xmlns:a="http://schemas.openxmlformats.org/drawingml/2006/main">
                  <a:graphicData uri="http://schemas.microsoft.com/office/word/2010/wordprocessingGroup">
                    <wpg:wgp>
                      <wpg:cNvGrpSpPr/>
                      <wpg:grpSpPr>
                        <a:xfrm>
                          <a:off x="0" y="0"/>
                          <a:ext cx="2776855" cy="2014855"/>
                          <a:chOff x="9082" y="1719312"/>
                          <a:chExt cx="4373" cy="3173"/>
                        </a:xfrm>
                      </wpg:grpSpPr>
                      <wps:wsp>
                        <wps:cNvPr id="40" name="自选图形 1096"/>
                        <wps:cNvSpPr/>
                        <wps:spPr>
                          <a:xfrm>
                            <a:off x="9082" y="1719625"/>
                            <a:ext cx="2377" cy="2860"/>
                          </a:xfrm>
                          <a:custGeom>
                            <a:avLst/>
                            <a:gdLst>
                              <a:gd name="A1" fmla="val 0"/>
                              <a:gd name="A2" fmla="val 0"/>
                            </a:gdLst>
                            <a:ahLst/>
                            <a:cxnLst>
                              <a:cxn ang="0">
                                <a:pos x="296652" y="69412"/>
                              </a:cxn>
                              <a:cxn ang="0">
                                <a:pos x="288544" y="338686"/>
                              </a:cxn>
                              <a:cxn ang="0">
                                <a:pos x="0" y="345268"/>
                              </a:cxn>
                              <a:cxn ang="0">
                                <a:pos x="31084" y="1519300"/>
                              </a:cxn>
                              <a:cxn ang="0">
                                <a:pos x="179748" y="1574352"/>
                              </a:cxn>
                              <a:cxn ang="0">
                                <a:pos x="312195" y="1670692"/>
                              </a:cxn>
                              <a:cxn ang="0">
                                <a:pos x="460183" y="1816100"/>
                              </a:cxn>
                              <a:cxn ang="0">
                                <a:pos x="577088" y="1816100"/>
                              </a:cxn>
                              <a:cxn ang="0">
                                <a:pos x="1396093" y="1166851"/>
                              </a:cxn>
                              <a:cxn ang="0">
                                <a:pos x="1442720" y="1008279"/>
                              </a:cxn>
                              <a:cxn ang="0">
                                <a:pos x="1076465" y="62232"/>
                              </a:cxn>
                              <a:cxn ang="0">
                                <a:pos x="966994" y="0"/>
                              </a:cxn>
                              <a:cxn ang="0">
                                <a:pos x="296652" y="69412"/>
                              </a:cxn>
                            </a:cxnLst>
                            <a:pathLst>
                              <a:path w="1355725" h="1927225">
                                <a:moveTo>
                                  <a:pt x="278765" y="73660"/>
                                </a:moveTo>
                                <a:lnTo>
                                  <a:pt x="271145" y="359410"/>
                                </a:lnTo>
                                <a:lnTo>
                                  <a:pt x="0" y="366395"/>
                                </a:lnTo>
                                <a:lnTo>
                                  <a:pt x="29210" y="1612265"/>
                                </a:lnTo>
                                <a:lnTo>
                                  <a:pt x="168910" y="1670685"/>
                                </a:lnTo>
                                <a:lnTo>
                                  <a:pt x="293370" y="1772920"/>
                                </a:lnTo>
                                <a:lnTo>
                                  <a:pt x="432435" y="1927225"/>
                                </a:lnTo>
                                <a:lnTo>
                                  <a:pt x="542290" y="1927225"/>
                                </a:lnTo>
                                <a:lnTo>
                                  <a:pt x="1311910" y="1238250"/>
                                </a:lnTo>
                                <a:lnTo>
                                  <a:pt x="1355725" y="1069975"/>
                                </a:lnTo>
                                <a:lnTo>
                                  <a:pt x="1011555" y="66040"/>
                                </a:lnTo>
                                <a:lnTo>
                                  <a:pt x="908685" y="0"/>
                                </a:lnTo>
                                <a:lnTo>
                                  <a:pt x="278765" y="73660"/>
                                </a:lnTo>
                                <a:close/>
                              </a:path>
                            </a:pathLst>
                          </a:custGeom>
                          <a:solidFill>
                            <a:srgbClr val="FF0000">
                              <a:alpha val="29999"/>
                            </a:srgbClr>
                          </a:solidFill>
                          <a:ln w="12700" cap="flat" cmpd="sng">
                            <a:solidFill>
                              <a:srgbClr val="FF0000">
                                <a:alpha val="48000"/>
                              </a:srgbClr>
                            </a:solidFill>
                            <a:prstDash val="solid"/>
                            <a:miter/>
                            <a:headEnd type="none" w="med" len="med"/>
                            <a:tailEnd type="none" w="med" len="med"/>
                          </a:ln>
                        </wps:spPr>
                        <wps:bodyPr vert="horz" anchor="t" anchorCtr="0" upright="1"/>
                      </wps:wsp>
                      <wps:wsp>
                        <wps:cNvPr id="47" name="自选图形 1095"/>
                        <wps:cNvSpPr/>
                        <wps:spPr>
                          <a:xfrm>
                            <a:off x="11265" y="1719598"/>
                            <a:ext cx="2191" cy="1630"/>
                          </a:xfrm>
                          <a:custGeom>
                            <a:avLst/>
                            <a:gdLst>
                              <a:gd name="A1" fmla="val 0"/>
                              <a:gd name="A2" fmla="val 0"/>
                            </a:gdLst>
                            <a:ahLst/>
                            <a:cxnLst>
                              <a:cxn ang="0">
                                <a:pos x="0" y="493774"/>
                              </a:cxn>
                              <a:cxn ang="0">
                                <a:pos x="1058203" y="0"/>
                              </a:cxn>
                              <a:cxn ang="0">
                                <a:pos x="1297305" y="548312"/>
                              </a:cxn>
                              <a:cxn ang="0">
                                <a:pos x="1249366" y="703716"/>
                              </a:cxn>
                              <a:cxn ang="0">
                                <a:pos x="519040" y="1035050"/>
                              </a:cxn>
                              <a:cxn ang="0">
                                <a:pos x="286448" y="1001623"/>
                              </a:cxn>
                              <a:cxn ang="0">
                                <a:pos x="0" y="493774"/>
                              </a:cxn>
                            </a:cxnLst>
                            <a:pathLst>
                              <a:path w="1391920" h="1120775">
                                <a:moveTo>
                                  <a:pt x="0" y="534670"/>
                                </a:moveTo>
                                <a:lnTo>
                                  <a:pt x="1135380" y="0"/>
                                </a:lnTo>
                                <a:lnTo>
                                  <a:pt x="1391920" y="593725"/>
                                </a:lnTo>
                                <a:lnTo>
                                  <a:pt x="1340485" y="762000"/>
                                </a:lnTo>
                                <a:lnTo>
                                  <a:pt x="556895" y="1120775"/>
                                </a:lnTo>
                                <a:lnTo>
                                  <a:pt x="307340" y="1084580"/>
                                </a:lnTo>
                                <a:lnTo>
                                  <a:pt x="0" y="534670"/>
                                </a:lnTo>
                                <a:close/>
                              </a:path>
                            </a:pathLst>
                          </a:custGeom>
                          <a:solidFill>
                            <a:srgbClr val="FF0000">
                              <a:alpha val="29999"/>
                            </a:srgbClr>
                          </a:solidFill>
                          <a:ln w="12700" cap="flat" cmpd="sng">
                            <a:solidFill>
                              <a:srgbClr val="FF0000">
                                <a:alpha val="48000"/>
                              </a:srgbClr>
                            </a:solidFill>
                            <a:prstDash val="solid"/>
                            <a:miter/>
                            <a:headEnd type="none" w="med" len="med"/>
                            <a:tailEnd type="none" w="med" len="med"/>
                          </a:ln>
                        </wps:spPr>
                        <wps:bodyPr vert="horz" anchor="t" anchorCtr="0" upright="1"/>
                      </wps:wsp>
                      <wps:wsp>
                        <wps:cNvPr id="48" name="自选图形 1094"/>
                        <wps:cNvSpPr/>
                        <wps:spPr>
                          <a:xfrm>
                            <a:off x="10964" y="1719312"/>
                            <a:ext cx="1167" cy="1064"/>
                          </a:xfrm>
                          <a:custGeom>
                            <a:avLst/>
                            <a:gdLst>
                              <a:gd name="A1" fmla="val 0"/>
                              <a:gd name="A2" fmla="val 0"/>
                            </a:gdLst>
                            <a:ahLst/>
                            <a:cxnLst>
                              <a:cxn ang="0">
                                <a:pos x="63135" y="136074"/>
                              </a:cxn>
                              <a:cxn ang="0">
                                <a:pos x="0" y="238426"/>
                              </a:cxn>
                              <a:cxn ang="0">
                                <a:pos x="208621" y="675640"/>
                              </a:cxn>
                              <a:cxn ang="0">
                                <a:pos x="664845" y="450229"/>
                              </a:cxn>
                              <a:cxn ang="0">
                                <a:pos x="531985" y="183996"/>
                              </a:cxn>
                              <a:cxn ang="0">
                                <a:pos x="538024" y="20115"/>
                              </a:cxn>
                              <a:cxn ang="0">
                                <a:pos x="531985" y="0"/>
                              </a:cxn>
                              <a:cxn ang="0">
                                <a:pos x="63135" y="136074"/>
                              </a:cxn>
                            </a:cxnLst>
                            <a:pathLst>
                              <a:path w="768985" h="725170">
                                <a:moveTo>
                                  <a:pt x="73025" y="146050"/>
                                </a:moveTo>
                                <a:lnTo>
                                  <a:pt x="0" y="255905"/>
                                </a:lnTo>
                                <a:lnTo>
                                  <a:pt x="241300" y="725170"/>
                                </a:lnTo>
                                <a:lnTo>
                                  <a:pt x="768985" y="483235"/>
                                </a:lnTo>
                                <a:lnTo>
                                  <a:pt x="615315" y="197485"/>
                                </a:lnTo>
                                <a:lnTo>
                                  <a:pt x="622300" y="21590"/>
                                </a:lnTo>
                                <a:lnTo>
                                  <a:pt x="615315" y="0"/>
                                </a:lnTo>
                                <a:lnTo>
                                  <a:pt x="73025" y="146050"/>
                                </a:lnTo>
                                <a:close/>
                              </a:path>
                            </a:pathLst>
                          </a:custGeom>
                          <a:solidFill>
                            <a:srgbClr val="FF0000">
                              <a:alpha val="32999"/>
                            </a:srgbClr>
                          </a:solidFill>
                          <a:ln w="12700" cap="flat" cmpd="sng">
                            <a:solidFill>
                              <a:srgbClr val="FF0000">
                                <a:alpha val="43999"/>
                              </a:srgbClr>
                            </a:solidFill>
                            <a:prstDash val="solid"/>
                            <a:miter/>
                            <a:headEnd type="none" w="med" len="med"/>
                            <a:tailEnd type="none" w="med" len="med"/>
                          </a:ln>
                        </wps:spPr>
                        <wps:bodyPr vert="horz" anchor="t" anchorCtr="0" upright="1"/>
                      </wps:wsp>
                    </wpg:wgp>
                  </a:graphicData>
                </a:graphic>
              </wp:anchor>
            </w:drawing>
          </mc:Choice>
          <mc:Fallback>
            <w:pict>
              <v:group id="_x0000_s1026" o:spid="_x0000_s1026" o:spt="203" style="position:absolute;left:0pt;margin-left:299.9pt;margin-top:158.2pt;height:158.65pt;width:218.65pt;z-index:251668480;mso-width-relative:page;mso-height-relative:page;" coordorigin="9082,1719312" coordsize="4373,3173" o:gfxdata="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Euo4rHcAAAADAEAAA8AAAAA&#10;AAAAAQAgAAAAIgAAAGRycy9kb3ducmV2LnhtbFBLAQIUABQAAAAIAIdO4kBkJcZ0EgYAAOYXAAAO&#10;AAAAAAAAAAEAIAAAACsBAABkcnMvZTJvRG9jLnhtbFBLBQYAAAAABgAGAFkBAACvCQAAAAA=&#10;">
                <o:lock v:ext="edit" aspectratio="f"/>
                <v:shape id="自选图形 1096" o:spid="_x0000_s1026" o:spt="100" style="position:absolute;left:9082;top:1719625;height:2860;width:2377;" fillcolor="#FF0000" filled="t" stroked="t" coordsize="1355725,1927225" o:gfxdata="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2RhAS8AAAA&#10;2wAAAA8AAAAAAAAAAQAgAAAAIgAAAGRycy9kb3ducmV2LnhtbFBLAQIUABQAAAAIAIdO4kAzLwWe&#10;OwAAADkAAAAQAAAAAAAAAAEAIAAAAAsBAABkcnMvc2hhcGV4bWwueG1sUEsFBgAAAAAGAAYAWwEA&#10;ALUDAAAAAA==&#10;" path="m278765,73660l271145,359410,0,366395,29210,1612265,168910,1670685,293370,1772920,432435,1927225,542290,1927225,1311910,1238250,1355725,1069975,1011555,66040,908685,0,278765,73660xe">
                  <v:path o:connectlocs="296652,69412;288544,338686;0,345268;31084,1519300;179748,1574352;312195,1670692;460183,1816100;577088,1816100;1396093,1166851;1442720,1008279;1076465,62232;966994,0;296652,69412" o:connectangles="0,0,0,0,0,0,0,0,0,0,0,0,0"/>
                  <v:fill on="t" opacity="19660f" focussize="0,0"/>
                  <v:stroke weight="1pt" color="#FF0000" opacity="31457f" joinstyle="miter"/>
                  <v:imagedata o:title=""/>
                  <o:lock v:ext="edit" aspectratio="f"/>
                </v:shape>
                <v:shape id="自选图形 1095" o:spid="_x0000_s1026" o:spt="100" style="position:absolute;left:11265;top:1719598;height:1630;width:2191;" fillcolor="#FF0000" filled="t" stroked="t" coordsize="1391920,1120775" o:gfxdata="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mt9Br4A&#10;AADbAAAADwAAAAAAAAABACAAAAAiAAAAZHJzL2Rvd25yZXYueG1sUEsBAhQAFAAAAAgAh07iQDMv&#10;BZ47AAAAOQAAABAAAAAAAAAAAQAgAAAADQEAAGRycy9zaGFwZXhtbC54bWxQSwUGAAAAAAYABgBb&#10;AQAAtwMAAAAA&#10;" path="m0,534670l1135380,0,1391920,593725,1340485,762000,556895,1120775,307340,1084580,0,534670xe">
                  <v:path o:connectlocs="0,493774;1058203,0;1297305,548312;1249366,703716;519040,1035050;286448,1001623;0,493774" o:connectangles="0,0,0,0,0,0,0"/>
                  <v:fill on="t" opacity="19660f" focussize="0,0"/>
                  <v:stroke weight="1pt" color="#FF0000" opacity="31457f" joinstyle="miter"/>
                  <v:imagedata o:title=""/>
                  <o:lock v:ext="edit" aspectratio="f"/>
                </v:shape>
                <v:shape id="自选图形 1094" o:spid="_x0000_s1026" o:spt="100" style="position:absolute;left:10964;top:1719312;height:1064;width:1167;" fillcolor="#FF0000" filled="t" stroked="t" coordsize="768985,725170" o:gfxdata="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tOmSLgAAADbAAAA&#10;DwAAAAAAAAABACAAAAAiAAAAZHJzL2Rvd25yZXYueG1sUEsBAhQAFAAAAAgAh07iQDMvBZ47AAAA&#10;OQAAABAAAAAAAAAAAQAgAAAABwEAAGRycy9zaGFwZXhtbC54bWxQSwUGAAAAAAYABgBbAQAAsQMA&#10;AAAA&#10;" path="m73025,146050l0,255905,241300,725170,768985,483235,615315,197485,622300,21590,615315,0,73025,146050xe">
                  <v:path o:connectlocs="63135,136074;0,238426;208621,675640;664845,450229;531985,183996;538024,20115;531985,0;63135,136074" o:connectangles="0,0,0,0,0,0,0,0"/>
                  <v:fill on="t" opacity="21626f" focussize="0,0"/>
                  <v:stroke weight="1pt" color="#FF0000" opacity="28835f" joinstyle="miter"/>
                  <v:imagedata o:title=""/>
                  <o:lock v:ext="edit" aspectratio="f"/>
                </v:shape>
              </v:group>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6705600</wp:posOffset>
                </wp:positionH>
                <wp:positionV relativeFrom="paragraph">
                  <wp:posOffset>1725295</wp:posOffset>
                </wp:positionV>
                <wp:extent cx="914400" cy="274320"/>
                <wp:effectExtent l="0" t="0" r="0" b="0"/>
                <wp:wrapNone/>
                <wp:docPr id="58" name="文本框 58"/>
                <wp:cNvGraphicFramePr/>
                <a:graphic xmlns:a="http://schemas.openxmlformats.org/drawingml/2006/main">
                  <a:graphicData uri="http://schemas.microsoft.com/office/word/2010/wordprocessingShape">
                    <wps:wsp>
                      <wps:cNvSpPr txBox="1"/>
                      <wps:spPr>
                        <a:xfrm>
                          <a:off x="7784465" y="3519170"/>
                          <a:ext cx="914400" cy="274320"/>
                        </a:xfrm>
                        <a:prstGeom prst="rect">
                          <a:avLst/>
                        </a:prstGeom>
                        <a:noFill/>
                        <a:ln w="6350">
                          <a:noFill/>
                        </a:ln>
                        <a:effectLst/>
                      </wps:spPr>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九华山小学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8pt;margin-top:135.85pt;height:21.6pt;width:72pt;z-index:251671552;mso-width-relative:page;mso-height-relative:page;" filled="f" stroked="f" coordsize="21600,21600" o:gfxdata="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gpndE3AAAAA0BAAAP&#10;AAAAAAAAAAEAIAAAACIAAABkcnMvZG93bnJldi54bWxQSwECFAAUAAAACACHTuJArWR2jE0CAACB&#10;BAAADgAAAAAAAAABACAAAAArAQAAZHJzL2Uyb0RvYy54bWxQSwUGAAAAAAYABgBZAQAA6gU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九华山小学</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6705600</wp:posOffset>
                </wp:positionH>
                <wp:positionV relativeFrom="paragraph">
                  <wp:posOffset>1706880</wp:posOffset>
                </wp:positionV>
                <wp:extent cx="294640" cy="217170"/>
                <wp:effectExtent l="8890" t="7620" r="20320" b="22860"/>
                <wp:wrapNone/>
                <wp:docPr id="49" name="自选图形 1101"/>
                <wp:cNvGraphicFramePr/>
                <a:graphic xmlns:a="http://schemas.openxmlformats.org/drawingml/2006/main">
                  <a:graphicData uri="http://schemas.microsoft.com/office/word/2010/wordprocessingShape">
                    <wps:wsp>
                      <wps:cNvSpPr/>
                      <wps:spPr>
                        <a:xfrm>
                          <a:off x="0" y="0"/>
                          <a:ext cx="294640" cy="217170"/>
                        </a:xfrm>
                        <a:custGeom>
                          <a:avLst/>
                          <a:gdLst>
                            <a:gd name="A1" fmla="val 0"/>
                            <a:gd name="A2" fmla="val 0"/>
                          </a:gdLst>
                          <a:ahLst/>
                          <a:cxnLst>
                            <a:cxn ang="0">
                              <a:pos x="0" y="78740"/>
                            </a:cxn>
                            <a:cxn ang="0">
                              <a:pos x="34290" y="147320"/>
                            </a:cxn>
                            <a:cxn ang="0">
                              <a:pos x="60325" y="217170"/>
                            </a:cxn>
                            <a:cxn ang="0">
                              <a:pos x="294640" y="147320"/>
                            </a:cxn>
                            <a:cxn ang="0">
                              <a:pos x="199390" y="0"/>
                            </a:cxn>
                            <a:cxn ang="0">
                              <a:pos x="0" y="78740"/>
                            </a:cxn>
                          </a:cxnLst>
                          <a:pathLst>
                            <a:path w="294640" h="217170">
                              <a:moveTo>
                                <a:pt x="0" y="78740"/>
                              </a:moveTo>
                              <a:lnTo>
                                <a:pt x="34290" y="147320"/>
                              </a:lnTo>
                              <a:lnTo>
                                <a:pt x="60325" y="217170"/>
                              </a:lnTo>
                              <a:lnTo>
                                <a:pt x="294640" y="147320"/>
                              </a:lnTo>
                              <a:lnTo>
                                <a:pt x="199390" y="0"/>
                              </a:lnTo>
                              <a:lnTo>
                                <a:pt x="0" y="78740"/>
                              </a:lnTo>
                              <a:close/>
                            </a:path>
                          </a:pathLst>
                        </a:custGeom>
                        <a:solidFill>
                          <a:srgbClr val="FFC000">
                            <a:alpha val="53999"/>
                          </a:srgbClr>
                        </a:solidFill>
                        <a:ln w="12700" cap="flat" cmpd="sng">
                          <a:solidFill>
                            <a:srgbClr val="BC8C00">
                              <a:alpha val="53000"/>
                            </a:srgbClr>
                          </a:solidFill>
                          <a:prstDash val="solid"/>
                          <a:miter/>
                          <a:headEnd type="none" w="med" len="med"/>
                          <a:tailEnd type="none" w="med" len="med"/>
                        </a:ln>
                      </wps:spPr>
                      <wps:bodyPr upright="1"/>
                    </wps:wsp>
                  </a:graphicData>
                </a:graphic>
              </wp:anchor>
            </w:drawing>
          </mc:Choice>
          <mc:Fallback>
            <w:pict>
              <v:shape id="自选图形 1101" o:spid="_x0000_s1026" o:spt="100" style="position:absolute;left:0pt;margin-left:528pt;margin-top:134.4pt;height:17.1pt;width:23.2pt;z-index:251670528;mso-width-relative:page;mso-height-relative:page;" fillcolor="#FFC000" filled="t" stroked="t" coordsize="294640,217170" o:gfxdata="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CjTEzvZAAAADQEAAA8AAAAAAAAAAQAgAAAAIgAAAGRycy9kb3ducmV2Lnht&#10;bFBLAQIUABQAAAAIAIdO4kAQRer63AIAAEQHAAAOAAAAAAAAAAEAIAAAACgBAABkcnMvZTJvRG9j&#10;LnhtbFBLBQYAAAAABgAGAFkBAAB2BgAAAAA=&#10;" path="m0,78740l34290,147320,60325,217170,294640,147320,199390,0,0,78740xe">
                <v:path o:connectlocs="0,78740;34290,147320;60325,217170;294640,147320;199390,0;0,78740" o:connectangles="0,0,0,0,0,0"/>
                <v:fill on="t" opacity="35388f" focussize="0,0"/>
                <v:stroke weight="1pt" color="#BC8C00" opacity="34734f" joinstyle="miter"/>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5622925</wp:posOffset>
                </wp:positionH>
                <wp:positionV relativeFrom="paragraph">
                  <wp:posOffset>814070</wp:posOffset>
                </wp:positionV>
                <wp:extent cx="1758315" cy="942975"/>
                <wp:effectExtent l="9525" t="8255" r="22860" b="20320"/>
                <wp:wrapNone/>
                <wp:docPr id="55" name="任意多边形 55"/>
                <wp:cNvGraphicFramePr/>
                <a:graphic xmlns:a="http://schemas.openxmlformats.org/drawingml/2006/main">
                  <a:graphicData uri="http://schemas.microsoft.com/office/word/2010/wordprocessingShape">
                    <wps:wsp>
                      <wps:cNvSpPr/>
                      <wps:spPr>
                        <a:xfrm>
                          <a:off x="6537325" y="2252980"/>
                          <a:ext cx="1758315" cy="942975"/>
                        </a:xfrm>
                        <a:custGeom>
                          <a:avLst/>
                          <a:gdLst>
                            <a:gd name="connisteX0" fmla="*/ 0 w 1758315"/>
                            <a:gd name="connsiteY0" fmla="*/ 596900 h 942975"/>
                            <a:gd name="connisteX1" fmla="*/ 43815 w 1758315"/>
                            <a:gd name="connsiteY1" fmla="*/ 666750 h 942975"/>
                            <a:gd name="connisteX2" fmla="*/ 104140 w 1758315"/>
                            <a:gd name="connsiteY2" fmla="*/ 735965 h 942975"/>
                            <a:gd name="connisteX3" fmla="*/ 156210 w 1758315"/>
                            <a:gd name="connsiteY3" fmla="*/ 804545 h 942975"/>
                            <a:gd name="connisteX4" fmla="*/ 190500 w 1758315"/>
                            <a:gd name="connsiteY4" fmla="*/ 874395 h 942975"/>
                            <a:gd name="connisteX5" fmla="*/ 242570 w 1758315"/>
                            <a:gd name="connsiteY5" fmla="*/ 942975 h 942975"/>
                            <a:gd name="connisteX6" fmla="*/ 1758315 w 1758315"/>
                            <a:gd name="connsiteY6" fmla="*/ 483870 h 942975"/>
                            <a:gd name="connisteX7" fmla="*/ 1506855 w 1758315"/>
                            <a:gd name="connsiteY7" fmla="*/ 0 h 942975"/>
                            <a:gd name="connisteX8" fmla="*/ 0 w 1758315"/>
                            <a:gd name="connsiteY8" fmla="*/ 596900 h 9429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758315" h="942975">
                              <a:moveTo>
                                <a:pt x="0" y="596900"/>
                              </a:moveTo>
                              <a:lnTo>
                                <a:pt x="43815" y="666750"/>
                              </a:lnTo>
                              <a:lnTo>
                                <a:pt x="104140" y="735965"/>
                              </a:lnTo>
                              <a:lnTo>
                                <a:pt x="156210" y="804545"/>
                              </a:lnTo>
                              <a:lnTo>
                                <a:pt x="190500" y="874395"/>
                              </a:lnTo>
                              <a:lnTo>
                                <a:pt x="242570" y="942975"/>
                              </a:lnTo>
                              <a:lnTo>
                                <a:pt x="1758315" y="483870"/>
                              </a:lnTo>
                              <a:lnTo>
                                <a:pt x="1506855" y="0"/>
                              </a:lnTo>
                              <a:lnTo>
                                <a:pt x="0" y="596900"/>
                              </a:lnTo>
                              <a:close/>
                            </a:path>
                          </a:pathLst>
                        </a:custGeom>
                        <a:solidFill>
                          <a:srgbClr val="FFC000">
                            <a:alpha val="42000"/>
                          </a:srgbClr>
                        </a:solidFill>
                        <a:ln w="12700" cap="flat" cmpd="sng" algn="ctr">
                          <a:solidFill>
                            <a:srgbClr val="BC8C00">
                              <a:shade val="50000"/>
                              <a:alpha val="41000"/>
                            </a:srgbClr>
                          </a:solidFill>
                          <a:prstDash val="solid"/>
                          <a:miter lim="800000"/>
                        </a:ln>
                        <a:effectLst/>
                      </wps:spPr>
                      <wps:txbx>
                        <w:txbxContent>
                          <w:p>
                            <w:pPr>
                              <w:jc w:val="center"/>
                              <w:rPr>
                                <w:b/>
                                <w:bCs/>
                              </w:rPr>
                            </w:pPr>
                          </w:p>
                          <w:p>
                            <w:pPr>
                              <w:jc w:val="center"/>
                              <w:rPr>
                                <w:b/>
                                <w:bCs/>
                              </w:rPr>
                            </w:pPr>
                          </w:p>
                          <w:p>
                            <w:pPr>
                              <w:jc w:val="center"/>
                              <w:rPr>
                                <w:b/>
                                <w:bCs/>
                              </w:rPr>
                            </w:pPr>
                            <w:r>
                              <w:rPr>
                                <w:rFonts w:hint="eastAsia"/>
                                <w:b/>
                                <w:bCs/>
                              </w:rPr>
                              <w:t>洞庭渔都</w:t>
                            </w:r>
                          </w:p>
                        </w:txbxContent>
                      </wps:txbx>
                      <wps:bodyPr/>
                    </wps:wsp>
                  </a:graphicData>
                </a:graphic>
              </wp:anchor>
            </w:drawing>
          </mc:Choice>
          <mc:Fallback>
            <w:pict>
              <v:shape id="_x0000_s1026" o:spid="_x0000_s1026" o:spt="100" style="position:absolute;left:0pt;margin-left:442.75pt;margin-top:64.1pt;height:74.25pt;width:138.45pt;z-index:251669504;mso-width-relative:page;mso-height-relative:page;" fillcolor="#FFC000" filled="t" stroked="t" coordsize="1758315,942975" o:gfxdata="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JcgS9fZAAAADAEAAA8A&#10;AAAAAAAAAQAgAAAAIgAAAGRycy9kb3ducmV2LnhtbFBLAQIUABQAAAAIAIdO4kCbdAhU3gMAADkM&#10;AAAOAAAAAAAAAAEAIAAAACgBAABkcnMvZTJvRG9jLnhtbFBLBQYAAAAABgAGAFkBAAB4BwAAAAA=&#10;" path="m0,596900l43815,666750,104140,735965,156210,804545,190500,874395,242570,942975,1758315,483870,1506855,0,0,596900xe">
                <v:path textboxrect="0,0,1758315,942975" o:connectlocs="0,596900;43815,666750;104140,735965;156210,804545;190500,874395;242570,942975;1758315,483870;1506855,0;0,596900" o:connectangles="0,0,0,0,0,0,0,0,0"/>
                <v:fill on="t" opacity="27525f" focussize="0,0"/>
                <v:stroke weight="1pt" color="#896500" opacity="26869f" miterlimit="8" joinstyle="miter"/>
                <v:imagedata o:title=""/>
                <o:lock v:ext="edit" aspectratio="f"/>
                <v:textbox>
                  <w:txbxContent>
                    <w:p>
                      <w:pPr>
                        <w:jc w:val="center"/>
                        <w:rPr>
                          <w:b/>
                          <w:bCs/>
                        </w:rPr>
                      </w:pPr>
                    </w:p>
                    <w:p>
                      <w:pPr>
                        <w:jc w:val="center"/>
                        <w:rPr>
                          <w:b/>
                          <w:bCs/>
                        </w:rPr>
                      </w:pPr>
                    </w:p>
                    <w:p>
                      <w:pPr>
                        <w:jc w:val="center"/>
                        <w:rPr>
                          <w:b/>
                          <w:bCs/>
                        </w:rPr>
                      </w:pPr>
                      <w:r>
                        <w:rPr>
                          <w:rFonts w:hint="eastAsia"/>
                          <w:b/>
                          <w:bCs/>
                        </w:rPr>
                        <w:t>洞庭渔都</w:t>
                      </w:r>
                    </w:p>
                  </w:txbxContent>
                </v:textbox>
              </v:shape>
            </w:pict>
          </mc:Fallback>
        </mc:AlternateContent>
      </w:r>
      <w:r>
        <w:drawing>
          <wp:inline distT="0" distB="0" distL="114300" distR="114300">
            <wp:extent cx="8853805" cy="4937760"/>
            <wp:effectExtent l="0" t="0" r="4445" b="1524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48" cstate="print"/>
                    <a:stretch>
                      <a:fillRect/>
                    </a:stretch>
                  </pic:blipFill>
                  <pic:spPr>
                    <a:xfrm>
                      <a:off x="0" y="0"/>
                      <a:ext cx="8853805" cy="4937760"/>
                    </a:xfrm>
                    <a:prstGeom prst="rect">
                      <a:avLst/>
                    </a:prstGeom>
                    <a:noFill/>
                    <a:ln>
                      <a:noFill/>
                    </a:ln>
                  </pic:spPr>
                </pic:pic>
              </a:graphicData>
            </a:graphic>
          </wp:inline>
        </w:drawing>
      </w:r>
      <w:r>
        <mc:AlternateContent>
          <mc:Choice Requires="wps">
            <w:drawing>
              <wp:anchor distT="0" distB="0" distL="114300" distR="114300" simplePos="0" relativeHeight="251666432" behindDoc="0" locked="0" layoutInCell="1" allowOverlap="1">
                <wp:simplePos x="0" y="0"/>
                <wp:positionH relativeFrom="column">
                  <wp:posOffset>2852420</wp:posOffset>
                </wp:positionH>
                <wp:positionV relativeFrom="paragraph">
                  <wp:posOffset>2457450</wp:posOffset>
                </wp:positionV>
                <wp:extent cx="874395" cy="1341755"/>
                <wp:effectExtent l="6350" t="6985" r="14605" b="22860"/>
                <wp:wrapNone/>
                <wp:docPr id="53" name="任意多边形 53"/>
                <wp:cNvGraphicFramePr/>
                <a:graphic xmlns:a="http://schemas.openxmlformats.org/drawingml/2006/main">
                  <a:graphicData uri="http://schemas.microsoft.com/office/word/2010/wordprocessingShape">
                    <wps:wsp>
                      <wps:cNvSpPr/>
                      <wps:spPr>
                        <a:xfrm>
                          <a:off x="3766820" y="3896360"/>
                          <a:ext cx="874395" cy="1341755"/>
                        </a:xfrm>
                        <a:custGeom>
                          <a:avLst/>
                          <a:gdLst>
                            <a:gd name="connisteX0" fmla="*/ 493395 w 874395"/>
                            <a:gd name="connsiteY0" fmla="*/ 26035 h 1341755"/>
                            <a:gd name="connisteX1" fmla="*/ 562610 w 874395"/>
                            <a:gd name="connsiteY1" fmla="*/ 8255 h 1341755"/>
                            <a:gd name="connisteX2" fmla="*/ 631825 w 874395"/>
                            <a:gd name="connsiteY2" fmla="*/ 8255 h 1341755"/>
                            <a:gd name="connisteX3" fmla="*/ 701040 w 874395"/>
                            <a:gd name="connsiteY3" fmla="*/ 8255 h 1341755"/>
                            <a:gd name="connisteX4" fmla="*/ 770255 w 874395"/>
                            <a:gd name="connsiteY4" fmla="*/ 8255 h 1341755"/>
                            <a:gd name="connisteX5" fmla="*/ 839470 w 874395"/>
                            <a:gd name="connsiteY5" fmla="*/ 0 h 1341755"/>
                            <a:gd name="connisteX6" fmla="*/ 874395 w 874395"/>
                            <a:gd name="connsiteY6" fmla="*/ 1341755 h 1341755"/>
                            <a:gd name="connisteX7" fmla="*/ 69215 w 874395"/>
                            <a:gd name="connsiteY7" fmla="*/ 1038860 h 1341755"/>
                            <a:gd name="connisteX8" fmla="*/ 0 w 874395"/>
                            <a:gd name="connsiteY8" fmla="*/ 683895 h 1341755"/>
                            <a:gd name="connisteX9" fmla="*/ 95250 w 874395"/>
                            <a:gd name="connsiteY9" fmla="*/ 372110 h 1341755"/>
                            <a:gd name="connisteX10" fmla="*/ 415290 w 874395"/>
                            <a:gd name="connsiteY10" fmla="*/ 251460 h 1341755"/>
                            <a:gd name="connisteX11" fmla="*/ 493395 w 874395"/>
                            <a:gd name="connsiteY11" fmla="*/ 26035 h 13417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874395" h="1341755">
                              <a:moveTo>
                                <a:pt x="493395" y="26035"/>
                              </a:moveTo>
                              <a:lnTo>
                                <a:pt x="562610" y="8255"/>
                              </a:lnTo>
                              <a:lnTo>
                                <a:pt x="631825" y="8255"/>
                              </a:lnTo>
                              <a:lnTo>
                                <a:pt x="701040" y="8255"/>
                              </a:lnTo>
                              <a:lnTo>
                                <a:pt x="770255" y="8255"/>
                              </a:lnTo>
                              <a:lnTo>
                                <a:pt x="839470" y="0"/>
                              </a:lnTo>
                              <a:lnTo>
                                <a:pt x="874395" y="1341755"/>
                              </a:lnTo>
                              <a:lnTo>
                                <a:pt x="69215" y="1038860"/>
                              </a:lnTo>
                              <a:lnTo>
                                <a:pt x="0" y="683895"/>
                              </a:lnTo>
                              <a:lnTo>
                                <a:pt x="95250" y="372110"/>
                              </a:lnTo>
                              <a:lnTo>
                                <a:pt x="415290" y="251460"/>
                              </a:lnTo>
                              <a:lnTo>
                                <a:pt x="493395" y="26035"/>
                              </a:lnTo>
                              <a:close/>
                            </a:path>
                          </a:pathLst>
                        </a:custGeom>
                        <a:solidFill>
                          <a:srgbClr val="FFC000">
                            <a:alpha val="39000"/>
                          </a:srgbClr>
                        </a:solidFill>
                        <a:ln w="12700" cap="flat" cmpd="sng" algn="ctr">
                          <a:solidFill>
                            <a:srgbClr val="BC8C00">
                              <a:shade val="50000"/>
                              <a:alpha val="35000"/>
                            </a:srgbClr>
                          </a:solidFill>
                          <a:prstDash val="solid"/>
                          <a:miter lim="800000"/>
                        </a:ln>
                        <a:effectLst/>
                      </wps:spPr>
                      <wps:txbx>
                        <w:txbxContent>
                          <w:p>
                            <w:pPr>
                              <w:jc w:val="center"/>
                            </w:pPr>
                          </w:p>
                          <w:p>
                            <w:pPr>
                              <w:jc w:val="center"/>
                              <w:rPr>
                                <w:b/>
                                <w:bCs/>
                              </w:rPr>
                            </w:pPr>
                          </w:p>
                          <w:p>
                            <w:pPr>
                              <w:jc w:val="center"/>
                              <w:rPr>
                                <w:b/>
                                <w:bCs/>
                              </w:rPr>
                            </w:pPr>
                            <w:r>
                              <w:rPr>
                                <w:rFonts w:hint="eastAsia"/>
                                <w:b/>
                                <w:bCs/>
                              </w:rPr>
                              <w:t>九华北门新区</w:t>
                            </w:r>
                          </w:p>
                        </w:txbxContent>
                      </wps:txbx>
                      <wps:bodyPr/>
                    </wps:wsp>
                  </a:graphicData>
                </a:graphic>
              </wp:anchor>
            </w:drawing>
          </mc:Choice>
          <mc:Fallback>
            <w:pict>
              <v:shape id="_x0000_s1026" o:spid="_x0000_s1026" o:spt="100" style="position:absolute;left:0pt;margin-left:224.6pt;margin-top:193.5pt;height:105.65pt;width:68.85pt;z-index:251666432;mso-width-relative:page;mso-height-relative:page;" fillcolor="#FFC000" filled="t" stroked="t" coordsize="874395,1341755" o:gfxdata="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" path="m493395,26035l562610,8255,631825,8255,701040,8255,770255,8255,839470,0,874395,1341755,69215,1038860,0,683895,95250,372110,415290,251460,493395,26035xe">
                <v:path textboxrect="0,0,874395,1341755" o:connectlocs="493395,26035;562610,8255;631825,8255;701040,8255;770255,8255;839470,0;874395,1341755;69215,1038860;0,683895;95250,372110;415290,251460;493395,26035" o:connectangles="0,0,0,0,0,0,0,0,0,0,0,0"/>
                <v:fill on="t" opacity="25559f" focussize="0,0"/>
                <v:stroke weight="1pt" color="#896500" opacity="22937f" miterlimit="8" joinstyle="miter"/>
                <v:imagedata o:title=""/>
                <o:lock v:ext="edit" aspectratio="f"/>
                <v:textbox>
                  <w:txbxContent>
                    <w:p>
                      <w:pPr>
                        <w:jc w:val="center"/>
                      </w:pPr>
                    </w:p>
                    <w:p>
                      <w:pPr>
                        <w:jc w:val="center"/>
                        <w:rPr>
                          <w:b/>
                          <w:bCs/>
                        </w:rPr>
                      </w:pPr>
                    </w:p>
                    <w:p>
                      <w:pPr>
                        <w:jc w:val="center"/>
                        <w:rPr>
                          <w:b/>
                          <w:bCs/>
                        </w:rPr>
                      </w:pPr>
                      <w:r>
                        <w:rPr>
                          <w:rFonts w:hint="eastAsia"/>
                          <w:b/>
                          <w:bCs/>
                        </w:rPr>
                        <w:t>九华北门新区</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943610</wp:posOffset>
                </wp:positionH>
                <wp:positionV relativeFrom="paragraph">
                  <wp:posOffset>4242435</wp:posOffset>
                </wp:positionV>
                <wp:extent cx="1369060" cy="685800"/>
                <wp:effectExtent l="6350" t="6350" r="15240" b="12700"/>
                <wp:wrapNone/>
                <wp:docPr id="51" name="任意多边形 51"/>
                <wp:cNvGraphicFramePr/>
                <a:graphic xmlns:a="http://schemas.openxmlformats.org/drawingml/2006/main">
                  <a:graphicData uri="http://schemas.microsoft.com/office/word/2010/wordprocessingShape">
                    <wps:wsp>
                      <wps:cNvSpPr/>
                      <wps:spPr>
                        <a:xfrm>
                          <a:off x="1858010" y="5820410"/>
                          <a:ext cx="1369060" cy="685800"/>
                        </a:xfrm>
                        <a:custGeom>
                          <a:avLst/>
                          <a:gdLst>
                            <a:gd name="connisteX0" fmla="*/ 90099 w 1369349"/>
                            <a:gd name="connsiteY0" fmla="*/ 450 h 503581"/>
                            <a:gd name="connisteX1" fmla="*/ 159314 w 1369349"/>
                            <a:gd name="connsiteY1" fmla="*/ 8070 h 503581"/>
                            <a:gd name="connisteX2" fmla="*/ 228529 w 1369349"/>
                            <a:gd name="connsiteY2" fmla="*/ 26485 h 503581"/>
                            <a:gd name="connisteX3" fmla="*/ 314889 w 1369349"/>
                            <a:gd name="connsiteY3" fmla="*/ 42995 h 503581"/>
                            <a:gd name="connisteX4" fmla="*/ 401884 w 1369349"/>
                            <a:gd name="connsiteY4" fmla="*/ 60775 h 503581"/>
                            <a:gd name="connisteX5" fmla="*/ 471099 w 1369349"/>
                            <a:gd name="connsiteY5" fmla="*/ 69665 h 503581"/>
                            <a:gd name="connisteX6" fmla="*/ 549204 w 1369349"/>
                            <a:gd name="connsiteY6" fmla="*/ 77920 h 503581"/>
                            <a:gd name="connisteX7" fmla="*/ 618419 w 1369349"/>
                            <a:gd name="connsiteY7" fmla="*/ 86810 h 503581"/>
                            <a:gd name="connisteX8" fmla="*/ 687634 w 1369349"/>
                            <a:gd name="connsiteY8" fmla="*/ 86810 h 503581"/>
                            <a:gd name="connisteX9" fmla="*/ 756849 w 1369349"/>
                            <a:gd name="connsiteY9" fmla="*/ 95700 h 503581"/>
                            <a:gd name="connisteX10" fmla="*/ 800029 w 1369349"/>
                            <a:gd name="connsiteY10" fmla="*/ 164915 h 503581"/>
                            <a:gd name="connisteX11" fmla="*/ 869244 w 1369349"/>
                            <a:gd name="connsiteY11" fmla="*/ 225240 h 503581"/>
                            <a:gd name="connisteX12" fmla="*/ 938459 w 1369349"/>
                            <a:gd name="connsiteY12" fmla="*/ 242385 h 503581"/>
                            <a:gd name="connisteX13" fmla="*/ 1007674 w 1369349"/>
                            <a:gd name="connsiteY13" fmla="*/ 251275 h 503581"/>
                            <a:gd name="connisteX14" fmla="*/ 1076889 w 1369349"/>
                            <a:gd name="connsiteY14" fmla="*/ 251275 h 503581"/>
                            <a:gd name="connisteX15" fmla="*/ 1146739 w 1369349"/>
                            <a:gd name="connsiteY15" fmla="*/ 260165 h 503581"/>
                            <a:gd name="connisteX16" fmla="*/ 1224209 w 1369349"/>
                            <a:gd name="connsiteY16" fmla="*/ 286200 h 503581"/>
                            <a:gd name="connisteX17" fmla="*/ 1293424 w 1369349"/>
                            <a:gd name="connsiteY17" fmla="*/ 302710 h 503581"/>
                            <a:gd name="connisteX18" fmla="*/ 1362639 w 1369349"/>
                            <a:gd name="connsiteY18" fmla="*/ 320490 h 503581"/>
                            <a:gd name="connisteX19" fmla="*/ 1354384 w 1369349"/>
                            <a:gd name="connsiteY19" fmla="*/ 389070 h 503581"/>
                            <a:gd name="connisteX20" fmla="*/ 1285169 w 1369349"/>
                            <a:gd name="connsiteY20" fmla="*/ 458920 h 503581"/>
                            <a:gd name="connisteX21" fmla="*/ 1215954 w 1369349"/>
                            <a:gd name="connsiteY21" fmla="*/ 484320 h 503581"/>
                            <a:gd name="connisteX22" fmla="*/ 1146739 w 1369349"/>
                            <a:gd name="connsiteY22" fmla="*/ 493210 h 503581"/>
                            <a:gd name="connisteX23" fmla="*/ 1076889 w 1369349"/>
                            <a:gd name="connsiteY23" fmla="*/ 493210 h 503581"/>
                            <a:gd name="connisteX24" fmla="*/ 1007674 w 1369349"/>
                            <a:gd name="connsiteY24" fmla="*/ 493210 h 503581"/>
                            <a:gd name="connisteX25" fmla="*/ 938459 w 1369349"/>
                            <a:gd name="connsiteY25" fmla="*/ 502735 h 503581"/>
                            <a:gd name="connisteX26" fmla="*/ 869244 w 1369349"/>
                            <a:gd name="connsiteY26" fmla="*/ 502735 h 503581"/>
                            <a:gd name="connisteX27" fmla="*/ 800029 w 1369349"/>
                            <a:gd name="connsiteY27" fmla="*/ 502735 h 503581"/>
                            <a:gd name="connisteX28" fmla="*/ 730814 w 1369349"/>
                            <a:gd name="connsiteY28" fmla="*/ 502735 h 503581"/>
                            <a:gd name="connisteX29" fmla="*/ 661599 w 1369349"/>
                            <a:gd name="connsiteY29" fmla="*/ 493210 h 503581"/>
                            <a:gd name="connisteX30" fmla="*/ 583494 w 1369349"/>
                            <a:gd name="connsiteY30" fmla="*/ 484320 h 503581"/>
                            <a:gd name="connisteX31" fmla="*/ 505389 w 1369349"/>
                            <a:gd name="connsiteY31" fmla="*/ 476700 h 503581"/>
                            <a:gd name="connisteX32" fmla="*/ 436174 w 1369349"/>
                            <a:gd name="connsiteY32" fmla="*/ 458920 h 503581"/>
                            <a:gd name="connisteX33" fmla="*/ 366959 w 1369349"/>
                            <a:gd name="connsiteY33" fmla="*/ 450665 h 503581"/>
                            <a:gd name="connisteX34" fmla="*/ 297744 w 1369349"/>
                            <a:gd name="connsiteY34" fmla="*/ 450665 h 503581"/>
                            <a:gd name="connisteX35" fmla="*/ 228529 w 1369349"/>
                            <a:gd name="connsiteY35" fmla="*/ 441775 h 503581"/>
                            <a:gd name="connisteX36" fmla="*/ 159314 w 1369349"/>
                            <a:gd name="connsiteY36" fmla="*/ 441775 h 503581"/>
                            <a:gd name="connisteX37" fmla="*/ 90099 w 1369349"/>
                            <a:gd name="connsiteY37" fmla="*/ 441775 h 503581"/>
                            <a:gd name="connisteX38" fmla="*/ 20884 w 1369349"/>
                            <a:gd name="connsiteY38" fmla="*/ 432885 h 503581"/>
                            <a:gd name="connisteX39" fmla="*/ 3104 w 1369349"/>
                            <a:gd name="connsiteY39" fmla="*/ 363670 h 503581"/>
                            <a:gd name="connisteX40" fmla="*/ 3104 w 1369349"/>
                            <a:gd name="connsiteY40" fmla="*/ 293820 h 503581"/>
                            <a:gd name="connisteX41" fmla="*/ 3104 w 1369349"/>
                            <a:gd name="connsiteY41" fmla="*/ 225240 h 503581"/>
                            <a:gd name="connisteX42" fmla="*/ 3104 w 1369349"/>
                            <a:gd name="connsiteY42" fmla="*/ 156025 h 503581"/>
                            <a:gd name="connisteX43" fmla="*/ 38029 w 1369349"/>
                            <a:gd name="connsiteY43" fmla="*/ 86810 h 503581"/>
                            <a:gd name="connisteX44" fmla="*/ 98354 w 1369349"/>
                            <a:gd name="connsiteY44" fmla="*/ 16960 h 503581"/>
                            <a:gd name="connisteX45" fmla="*/ 90099 w 1369349"/>
                            <a:gd name="connsiteY45" fmla="*/ 450 h 50358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Lst>
                          <a:rect l="l" t="t" r="r" b="b"/>
                          <a:pathLst>
                            <a:path w="1369350" h="503582">
                              <a:moveTo>
                                <a:pt x="90099" y="450"/>
                              </a:moveTo>
                              <a:cubicBezTo>
                                <a:pt x="102164" y="-1455"/>
                                <a:pt x="131374" y="2990"/>
                                <a:pt x="159314" y="8070"/>
                              </a:cubicBezTo>
                              <a:cubicBezTo>
                                <a:pt x="187254" y="13150"/>
                                <a:pt x="197414" y="19500"/>
                                <a:pt x="228529" y="26485"/>
                              </a:cubicBezTo>
                              <a:cubicBezTo>
                                <a:pt x="259644" y="33470"/>
                                <a:pt x="279964" y="36010"/>
                                <a:pt x="314889" y="42995"/>
                              </a:cubicBezTo>
                              <a:cubicBezTo>
                                <a:pt x="349814" y="49980"/>
                                <a:pt x="370769" y="55695"/>
                                <a:pt x="401884" y="60775"/>
                              </a:cubicBezTo>
                              <a:cubicBezTo>
                                <a:pt x="432999" y="65855"/>
                                <a:pt x="441889" y="66490"/>
                                <a:pt x="471099" y="69665"/>
                              </a:cubicBezTo>
                              <a:cubicBezTo>
                                <a:pt x="500309" y="72840"/>
                                <a:pt x="519994" y="74745"/>
                                <a:pt x="549204" y="77920"/>
                              </a:cubicBezTo>
                              <a:cubicBezTo>
                                <a:pt x="578414" y="81095"/>
                                <a:pt x="590479" y="84905"/>
                                <a:pt x="618419" y="86810"/>
                              </a:cubicBezTo>
                              <a:cubicBezTo>
                                <a:pt x="646359" y="88715"/>
                                <a:pt x="659694" y="84905"/>
                                <a:pt x="687634" y="86810"/>
                              </a:cubicBezTo>
                              <a:cubicBezTo>
                                <a:pt x="715574" y="88715"/>
                                <a:pt x="734624" y="79825"/>
                                <a:pt x="756849" y="95700"/>
                              </a:cubicBezTo>
                              <a:cubicBezTo>
                                <a:pt x="779074" y="111575"/>
                                <a:pt x="777804" y="138880"/>
                                <a:pt x="800029" y="164915"/>
                              </a:cubicBezTo>
                              <a:cubicBezTo>
                                <a:pt x="822254" y="190950"/>
                                <a:pt x="841304" y="210000"/>
                                <a:pt x="869244" y="225240"/>
                              </a:cubicBezTo>
                              <a:cubicBezTo>
                                <a:pt x="897184" y="240480"/>
                                <a:pt x="910519" y="237305"/>
                                <a:pt x="938459" y="242385"/>
                              </a:cubicBezTo>
                              <a:cubicBezTo>
                                <a:pt x="966399" y="247465"/>
                                <a:pt x="979734" y="249370"/>
                                <a:pt x="1007674" y="251275"/>
                              </a:cubicBezTo>
                              <a:cubicBezTo>
                                <a:pt x="1035614" y="253180"/>
                                <a:pt x="1048949" y="249370"/>
                                <a:pt x="1076889" y="251275"/>
                              </a:cubicBezTo>
                              <a:cubicBezTo>
                                <a:pt x="1104829" y="253180"/>
                                <a:pt x="1117529" y="253180"/>
                                <a:pt x="1146739" y="260165"/>
                              </a:cubicBezTo>
                              <a:cubicBezTo>
                                <a:pt x="1175949" y="267150"/>
                                <a:pt x="1194999" y="277945"/>
                                <a:pt x="1224209" y="286200"/>
                              </a:cubicBezTo>
                              <a:cubicBezTo>
                                <a:pt x="1253419" y="294455"/>
                                <a:pt x="1265484" y="295725"/>
                                <a:pt x="1293424" y="302710"/>
                              </a:cubicBezTo>
                              <a:cubicBezTo>
                                <a:pt x="1321364" y="309695"/>
                                <a:pt x="1350574" y="303345"/>
                                <a:pt x="1362639" y="320490"/>
                              </a:cubicBezTo>
                              <a:cubicBezTo>
                                <a:pt x="1374704" y="337635"/>
                                <a:pt x="1369624" y="361130"/>
                                <a:pt x="1354384" y="389070"/>
                              </a:cubicBezTo>
                              <a:cubicBezTo>
                                <a:pt x="1339144" y="417010"/>
                                <a:pt x="1313109" y="439870"/>
                                <a:pt x="1285169" y="458920"/>
                              </a:cubicBezTo>
                              <a:cubicBezTo>
                                <a:pt x="1257229" y="477970"/>
                                <a:pt x="1243894" y="477335"/>
                                <a:pt x="1215954" y="484320"/>
                              </a:cubicBezTo>
                              <a:cubicBezTo>
                                <a:pt x="1188014" y="491305"/>
                                <a:pt x="1174679" y="491305"/>
                                <a:pt x="1146739" y="493210"/>
                              </a:cubicBezTo>
                              <a:cubicBezTo>
                                <a:pt x="1118799" y="495115"/>
                                <a:pt x="1104829" y="493210"/>
                                <a:pt x="1076889" y="493210"/>
                              </a:cubicBezTo>
                              <a:cubicBezTo>
                                <a:pt x="1048949" y="493210"/>
                                <a:pt x="1035614" y="491305"/>
                                <a:pt x="1007674" y="493210"/>
                              </a:cubicBezTo>
                              <a:cubicBezTo>
                                <a:pt x="979734" y="495115"/>
                                <a:pt x="966399" y="500830"/>
                                <a:pt x="938459" y="502735"/>
                              </a:cubicBezTo>
                              <a:cubicBezTo>
                                <a:pt x="910519" y="504640"/>
                                <a:pt x="897184" y="502735"/>
                                <a:pt x="869244" y="502735"/>
                              </a:cubicBezTo>
                              <a:cubicBezTo>
                                <a:pt x="841304" y="502735"/>
                                <a:pt x="827969" y="502735"/>
                                <a:pt x="800029" y="502735"/>
                              </a:cubicBezTo>
                              <a:cubicBezTo>
                                <a:pt x="772089" y="502735"/>
                                <a:pt x="758754" y="504640"/>
                                <a:pt x="730814" y="502735"/>
                              </a:cubicBezTo>
                              <a:cubicBezTo>
                                <a:pt x="702874" y="500830"/>
                                <a:pt x="690809" y="497020"/>
                                <a:pt x="661599" y="493210"/>
                              </a:cubicBezTo>
                              <a:cubicBezTo>
                                <a:pt x="632389" y="489400"/>
                                <a:pt x="614609" y="487495"/>
                                <a:pt x="583494" y="484320"/>
                              </a:cubicBezTo>
                              <a:cubicBezTo>
                                <a:pt x="552379" y="481145"/>
                                <a:pt x="534599" y="481780"/>
                                <a:pt x="505389" y="476700"/>
                              </a:cubicBezTo>
                              <a:cubicBezTo>
                                <a:pt x="476179" y="471620"/>
                                <a:pt x="464114" y="464000"/>
                                <a:pt x="436174" y="458920"/>
                              </a:cubicBezTo>
                              <a:cubicBezTo>
                                <a:pt x="408234" y="453840"/>
                                <a:pt x="394899" y="452570"/>
                                <a:pt x="366959" y="450665"/>
                              </a:cubicBezTo>
                              <a:cubicBezTo>
                                <a:pt x="339019" y="448760"/>
                                <a:pt x="325684" y="452570"/>
                                <a:pt x="297744" y="450665"/>
                              </a:cubicBezTo>
                              <a:cubicBezTo>
                                <a:pt x="269804" y="448760"/>
                                <a:pt x="256469" y="443680"/>
                                <a:pt x="228529" y="441775"/>
                              </a:cubicBezTo>
                              <a:cubicBezTo>
                                <a:pt x="200589" y="439870"/>
                                <a:pt x="187254" y="441775"/>
                                <a:pt x="159314" y="441775"/>
                              </a:cubicBezTo>
                              <a:cubicBezTo>
                                <a:pt x="131374" y="441775"/>
                                <a:pt x="118039" y="443680"/>
                                <a:pt x="90099" y="441775"/>
                              </a:cubicBezTo>
                              <a:cubicBezTo>
                                <a:pt x="62159" y="439870"/>
                                <a:pt x="38029" y="448760"/>
                                <a:pt x="20884" y="432885"/>
                              </a:cubicBezTo>
                              <a:cubicBezTo>
                                <a:pt x="3739" y="417010"/>
                                <a:pt x="6914" y="391610"/>
                                <a:pt x="3104" y="363670"/>
                              </a:cubicBezTo>
                              <a:cubicBezTo>
                                <a:pt x="-706" y="335730"/>
                                <a:pt x="3104" y="321760"/>
                                <a:pt x="3104" y="293820"/>
                              </a:cubicBezTo>
                              <a:cubicBezTo>
                                <a:pt x="3104" y="265880"/>
                                <a:pt x="3104" y="252545"/>
                                <a:pt x="3104" y="225240"/>
                              </a:cubicBezTo>
                              <a:cubicBezTo>
                                <a:pt x="3104" y="197935"/>
                                <a:pt x="-3881" y="183965"/>
                                <a:pt x="3104" y="156025"/>
                              </a:cubicBezTo>
                              <a:cubicBezTo>
                                <a:pt x="10089" y="128085"/>
                                <a:pt x="18979" y="114750"/>
                                <a:pt x="38029" y="86810"/>
                              </a:cubicBezTo>
                              <a:cubicBezTo>
                                <a:pt x="57079" y="58870"/>
                                <a:pt x="88194" y="34105"/>
                                <a:pt x="98354" y="16960"/>
                              </a:cubicBezTo>
                              <a:cubicBezTo>
                                <a:pt x="108514" y="-185"/>
                                <a:pt x="78034" y="2355"/>
                                <a:pt x="90099" y="450"/>
                              </a:cubicBezTo>
                              <a:close/>
                            </a:path>
                          </a:pathLst>
                        </a:custGeom>
                        <a:solidFill>
                          <a:srgbClr val="FFC000">
                            <a:alpha val="45000"/>
                          </a:srgbClr>
                        </a:solidFill>
                        <a:ln w="12700" cap="flat" cmpd="sng" algn="ctr">
                          <a:solidFill>
                            <a:srgbClr val="FFC000">
                              <a:alpha val="32000"/>
                            </a:srgbClr>
                          </a:solidFill>
                          <a:prstDash val="solid"/>
                          <a:miter lim="800000"/>
                        </a:ln>
                        <a:effectLst/>
                      </wps:spPr>
                      <wps:txbx>
                        <w:txbxContent>
                          <w:p>
                            <w:pPr>
                              <w:rPr>
                                <w:b/>
                                <w:bCs/>
                              </w:rPr>
                            </w:pPr>
                          </w:p>
                          <w:p>
                            <w:pPr>
                              <w:rPr>
                                <w:b/>
                                <w:bCs/>
                              </w:rPr>
                            </w:pPr>
                            <w:r>
                              <w:rPr>
                                <w:rFonts w:hint="eastAsia"/>
                                <w:b/>
                                <w:bCs/>
                              </w:rPr>
                              <w:t>洞庭书香苑</w:t>
                            </w:r>
                          </w:p>
                        </w:txbxContent>
                      </wps:txbx>
                      <wps:bodyPr/>
                    </wps:wsp>
                  </a:graphicData>
                </a:graphic>
              </wp:anchor>
            </w:drawing>
          </mc:Choice>
          <mc:Fallback>
            <w:pict>
              <v:shape id="_x0000_s1026" o:spid="_x0000_s1026" o:spt="100" style="position:absolute;left:0pt;margin-left:74.3pt;margin-top:334.05pt;height:54pt;width:107.8pt;z-index:251665408;mso-width-relative:page;mso-height-relative:page;" fillcolor="#FFC000" filled="t" stroked="t" coordsize="1369350,503582" o:gfxdata="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" path="m90099,450c102164,-1455,131374,2990,159314,8070c187254,13150,197414,19500,228529,26485c259644,33470,279964,36010,314889,42995c349814,49980,370769,55695,401884,60775c432999,65855,441889,66490,471099,69665c500309,72840,519994,74745,549204,77920c578414,81095,590479,84905,618419,86810c646359,88715,659694,84905,687634,86810c715574,88715,734624,79825,756849,95700c779074,111575,777804,138880,800029,164915c822254,190950,841304,210000,869244,225240c897184,240480,910519,237305,938459,242385c966399,247465,979734,249370,1007674,251275c1035614,253180,1048949,249370,1076889,251275c1104829,253180,1117529,253180,1146739,260165c1175949,267150,1194999,277945,1224209,286200c1253419,294455,1265484,295725,1293424,302710c1321364,309695,1350574,303345,1362639,320490c1374704,337635,1369624,361130,1354384,389070c1339144,417010,1313109,439870,1285169,458920c1257229,477970,1243894,477335,1215954,484320c1188014,491305,1174679,491305,1146739,493210c1118799,495115,1104829,493210,1076889,493210c1048949,493210,1035614,491305,1007674,493210c979734,495115,966399,500830,938459,502735c910519,504640,897184,502735,869244,502735c841304,502735,827969,502735,800029,502735c772089,502735,758754,504640,730814,502735c702874,500830,690809,497020,661599,493210c632389,489400,614609,487495,583494,484320c552379,481145,534599,481780,505389,476700c476179,471620,464114,464000,436174,458920c408234,453840,394899,452570,366959,450665c339019,448760,325684,452570,297744,450665c269804,448760,256469,443680,228529,441775c200589,439870,187254,441775,159314,441775c131374,441775,118039,443680,90099,441775c62159,439870,38029,448760,20884,432885c3739,417010,6914,391610,3104,363670c-706,335730,3104,321760,3104,293820c3104,265880,3104,252545,3104,225240c3104,197935,-3881,183965,3104,156025c10089,128085,18979,114750,38029,86810c57079,58870,88194,34105,98354,16960c108514,-185,78034,2355,90099,450xe">
                <v:path textboxrect="0,0,1369350,503582" o:connectlocs="90079,612;159280,10990;228480,36068;314822,58552;401799,82766;470999,94873;549088,106115;618288,118221;687488,118221;756689,130328;799860,224588;869060,306742;938260,330091;1007461,342197;1076661,342197;1146496,354304;1223950,389760;1293151,412244;1362351,436458;1354098,529853;1284897,624978;1215697,659569;1146496,671676;1076661,671676;1007461,671676;938260,684647;869060,684647;799860,684647;730659,684647;661459,671676;583370,659569;505282,649192;436081,624978;366881,613736;297681,613736;228480,601629;159280,601629;90079,601629;20879,589522;3103,495262;3103,400137;3103,306742;3103,212482;38020,118221;98333,23096;90079,612" o:connectangles="0,0,0,0,0,0,0,0,0,0,0,0,0,0,0,0,0,0,0,0,0,0,0,0,0,0,0,0,0,0,0,0,0,0,0,0,0,0,0,0,0,0,0,0,0,0"/>
                <v:fill on="t" opacity="29491f" focussize="0,0"/>
                <v:stroke weight="1pt" color="#FFC000" opacity="20971f" miterlimit="8" joinstyle="miter"/>
                <v:imagedata o:title=""/>
                <o:lock v:ext="edit" aspectratio="f"/>
                <v:textbox>
                  <w:txbxContent>
                    <w:p>
                      <w:pPr>
                        <w:rPr>
                          <w:b/>
                          <w:bCs/>
                        </w:rPr>
                      </w:pPr>
                    </w:p>
                    <w:p>
                      <w:pPr>
                        <w:rPr>
                          <w:b/>
                          <w:bCs/>
                        </w:rPr>
                      </w:pPr>
                      <w:r>
                        <w:rPr>
                          <w:rFonts w:hint="eastAsia"/>
                          <w:b/>
                          <w:bCs/>
                        </w:rPr>
                        <w:t>洞庭书香苑</w:t>
                      </w:r>
                    </w:p>
                  </w:txbxContent>
                </v:textbox>
              </v:shape>
            </w:pict>
          </mc:Fallback>
        </mc:AlternateContent>
      </w:r>
      <w:r>
        <w:drawing>
          <wp:anchor distT="0" distB="0" distL="114300" distR="114300" simplePos="0" relativeHeight="251664384" behindDoc="0" locked="0" layoutInCell="1" allowOverlap="1">
            <wp:simplePos x="0" y="0"/>
            <wp:positionH relativeFrom="column">
              <wp:posOffset>8339455</wp:posOffset>
            </wp:positionH>
            <wp:positionV relativeFrom="paragraph">
              <wp:posOffset>635</wp:posOffset>
            </wp:positionV>
            <wp:extent cx="516255" cy="451485"/>
            <wp:effectExtent l="0" t="0" r="17145" b="5715"/>
            <wp:wrapNone/>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46" cstate="print"/>
                    <a:stretch>
                      <a:fillRect/>
                    </a:stretch>
                  </pic:blipFill>
                  <pic:spPr>
                    <a:xfrm>
                      <a:off x="0" y="0"/>
                      <a:ext cx="516255" cy="451485"/>
                    </a:xfrm>
                    <a:prstGeom prst="rect">
                      <a:avLst/>
                    </a:prstGeom>
                    <a:noFill/>
                    <a:ln>
                      <a:noFill/>
                    </a:ln>
                  </pic:spPr>
                </pic:pic>
              </a:graphicData>
            </a:graphic>
          </wp:anchor>
        </w:drawing>
      </w:r>
    </w:p>
    <w:p>
      <w:pPr>
        <w:pStyle w:val="2"/>
        <w:ind w:firstLine="0" w:firstLineChars="0"/>
      </w:pPr>
      <w:r>
        <w:drawing>
          <wp:anchor distT="0" distB="0" distL="114300" distR="114300" simplePos="0" relativeHeight="251672576" behindDoc="0" locked="0" layoutInCell="1" allowOverlap="1">
            <wp:simplePos x="0" y="0"/>
            <wp:positionH relativeFrom="column">
              <wp:posOffset>8176895</wp:posOffset>
            </wp:positionH>
            <wp:positionV relativeFrom="paragraph">
              <wp:posOffset>288290</wp:posOffset>
            </wp:positionV>
            <wp:extent cx="516255" cy="451485"/>
            <wp:effectExtent l="0" t="0" r="17145" b="5715"/>
            <wp:wrapNone/>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46" cstate="print"/>
                    <a:stretch>
                      <a:fillRect/>
                    </a:stretch>
                  </pic:blipFill>
                  <pic:spPr>
                    <a:xfrm>
                      <a:off x="0" y="0"/>
                      <a:ext cx="516255" cy="451485"/>
                    </a:xfrm>
                    <a:prstGeom prst="rect">
                      <a:avLst/>
                    </a:prstGeom>
                    <a:noFill/>
                    <a:ln>
                      <a:noFill/>
                    </a:ln>
                  </pic:spPr>
                </pic:pic>
              </a:graphicData>
            </a:graphic>
          </wp:anchor>
        </w:drawing>
      </w:r>
      <w:r>
        <w:t>附图3 项目大气</w:t>
      </w:r>
      <w:r>
        <w:rPr>
          <w:rFonts w:hint="eastAsia"/>
        </w:rPr>
        <w:t>、水、噪声</w:t>
      </w:r>
      <w:r>
        <w:t>监测布点示意图</w:t>
      </w:r>
    </w:p>
    <w:p>
      <w:pPr>
        <w:sectPr>
          <w:pgSz w:w="16838" w:h="11906" w:orient="landscape"/>
          <w:pgMar w:top="1800" w:right="1440" w:bottom="1800" w:left="1440" w:header="851" w:footer="1077" w:gutter="0"/>
          <w:cols w:space="425" w:num="1"/>
          <w:docGrid w:linePitch="312" w:charSpace="0"/>
        </w:sectPr>
      </w:pPr>
      <w:r>
        <mc:AlternateContent>
          <mc:Choice Requires="wps">
            <w:drawing>
              <wp:anchor distT="0" distB="0" distL="114300" distR="114300" simplePos="0" relativeHeight="251682816" behindDoc="0" locked="0" layoutInCell="1" allowOverlap="1">
                <wp:simplePos x="0" y="0"/>
                <wp:positionH relativeFrom="column">
                  <wp:posOffset>3722370</wp:posOffset>
                </wp:positionH>
                <wp:positionV relativeFrom="paragraph">
                  <wp:posOffset>4337050</wp:posOffset>
                </wp:positionV>
                <wp:extent cx="2241550" cy="35242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2241550" cy="352425"/>
                        </a:xfrm>
                        <a:prstGeom prst="rect">
                          <a:avLst/>
                        </a:prstGeom>
                        <a:noFill/>
                        <a:ln w="6350">
                          <a:noFill/>
                        </a:ln>
                        <a:effectLst/>
                      </wps:spPr>
                      <wps:txbx>
                        <w:txbxContent>
                          <w:p>
                            <w:pPr>
                              <w:rPr>
                                <w:b/>
                                <w:color w:val="C7EDCC"/>
                                <w:sz w:val="24"/>
                              </w:rPr>
                            </w:pPr>
                            <w:r>
                              <w:rPr>
                                <w:b/>
                                <w:color w:val="C7EDCC"/>
                                <w:sz w:val="24"/>
                              </w:rPr>
                              <w:t>岳阳市</w:t>
                            </w:r>
                            <w:r>
                              <w:rPr>
                                <w:rFonts w:hint="eastAsia"/>
                                <w:b/>
                                <w:color w:val="C7EDCC"/>
                                <w:sz w:val="24"/>
                              </w:rPr>
                              <w:t>南湖风景区常规监测点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1pt;margin-top:341.5pt;height:27.75pt;width:176.5pt;z-index:251682816;mso-width-relative:page;mso-height-relative:page;" filled="f" stroked="f" coordsize="21600,21600" o:gfxdata="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o78lzcAAAACwEAAA8AAAAAAAAAAQAgAAAA&#10;IgAAAGRycy9kb3ducmV2LnhtbFBLAQIUABQAAAAIAIdO4kAVYdowQAIAAHYEAAAOAAAAAAAAAAEA&#10;IAAAACsBAABkcnMvZTJvRG9jLnhtbFBLBQYAAAAABgAGAFkBAADdBQAAAAA=&#10;">
                <v:fill on="f" focussize="0,0"/>
                <v:stroke on="f" weight="0.5pt"/>
                <v:imagedata o:title=""/>
                <o:lock v:ext="edit" aspectratio="f"/>
                <v:textbox>
                  <w:txbxContent>
                    <w:p>
                      <w:pPr>
                        <w:rPr>
                          <w:b/>
                          <w:color w:val="C7EDCC"/>
                          <w:sz w:val="24"/>
                        </w:rPr>
                      </w:pPr>
                      <w:r>
                        <w:rPr>
                          <w:b/>
                          <w:color w:val="C7EDCC"/>
                          <w:sz w:val="24"/>
                        </w:rPr>
                        <w:t>岳阳市</w:t>
                      </w:r>
                      <w:r>
                        <w:rPr>
                          <w:rFonts w:hint="eastAsia"/>
                          <w:b/>
                          <w:color w:val="C7EDCC"/>
                          <w:sz w:val="24"/>
                        </w:rPr>
                        <w:t>南湖风景区常规监测点</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2576195</wp:posOffset>
                </wp:positionH>
                <wp:positionV relativeFrom="paragraph">
                  <wp:posOffset>1024255</wp:posOffset>
                </wp:positionV>
                <wp:extent cx="1646555" cy="322580"/>
                <wp:effectExtent l="533400" t="6350" r="10795" b="375920"/>
                <wp:wrapNone/>
                <wp:docPr id="82" name="圆角矩形标注 82"/>
                <wp:cNvGraphicFramePr/>
                <a:graphic xmlns:a="http://schemas.openxmlformats.org/drawingml/2006/main">
                  <a:graphicData uri="http://schemas.microsoft.com/office/word/2010/wordprocessingShape">
                    <wps:wsp>
                      <wps:cNvSpPr/>
                      <wps:spPr>
                        <a:xfrm>
                          <a:off x="4264025" y="4029075"/>
                          <a:ext cx="1646555" cy="322580"/>
                        </a:xfrm>
                        <a:prstGeom prst="wedgeRoundRectCallout">
                          <a:avLst>
                            <a:gd name="adj1" fmla="val -79436"/>
                            <a:gd name="adj2" fmla="val 157272"/>
                            <a:gd name="adj3" fmla="val 16667"/>
                          </a:avLst>
                        </a:prstGeom>
                        <a:noFill/>
                        <a:ln w="12700" cap="flat" cmpd="sng" algn="ctr">
                          <a:solidFill>
                            <a:srgbClr val="FF0000"/>
                          </a:solidFill>
                          <a:prstDash val="solid"/>
                          <a:miter lim="800000"/>
                        </a:ln>
                        <a:effectLst/>
                      </wps:spPr>
                      <wps:txbx>
                        <w:txbxContent>
                          <w:p>
                            <w:pPr>
                              <w:jc w:val="center"/>
                              <w:rPr>
                                <w:b/>
                                <w:bCs/>
                                <w:color w:val="C7EDCC"/>
                                <w:sz w:val="24"/>
                                <w:szCs w:val="32"/>
                              </w:rPr>
                            </w:pPr>
                            <w:r>
                              <w:rPr>
                                <w:rFonts w:hint="eastAsia"/>
                                <w:b/>
                                <w:bCs/>
                                <w:color w:val="C7EDCC"/>
                                <w:sz w:val="24"/>
                                <w:szCs w:val="32"/>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02.85pt;margin-top:80.65pt;height:25.4pt;width:129.65pt;z-index:251683840;v-text-anchor:middle;mso-width-relative:page;mso-height-relative:page;" filled="f" stroked="t" coordsize="21600,21600" o:gfxdata="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Dfd1+DYAAAACwEAAA8AAAAAAAAAAQAgAAAAIgAAAGRycy9kb3ducmV2LnhtbFBLAQIU&#10;ABQAAAAIAIdO4kDqCIWa1wIAAIYFAAAOAAAAAAAAAAEAIAAAACcBAABkcnMvZTJvRG9jLnhtbFBL&#10;BQYAAAAABgAGAFkBAABwBgAAAAA=&#10;" adj="-6358,44771,14400">
                <v:fill on="f" focussize="0,0"/>
                <v:stroke weight="1pt" color="#FF0000" miterlimit="8" joinstyle="miter"/>
                <v:imagedata o:title=""/>
                <o:lock v:ext="edit" aspectratio="f"/>
                <v:textbox>
                  <w:txbxContent>
                    <w:p>
                      <w:pPr>
                        <w:jc w:val="center"/>
                        <w:rPr>
                          <w:b/>
                          <w:bCs/>
                          <w:color w:val="C7EDCC"/>
                          <w:sz w:val="24"/>
                          <w:szCs w:val="32"/>
                        </w:rPr>
                      </w:pPr>
                      <w:r>
                        <w:rPr>
                          <w:rFonts w:hint="eastAsia"/>
                          <w:b/>
                          <w:bCs/>
                          <w:color w:val="C7EDCC"/>
                          <w:sz w:val="24"/>
                          <w:szCs w:val="32"/>
                        </w:rPr>
                        <w:t>项目所在地</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4308475</wp:posOffset>
                </wp:positionH>
                <wp:positionV relativeFrom="paragraph">
                  <wp:posOffset>4668520</wp:posOffset>
                </wp:positionV>
                <wp:extent cx="127000" cy="126365"/>
                <wp:effectExtent l="6350" t="6350" r="19050" b="19685"/>
                <wp:wrapNone/>
                <wp:docPr id="76" name="椭圆 76"/>
                <wp:cNvGraphicFramePr/>
                <a:graphic xmlns:a="http://schemas.openxmlformats.org/drawingml/2006/main">
                  <a:graphicData uri="http://schemas.microsoft.com/office/word/2010/wordprocessingShape">
                    <wps:wsp>
                      <wps:cNvSpPr/>
                      <wps:spPr>
                        <a:xfrm>
                          <a:off x="0" y="0"/>
                          <a:ext cx="127000" cy="126365"/>
                        </a:xfrm>
                        <a:prstGeom prst="ellipse">
                          <a:avLst/>
                        </a:prstGeom>
                        <a:solidFill>
                          <a:srgbClr val="000000"/>
                        </a:solidFill>
                        <a:ln w="12700" cap="flat" cmpd="sng">
                          <a:solidFill>
                            <a:srgbClr val="000000"/>
                          </a:solidFill>
                          <a:prstDash val="solid"/>
                          <a:miter/>
                          <a:headEnd type="none" w="med" len="med"/>
                          <a:tailEnd type="none" w="med" len="med"/>
                        </a:ln>
                        <a:effectLst/>
                      </wps:spPr>
                      <wps:bodyPr anchor="ctr" anchorCtr="0" upright="1"/>
                    </wps:wsp>
                  </a:graphicData>
                </a:graphic>
              </wp:anchor>
            </w:drawing>
          </mc:Choice>
          <mc:Fallback>
            <w:pict>
              <v:shape id="_x0000_s1026" o:spid="_x0000_s1026" o:spt="3" type="#_x0000_t3" style="position:absolute;left:0pt;margin-left:339.25pt;margin-top:367.6pt;height:9.95pt;width:10pt;z-index:251681792;v-text-anchor:middle;mso-width-relative:page;mso-height-relative:page;" fillcolor="#000000" filled="t" stroked="t" coordsize="21600,21600" o:gfxdata="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ML7HuNoAAAALAQAADwAAAAAAAAABACAAAAAi&#10;AAAAZHJzL2Rvd25yZXYueG1sUEsBAhQAFAAAAAgAh07iQLdRJ60IAgAATAQAAA4AAAAAAAAAAQAg&#10;AAAAKQEAAGRycy9lMm9Eb2MueG1sUEsFBgAAAAAGAAYAWQEAAKMFAAAAAA==&#10;">
                <v:fill on="t" focussize="0,0"/>
                <v:stroke weight="1pt" color="#000000" joinstyle="miter"/>
                <v:imagedata o:title=""/>
                <o:lock v:ext="edit" aspectratio="f"/>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4974590</wp:posOffset>
                </wp:positionH>
                <wp:positionV relativeFrom="paragraph">
                  <wp:posOffset>857885</wp:posOffset>
                </wp:positionV>
                <wp:extent cx="497840" cy="369570"/>
                <wp:effectExtent l="42545" t="28575" r="50165" b="40005"/>
                <wp:wrapNone/>
                <wp:docPr id="71" name="自选图形 1090"/>
                <wp:cNvGraphicFramePr/>
                <a:graphic xmlns:a="http://schemas.openxmlformats.org/drawingml/2006/main">
                  <a:graphicData uri="http://schemas.microsoft.com/office/word/2010/wordprocessingShape">
                    <wps:wsp>
                      <wps:cNvSpPr/>
                      <wps:spPr>
                        <a:xfrm>
                          <a:off x="0" y="0"/>
                          <a:ext cx="497840" cy="369570"/>
                        </a:xfrm>
                        <a:custGeom>
                          <a:avLst/>
                          <a:gdLst>
                            <a:gd name="A1" fmla="val 0"/>
                            <a:gd name="A2" fmla="val 0"/>
                          </a:gdLst>
                          <a:ahLst/>
                          <a:cxnLst>
                            <a:cxn ang="16187392">
                              <a:pos x="126" y="0"/>
                            </a:cxn>
                            <a:cxn ang="10747904">
                              <a:pos x="0" y="87"/>
                            </a:cxn>
                            <a:cxn ang="5373952">
                              <a:pos x="48" y="227"/>
                            </a:cxn>
                            <a:cxn ang="5373952">
                              <a:pos x="204" y="227"/>
                            </a:cxn>
                            <a:cxn ang="0">
                              <a:pos x="252" y="87"/>
                            </a:cxn>
                          </a:cxnLst>
                          <a:pathLst>
                            <a:path w="253" h="228">
                              <a:moveTo>
                                <a:pt x="0" y="87"/>
                              </a:moveTo>
                              <a:lnTo>
                                <a:pt x="96" y="87"/>
                              </a:lnTo>
                              <a:lnTo>
                                <a:pt x="126" y="0"/>
                              </a:lnTo>
                              <a:lnTo>
                                <a:pt x="156" y="87"/>
                              </a:lnTo>
                              <a:lnTo>
                                <a:pt x="252" y="87"/>
                              </a:lnTo>
                              <a:lnTo>
                                <a:pt x="174" y="140"/>
                              </a:lnTo>
                              <a:lnTo>
                                <a:pt x="204" y="227"/>
                              </a:lnTo>
                              <a:lnTo>
                                <a:pt x="126" y="174"/>
                              </a:lnTo>
                              <a:lnTo>
                                <a:pt x="48" y="227"/>
                              </a:lnTo>
                              <a:lnTo>
                                <a:pt x="78" y="140"/>
                              </a:lnTo>
                              <a:close/>
                            </a:path>
                          </a:pathLst>
                        </a:custGeom>
                        <a:noFill/>
                        <a:ln w="22225" cap="flat" cmpd="sng">
                          <a:solidFill>
                            <a:srgbClr val="000000"/>
                          </a:solidFill>
                          <a:prstDash val="solid"/>
                          <a:miter/>
                          <a:headEnd type="none" w="med" len="med"/>
                          <a:tailEnd type="none" w="med" len="med"/>
                        </a:ln>
                      </wps:spPr>
                      <wps:bodyPr anchor="ctr" anchorCtr="0" upright="1"/>
                    </wps:wsp>
                  </a:graphicData>
                </a:graphic>
              </wp:anchor>
            </w:drawing>
          </mc:Choice>
          <mc:Fallback>
            <w:pict>
              <v:shape id="自选图形 1090" o:spid="_x0000_s1026" o:spt="100" style="position:absolute;left:0pt;margin-left:391.7pt;margin-top:67.55pt;height:29.1pt;width:39.2pt;z-index:251679744;v-text-anchor:middle;mso-width-relative:page;mso-height-relative:page;" filled="f" stroked="t" coordsize="253,228" o:gfxdata="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CWuEe72AAAAAsBAAAPAAAAAAAA&#10;AAEAIAAAACIAAABkcnMvZG93bnJldi54bWxQSwECFAAUAAAACACHTuJAr5r6JvYCAABFBwAADgAA&#10;AAAAAAABACAAAAAnAQAAZHJzL2Uyb0RvYy54bWxQSwUGAAAAAAYABgBZAQAAjwYAAAAA&#10;" path="m0,87l96,87,126,0,156,87,252,87,174,140,204,227,126,174,48,227,78,140xe">
                <v:path o:connectlocs="126,0;0,87;48,227;204,227;252,87" o:connectangles="247,164,82,82,0"/>
                <v:fill on="f" focussize="0,0"/>
                <v:stroke weight="1.75pt" color="#000000" joinstyle="miter"/>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4598035</wp:posOffset>
                </wp:positionH>
                <wp:positionV relativeFrom="paragraph">
                  <wp:posOffset>559435</wp:posOffset>
                </wp:positionV>
                <wp:extent cx="1612265" cy="299720"/>
                <wp:effectExtent l="0" t="0" r="0" b="0"/>
                <wp:wrapNone/>
                <wp:docPr id="75" name="文本框 75"/>
                <wp:cNvGraphicFramePr/>
                <a:graphic xmlns:a="http://schemas.openxmlformats.org/drawingml/2006/main">
                  <a:graphicData uri="http://schemas.microsoft.com/office/word/2010/wordprocessingShape">
                    <wps:wsp>
                      <wps:cNvSpPr txBox="1"/>
                      <wps:spPr>
                        <a:xfrm>
                          <a:off x="2008505" y="2224405"/>
                          <a:ext cx="1612265" cy="299720"/>
                        </a:xfrm>
                        <a:prstGeom prst="rect">
                          <a:avLst/>
                        </a:prstGeom>
                        <a:noFill/>
                        <a:ln w="6350">
                          <a:noFill/>
                        </a:ln>
                        <a:effectLst/>
                      </wps:spPr>
                      <wps:txbx>
                        <w:txbxContent>
                          <w:p>
                            <w:pPr>
                              <w:rPr>
                                <w:b/>
                                <w:bCs/>
                                <w:color w:val="C7EDCC"/>
                                <w:sz w:val="24"/>
                                <w:szCs w:val="32"/>
                              </w:rPr>
                            </w:pPr>
                            <w:r>
                              <w:rPr>
                                <w:rFonts w:hint="eastAsia"/>
                                <w:b/>
                                <w:bCs/>
                                <w:color w:val="C7EDCC"/>
                                <w:sz w:val="24"/>
                                <w:szCs w:val="32"/>
                              </w:rPr>
                              <w:t>东风湖水质监测断面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05pt;margin-top:44.05pt;height:23.6pt;width:126.95pt;z-index:251680768;mso-width-relative:page;mso-height-relative:page;" filled="f" stroked="f" coordsize="21600,21600" o:gfxdata="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TbyO2wAAAAoBAAAPAAAA&#10;AAAAAAEAIAAAACIAAABkcnMvZG93bnJldi54bWxQSwECFAAUAAAACACHTuJATt34TEsCAACCBAAA&#10;DgAAAAAAAAABACAAAAAqAQAAZHJzL2Uyb0RvYy54bWxQSwUGAAAAAAYABgBZAQAA5wUAAAAA&#10;">
                <v:fill on="f" focussize="0,0"/>
                <v:stroke on="f" weight="0.5pt"/>
                <v:imagedata o:title=""/>
                <o:lock v:ext="edit" aspectratio="f"/>
                <v:textbox>
                  <w:txbxContent>
                    <w:p>
                      <w:pPr>
                        <w:rPr>
                          <w:b/>
                          <w:bCs/>
                          <w:color w:val="C7EDCC"/>
                          <w:sz w:val="24"/>
                          <w:szCs w:val="32"/>
                        </w:rPr>
                      </w:pPr>
                      <w:r>
                        <w:rPr>
                          <w:rFonts w:hint="eastAsia"/>
                          <w:b/>
                          <w:bCs/>
                          <w:color w:val="C7EDCC"/>
                          <w:sz w:val="24"/>
                          <w:szCs w:val="32"/>
                        </w:rPr>
                        <w:t>东风湖水质监测断面</w:t>
                      </w:r>
                    </w:p>
                  </w:txbxContent>
                </v:textbox>
              </v:shape>
            </w:pict>
          </mc:Fallback>
        </mc:AlternateContent>
      </w:r>
      <w:r>
        <w:drawing>
          <wp:inline distT="0" distB="0" distL="114300" distR="114300">
            <wp:extent cx="8687435" cy="4901565"/>
            <wp:effectExtent l="0" t="0" r="18415" b="13335"/>
            <wp:docPr id="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8"/>
                    <pic:cNvPicPr>
                      <a:picLocks noChangeAspect="1"/>
                    </pic:cNvPicPr>
                  </pic:nvPicPr>
                  <pic:blipFill>
                    <a:blip r:embed="rId49" cstate="print"/>
                    <a:stretch>
                      <a:fillRect/>
                    </a:stretch>
                  </pic:blipFill>
                  <pic:spPr>
                    <a:xfrm>
                      <a:off x="0" y="0"/>
                      <a:ext cx="8687435" cy="4901565"/>
                    </a:xfrm>
                    <a:prstGeom prst="rect">
                      <a:avLst/>
                    </a:prstGeom>
                    <a:noFill/>
                    <a:ln>
                      <a:noFill/>
                    </a:ln>
                  </pic:spPr>
                </pic:pic>
              </a:graphicData>
            </a:graphic>
          </wp:inline>
        </w:drawing>
      </w:r>
      <w:r>
        <mc:AlternateContent>
          <mc:Choice Requires="wpg">
            <w:drawing>
              <wp:anchor distT="0" distB="0" distL="114300" distR="114300" simplePos="0" relativeHeight="251678720" behindDoc="0" locked="0" layoutInCell="1" allowOverlap="1">
                <wp:simplePos x="0" y="0"/>
                <wp:positionH relativeFrom="column">
                  <wp:posOffset>7319645</wp:posOffset>
                </wp:positionH>
                <wp:positionV relativeFrom="paragraph">
                  <wp:posOffset>3590925</wp:posOffset>
                </wp:positionV>
                <wp:extent cx="1356360" cy="894080"/>
                <wp:effectExtent l="0" t="0" r="0" b="0"/>
                <wp:wrapNone/>
                <wp:docPr id="70" name="组合 1084"/>
                <wp:cNvGraphicFramePr/>
                <a:graphic xmlns:a="http://schemas.openxmlformats.org/drawingml/2006/main">
                  <a:graphicData uri="http://schemas.microsoft.com/office/word/2010/wordprocessingGroup">
                    <wpg:wgp>
                      <wpg:cNvGrpSpPr/>
                      <wpg:grpSpPr>
                        <a:xfrm>
                          <a:off x="0" y="0"/>
                          <a:ext cx="1356360" cy="894080"/>
                          <a:chOff x="17023" y="648469"/>
                          <a:chExt cx="2136" cy="1408203"/>
                        </a:xfrm>
                      </wpg:grpSpPr>
                      <wps:wsp>
                        <wps:cNvPr id="61" name="矩形 1088"/>
                        <wps:cNvSpPr/>
                        <wps:spPr>
                          <a:xfrm>
                            <a:off x="17023" y="648469"/>
                            <a:ext cx="2136" cy="1408"/>
                          </a:xfrm>
                          <a:prstGeom prst="rect">
                            <a:avLst/>
                          </a:prstGeom>
                          <a:solidFill>
                            <a:srgbClr val="FFFFFF"/>
                          </a:solidFill>
                          <a:ln w="12700" cap="flat" cmpd="sng">
                            <a:solidFill>
                              <a:srgbClr val="41719C"/>
                            </a:solidFill>
                            <a:prstDash val="solid"/>
                            <a:miter/>
                            <a:headEnd type="none" w="med" len="med"/>
                            <a:tailEnd type="none" w="med" len="med"/>
                          </a:ln>
                        </wps:spPr>
                        <wps:txbx>
                          <w:txbxContent>
                            <w:p>
                              <w:pPr>
                                <w:jc w:val="center"/>
                                <w:rPr>
                                  <w:color w:val="000000"/>
                                  <w:sz w:val="20"/>
                                  <w:szCs w:val="22"/>
                                </w:rPr>
                              </w:pPr>
                              <w:r>
                                <w:rPr>
                                  <w:rFonts w:hint="eastAsia"/>
                                  <w:color w:val="000000"/>
                                  <w:sz w:val="20"/>
                                  <w:szCs w:val="22"/>
                                </w:rPr>
                                <w:t>图 例</w:t>
                              </w:r>
                            </w:p>
                            <w:p>
                              <w:pPr>
                                <w:pStyle w:val="2"/>
                                <w:spacing w:line="240" w:lineRule="auto"/>
                                <w:ind w:firstLine="0" w:firstLineChars="0"/>
                                <w:rPr>
                                  <w:color w:val="0D0D0D"/>
                                  <w:sz w:val="20"/>
                                  <w:szCs w:val="22"/>
                                </w:rPr>
                              </w:pPr>
                              <w:r>
                                <w:rPr>
                                  <w:rFonts w:hint="eastAsia"/>
                                  <w:color w:val="0D0D0D"/>
                                  <w:sz w:val="20"/>
                                  <w:szCs w:val="22"/>
                                </w:rPr>
                                <w:t xml:space="preserve">  噪声监测布点</w:t>
                              </w:r>
                            </w:p>
                            <w:p>
                              <w:pPr>
                                <w:pStyle w:val="2"/>
                                <w:spacing w:line="240" w:lineRule="auto"/>
                                <w:ind w:firstLine="400"/>
                                <w:rPr>
                                  <w:color w:val="0D0D0D"/>
                                  <w:sz w:val="20"/>
                                  <w:szCs w:val="20"/>
                                </w:rPr>
                              </w:pPr>
                              <w:r>
                                <w:rPr>
                                  <w:rFonts w:hint="eastAsia"/>
                                  <w:color w:val="0D0D0D"/>
                                  <w:sz w:val="20"/>
                                  <w:szCs w:val="20"/>
                                </w:rPr>
                                <w:t>空气质量监测点</w:t>
                              </w:r>
                            </w:p>
                            <w:p>
                              <w:pPr>
                                <w:ind w:firstLine="420" w:firstLineChars="200"/>
                                <w:rPr>
                                  <w:color w:val="0D0D0D"/>
                                </w:rPr>
                              </w:pPr>
                              <w:r>
                                <w:rPr>
                                  <w:rFonts w:hint="eastAsia"/>
                                  <w:color w:val="0D0D0D"/>
                                </w:rPr>
                                <w:t>地表水监测点</w:t>
                              </w:r>
                            </w:p>
                          </w:txbxContent>
                        </wps:txbx>
                        <wps:bodyPr anchor="ctr" anchorCtr="0" upright="1"/>
                      </wps:wsp>
                      <wps:wsp>
                        <wps:cNvPr id="62" name="自选图形 1087"/>
                        <wps:cNvSpPr/>
                        <wps:spPr>
                          <a:xfrm>
                            <a:off x="17249" y="648916"/>
                            <a:ext cx="230" cy="134"/>
                          </a:xfrm>
                          <a:prstGeom prst="triangle">
                            <a:avLst>
                              <a:gd name="adj" fmla="val 50000"/>
                            </a:avLst>
                          </a:prstGeom>
                          <a:solidFill>
                            <a:srgbClr val="000000"/>
                          </a:solidFill>
                          <a:ln w="12700" cap="flat" cmpd="sng">
                            <a:solidFill>
                              <a:srgbClr val="000000"/>
                            </a:solidFill>
                            <a:prstDash val="solid"/>
                            <a:miter/>
                            <a:headEnd type="none" w="med" len="med"/>
                            <a:tailEnd type="none" w="med" len="med"/>
                          </a:ln>
                        </wps:spPr>
                        <wps:bodyPr anchor="ctr" anchorCtr="0" upright="1"/>
                      </wps:wsp>
                      <wps:wsp>
                        <wps:cNvPr id="68" name="椭圆 1086"/>
                        <wps:cNvSpPr/>
                        <wps:spPr>
                          <a:xfrm>
                            <a:off x="17264" y="649162"/>
                            <a:ext cx="200" cy="199"/>
                          </a:xfrm>
                          <a:prstGeom prst="ellipse">
                            <a:avLst/>
                          </a:prstGeom>
                          <a:solidFill>
                            <a:srgbClr val="000000"/>
                          </a:solidFill>
                          <a:ln w="12700" cap="flat" cmpd="sng">
                            <a:solidFill>
                              <a:srgbClr val="000000"/>
                            </a:solidFill>
                            <a:prstDash val="solid"/>
                            <a:miter/>
                            <a:headEnd type="none" w="med" len="med"/>
                            <a:tailEnd type="none" w="med" len="med"/>
                          </a:ln>
                        </wps:spPr>
                        <wps:bodyPr anchor="ctr" anchorCtr="0" upright="1"/>
                      </wps:wsp>
                      <wps:wsp>
                        <wps:cNvPr id="69" name="自选图形 1085"/>
                        <wps:cNvSpPr/>
                        <wps:spPr>
                          <a:xfrm>
                            <a:off x="17262" y="649434"/>
                            <a:ext cx="253" cy="228"/>
                          </a:xfrm>
                          <a:custGeom>
                            <a:avLst/>
                            <a:gdLst>
                              <a:gd name="A1" fmla="val 0"/>
                              <a:gd name="A2" fmla="val 0"/>
                            </a:gdLst>
                            <a:ahLst/>
                            <a:cxnLst>
                              <a:cxn ang="16187392">
                                <a:pos x="126" y="0"/>
                              </a:cxn>
                              <a:cxn ang="10747904">
                                <a:pos x="0" y="87"/>
                              </a:cxn>
                              <a:cxn ang="5373952">
                                <a:pos x="48" y="227"/>
                              </a:cxn>
                              <a:cxn ang="5373952">
                                <a:pos x="204" y="227"/>
                              </a:cxn>
                              <a:cxn ang="0">
                                <a:pos x="252" y="87"/>
                              </a:cxn>
                            </a:cxnLst>
                            <a:pathLst>
                              <a:path w="253" h="228">
                                <a:moveTo>
                                  <a:pt x="0" y="87"/>
                                </a:moveTo>
                                <a:lnTo>
                                  <a:pt x="96" y="87"/>
                                </a:lnTo>
                                <a:lnTo>
                                  <a:pt x="126" y="0"/>
                                </a:lnTo>
                                <a:lnTo>
                                  <a:pt x="156" y="87"/>
                                </a:lnTo>
                                <a:lnTo>
                                  <a:pt x="252" y="87"/>
                                </a:lnTo>
                                <a:lnTo>
                                  <a:pt x="174" y="140"/>
                                </a:lnTo>
                                <a:lnTo>
                                  <a:pt x="204" y="227"/>
                                </a:lnTo>
                                <a:lnTo>
                                  <a:pt x="126" y="174"/>
                                </a:lnTo>
                                <a:lnTo>
                                  <a:pt x="48" y="227"/>
                                </a:lnTo>
                                <a:lnTo>
                                  <a:pt x="78" y="140"/>
                                </a:lnTo>
                                <a:close/>
                              </a:path>
                            </a:pathLst>
                          </a:custGeom>
                          <a:noFill/>
                          <a:ln w="12700" cap="flat" cmpd="sng">
                            <a:solidFill>
                              <a:srgbClr val="000000"/>
                            </a:solidFill>
                            <a:prstDash val="solid"/>
                            <a:miter/>
                            <a:headEnd type="none" w="med" len="med"/>
                            <a:tailEnd type="none" w="med" len="med"/>
                          </a:ln>
                        </wps:spPr>
                        <wps:bodyPr anchor="ctr" anchorCtr="0" upright="1"/>
                      </wps:wsp>
                    </wpg:wgp>
                  </a:graphicData>
                </a:graphic>
              </wp:anchor>
            </w:drawing>
          </mc:Choice>
          <mc:Fallback>
            <w:pict>
              <v:group id="组合 1084" o:spid="_x0000_s1026" o:spt="203" style="position:absolute;left:0pt;margin-left:576.35pt;margin-top:282.75pt;height:70.4pt;width:106.8pt;z-index:251678720;mso-width-relative:page;mso-height-relative:page;" coordorigin="17023,648469" coordsize="2136,1408203" o:gfxdata="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">
                <o:lock v:ext="edit" aspectratio="f"/>
                <v:rect id="矩形 1088" o:spid="_x0000_s1026" o:spt="1" style="position:absolute;left:17023;top:648469;height:1408;width:2136;v-text-anchor:middle;" fillcolor="#FFFFFF" filled="t" stroked="t" coordsize="21600,21600" o:gfxdata="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SPQKugAAANsA&#10;AAAPAAAAAAAAAAEAIAAAACIAAABkcnMvZG93bnJldi54bWxQSwECFAAUAAAACACHTuJAMy8FnjsA&#10;AAA5AAAAEAAAAAAAAAABACAAAAAJAQAAZHJzL3NoYXBleG1sLnhtbFBLBQYAAAAABgAGAFsBAACz&#10;AwAAAAA=&#10;">
                  <v:fill on="t" focussize="0,0"/>
                  <v:stroke weight="1pt" color="#41719C" joinstyle="miter"/>
                  <v:imagedata o:title=""/>
                  <o:lock v:ext="edit" aspectratio="f"/>
                  <v:textbox>
                    <w:txbxContent>
                      <w:p>
                        <w:pPr>
                          <w:jc w:val="center"/>
                          <w:rPr>
                            <w:color w:val="000000"/>
                            <w:sz w:val="20"/>
                            <w:szCs w:val="22"/>
                          </w:rPr>
                        </w:pPr>
                        <w:r>
                          <w:rPr>
                            <w:rFonts w:hint="eastAsia"/>
                            <w:color w:val="000000"/>
                            <w:sz w:val="20"/>
                            <w:szCs w:val="22"/>
                          </w:rPr>
                          <w:t>图 例</w:t>
                        </w:r>
                      </w:p>
                      <w:p>
                        <w:pPr>
                          <w:pStyle w:val="2"/>
                          <w:spacing w:line="240" w:lineRule="auto"/>
                          <w:ind w:firstLine="0" w:firstLineChars="0"/>
                          <w:rPr>
                            <w:color w:val="0D0D0D"/>
                            <w:sz w:val="20"/>
                            <w:szCs w:val="22"/>
                          </w:rPr>
                        </w:pPr>
                        <w:r>
                          <w:rPr>
                            <w:rFonts w:hint="eastAsia"/>
                            <w:color w:val="0D0D0D"/>
                            <w:sz w:val="20"/>
                            <w:szCs w:val="22"/>
                          </w:rPr>
                          <w:t xml:space="preserve">  噪声监测布点</w:t>
                        </w:r>
                      </w:p>
                      <w:p>
                        <w:pPr>
                          <w:pStyle w:val="2"/>
                          <w:spacing w:line="240" w:lineRule="auto"/>
                          <w:ind w:firstLine="400"/>
                          <w:rPr>
                            <w:color w:val="0D0D0D"/>
                            <w:sz w:val="20"/>
                            <w:szCs w:val="20"/>
                          </w:rPr>
                        </w:pPr>
                        <w:r>
                          <w:rPr>
                            <w:rFonts w:hint="eastAsia"/>
                            <w:color w:val="0D0D0D"/>
                            <w:sz w:val="20"/>
                            <w:szCs w:val="20"/>
                          </w:rPr>
                          <w:t>空气质量监测点</w:t>
                        </w:r>
                      </w:p>
                      <w:p>
                        <w:pPr>
                          <w:ind w:firstLine="420" w:firstLineChars="200"/>
                          <w:rPr>
                            <w:color w:val="0D0D0D"/>
                          </w:rPr>
                        </w:pPr>
                        <w:r>
                          <w:rPr>
                            <w:rFonts w:hint="eastAsia"/>
                            <w:color w:val="0D0D0D"/>
                          </w:rPr>
                          <w:t>地表水监测点</w:t>
                        </w:r>
                      </w:p>
                    </w:txbxContent>
                  </v:textbox>
                </v:rect>
                <v:shape id="自选图形 1087" o:spid="_x0000_s1026" o:spt="5" type="#_x0000_t5" style="position:absolute;left:17249;top:648916;height:134;width:230;v-text-anchor:middle;" fillcolor="#000000" filled="t" stroked="t" coordsize="21600,21600" o:gfxdata="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OKL4A&#10;AADbAAAADwAAAAAAAAABACAAAAAiAAAAZHJzL2Rvd25yZXYueG1sUEsBAhQAFAAAAAgAh07iQDMv&#10;BZ47AAAAOQAAABAAAAAAAAAAAQAgAAAADQEAAGRycy9zaGFwZXhtbC54bWxQSwUGAAAAAAYABgBb&#10;AQAAtwMAAAAA&#10;" adj="10800">
                  <v:fill on="t" focussize="0,0"/>
                  <v:stroke weight="1pt" color="#000000" joinstyle="miter"/>
                  <v:imagedata o:title=""/>
                  <o:lock v:ext="edit" aspectratio="f"/>
                </v:shape>
                <v:shape id="椭圆 1086" o:spid="_x0000_s1026" o:spt="3" type="#_x0000_t3" style="position:absolute;left:17264;top:649162;height:199;width:200;v-text-anchor:middle;" fillcolor="#000000" filled="t" stroked="t" coordsize="21600,21600" o:gfxdata="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SMUO62AAAA2wAAAA8A&#10;AAAAAAAAAQAgAAAAIgAAAGRycy9kb3ducmV2LnhtbFBLAQIUABQAAAAIAIdO4kAzLwWeOwAAADkA&#10;AAAQAAAAAAAAAAEAIAAAAAUBAABkcnMvc2hhcGV4bWwueG1sUEsFBgAAAAAGAAYAWwEAAK8DAAAA&#10;AA==&#10;">
                  <v:fill on="t" focussize="0,0"/>
                  <v:stroke weight="1pt" color="#000000" joinstyle="miter"/>
                  <v:imagedata o:title=""/>
                  <o:lock v:ext="edit" aspectratio="f"/>
                </v:shape>
                <v:shape id="自选图形 1085" o:spid="_x0000_s1026" o:spt="100" style="position:absolute;left:17262;top:649434;height:228;width:253;v-text-anchor:middle;" filled="f" stroked="t" coordsize="253,228" o:gfxdata="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L8Dqb4A&#10;AADbAAAADwAAAAAAAAABACAAAAAiAAAAZHJzL2Rvd25yZXYueG1sUEsBAhQAFAAAAAgAh07iQDMv&#10;BZ47AAAAOQAAABAAAAAAAAAAAQAgAAAADQEAAGRycy9zaGFwZXhtbC54bWxQSwUGAAAAAAYABgBb&#10;AQAAtwMAAAAA&#10;" path="m0,87l96,87,126,0,156,87,252,87,174,140,204,227,126,174,48,227,78,140xe">
                  <v:path o:connectlocs="126,0;0,87;48,227;204,227;252,87" o:connectangles="247,164,82,82,0"/>
                  <v:fill on="f" focussize="0,0"/>
                  <v:stroke weight="1pt" color="#000000" joinstyle="miter"/>
                  <v:imagedata o:title=""/>
                  <o:lock v:ext="edit" aspectratio="f"/>
                </v:shape>
              </v:group>
            </w:pict>
          </mc:Fallback>
        </mc:AlternateContent>
      </w:r>
      <w:r>
        <w:rPr>
          <w:sz w:val="24"/>
        </w:rPr>
        <mc:AlternateContent>
          <mc:Choice Requires="wpg">
            <w:drawing>
              <wp:anchor distT="0" distB="0" distL="114300" distR="114300" simplePos="0" relativeHeight="251677696" behindDoc="0" locked="0" layoutInCell="1" allowOverlap="1">
                <wp:simplePos x="0" y="0"/>
                <wp:positionH relativeFrom="column">
                  <wp:posOffset>1484630</wp:posOffset>
                </wp:positionH>
                <wp:positionV relativeFrom="paragraph">
                  <wp:posOffset>1149350</wp:posOffset>
                </wp:positionV>
                <wp:extent cx="1199515" cy="410845"/>
                <wp:effectExtent l="4445" t="5080" r="15240" b="22225"/>
                <wp:wrapNone/>
                <wp:docPr id="65" name="组合 1081"/>
                <wp:cNvGraphicFramePr/>
                <a:graphic xmlns:a="http://schemas.openxmlformats.org/drawingml/2006/main">
                  <a:graphicData uri="http://schemas.microsoft.com/office/word/2010/wordprocessingGroup">
                    <wpg:wgp>
                      <wpg:cNvGrpSpPr/>
                      <wpg:grpSpPr>
                        <a:xfrm>
                          <a:off x="0" y="0"/>
                          <a:ext cx="1199515" cy="410845"/>
                          <a:chOff x="8040" y="21116"/>
                          <a:chExt cx="1665" cy="789"/>
                        </a:xfrm>
                        <a:effectLst/>
                      </wpg:grpSpPr>
                      <wps:wsp>
                        <wps:cNvPr id="66" name="等腰三角形 6"/>
                        <wps:cNvSpPr/>
                        <wps:spPr>
                          <a:xfrm>
                            <a:off x="8672" y="21685"/>
                            <a:ext cx="208" cy="220"/>
                          </a:xfrm>
                          <a:prstGeom prst="triangle">
                            <a:avLst/>
                          </a:prstGeom>
                          <a:solidFill>
                            <a:srgbClr val="000000"/>
                          </a:solidFill>
                          <a:ln w="12700" cap="flat" cmpd="sng" algn="ctr">
                            <a:solidFill>
                              <a:srgbClr val="000000">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7" name="文本框 7"/>
                        <wps:cNvSpPr txBox="1"/>
                        <wps:spPr>
                          <a:xfrm>
                            <a:off x="8040" y="21116"/>
                            <a:ext cx="1665" cy="518"/>
                          </a:xfrm>
                          <a:prstGeom prst="rect">
                            <a:avLst/>
                          </a:prstGeom>
                          <a:solidFill>
                            <a:srgbClr val="FFFFFF"/>
                          </a:solidFill>
                          <a:ln w="6350">
                            <a:solidFill>
                              <a:prstClr val="black"/>
                            </a:solidFill>
                          </a:ln>
                          <a:effectLst/>
                        </wps:spPr>
                        <wps:txbx>
                          <w:txbxContent>
                            <w:p>
                              <w:pPr>
                                <w:rPr>
                                  <w:sz w:val="18"/>
                                  <w:szCs w:val="18"/>
                                </w:rPr>
                              </w:pPr>
                              <w:r>
                                <w:rPr>
                                  <w:rFonts w:hint="eastAsia"/>
                                  <w:sz w:val="18"/>
                                  <w:szCs w:val="18"/>
                                </w:rPr>
                                <w:t>2#厂界北侧30m处：</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1081" o:spid="_x0000_s1026" o:spt="203" style="position:absolute;left:0pt;margin-left:116.9pt;margin-top:90.5pt;height:32.35pt;width:94.45pt;z-index:251677696;mso-width-relative:page;mso-height-relative:page;" coordorigin="8040,21116" coordsize="1665,789" o:gfxdata="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">
                <o:lock v:ext="edit" aspectratio="f"/>
                <v:shape id="等腰三角形 6" o:spid="_x0000_s1026" o:spt="5" type="#_x0000_t5" style="position:absolute;left:8672;top:21685;height:220;width:208;v-text-anchor:middle;" fillcolor="#000000" filled="t" stroked="t" coordsize="21600,21600" o:gfxdata="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oIK74A&#10;AADbAAAADwAAAAAAAAABACAAAAAiAAAAZHJzL2Rvd25yZXYueG1sUEsBAhQAFAAAAAgAh07iQDMv&#10;BZ47AAAAOQAAABAAAAAAAAAAAQAgAAAADQEAAGRycy9zaGFwZXhtbC54bWxQSwUGAAAAAAYABgBb&#10;AQAAtwMAAAAA&#10;" adj="10800">
                  <v:fill on="t" focussize="0,0"/>
                  <v:stroke weight="1pt" color="#000000" miterlimit="8" joinstyle="miter"/>
                  <v:imagedata o:title=""/>
                  <o:lock v:ext="edit" aspectratio="f"/>
                  <v:textbox>
                    <w:txbxContent>
                      <w:p>
                        <w:pPr>
                          <w:jc w:val="center"/>
                        </w:pPr>
                      </w:p>
                    </w:txbxContent>
                  </v:textbox>
                </v:shape>
                <v:shape id="文本框 7" o:spid="_x0000_s1026" o:spt="202" type="#_x0000_t202" style="position:absolute;left:8040;top:21116;height:518;width:1665;" fillcolor="#FFFFFF" filled="t" stroked="t" coordsize="21600,21600" o:gfxdata="UEsDBAoAAAAAAIdO4kAAAAAAAAAAAAAAAAAEAAAAZHJzL1BLAwQUAAAACACHTuJAKxtpL7cAAADb&#10;AAAADwAAAGRycy9kb3ducmV2LnhtbEWPwQrCMBBE74L/EFbwpqkKV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G2kvtwAAANsAAAAP&#10;AAAAAAAAAAEAIAAAACIAAABkcnMvZG93bnJldi54bWxQSwECFAAUAAAACACHTuJAMy8FnjsAAAA5&#10;AAAAEAAAAAAAAAABACAAAAAGAQAAZHJzL3NoYXBleG1sLnhtbFBLBQYAAAAABgAGAFsBAACwAwAA&#10;AAA=&#10;">
                  <v:fill on="t" focussize="0,0"/>
                  <v:stroke weight="0.5pt" color="#000000" joinstyle="round"/>
                  <v:imagedata o:title=""/>
                  <o:lock v:ext="edit" aspectratio="f"/>
                  <v:textbox>
                    <w:txbxContent>
                      <w:p>
                        <w:pPr>
                          <w:rPr>
                            <w:sz w:val="18"/>
                            <w:szCs w:val="18"/>
                          </w:rPr>
                        </w:pPr>
                        <w:r>
                          <w:rPr>
                            <w:rFonts w:hint="eastAsia"/>
                            <w:sz w:val="18"/>
                            <w:szCs w:val="18"/>
                          </w:rPr>
                          <w:t>2#厂界北侧30m处：</w:t>
                        </w:r>
                      </w:p>
                    </w:txbxContent>
                  </v:textbox>
                </v:shape>
              </v:group>
            </w:pict>
          </mc:Fallback>
        </mc:AlternateContent>
      </w:r>
      <w:r>
        <w:rPr>
          <w:sz w:val="24"/>
        </w:rPr>
        <mc:AlternateContent>
          <mc:Choice Requires="wpg">
            <w:drawing>
              <wp:anchor distT="0" distB="0" distL="114300" distR="114300" simplePos="0" relativeHeight="251676672" behindDoc="0" locked="0" layoutInCell="1" allowOverlap="1">
                <wp:simplePos x="0" y="0"/>
                <wp:positionH relativeFrom="column">
                  <wp:posOffset>889635</wp:posOffset>
                </wp:positionH>
                <wp:positionV relativeFrom="paragraph">
                  <wp:posOffset>1549400</wp:posOffset>
                </wp:positionV>
                <wp:extent cx="975360" cy="429260"/>
                <wp:effectExtent l="4445" t="4445" r="10795" b="23495"/>
                <wp:wrapNone/>
                <wp:docPr id="64" name="组合 1078"/>
                <wp:cNvGraphicFramePr/>
                <a:graphic xmlns:a="http://schemas.openxmlformats.org/drawingml/2006/main">
                  <a:graphicData uri="http://schemas.microsoft.com/office/word/2010/wordprocessingGroup">
                    <wpg:wgp>
                      <wpg:cNvGrpSpPr/>
                      <wpg:grpSpPr>
                        <a:xfrm>
                          <a:off x="0" y="0"/>
                          <a:ext cx="975360" cy="429260"/>
                          <a:chOff x="4796" y="22108"/>
                          <a:chExt cx="1077" cy="571"/>
                        </a:xfrm>
                        <a:effectLst/>
                      </wpg:grpSpPr>
                      <wps:wsp>
                        <wps:cNvPr id="57" name="等腰三角形 2"/>
                        <wps:cNvSpPr/>
                        <wps:spPr>
                          <a:xfrm>
                            <a:off x="5744" y="22267"/>
                            <a:ext cx="129" cy="143"/>
                          </a:xfrm>
                          <a:prstGeom prst="triangle">
                            <a:avLst/>
                          </a:prstGeom>
                          <a:solidFill>
                            <a:srgbClr val="000000"/>
                          </a:solidFill>
                          <a:ln w="12700" cap="flat" cmpd="sng" algn="ctr">
                            <a:solidFill>
                              <a:srgbClr val="000000">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 name="文本框 3"/>
                        <wps:cNvSpPr txBox="1"/>
                        <wps:spPr>
                          <a:xfrm>
                            <a:off x="4796" y="22108"/>
                            <a:ext cx="846" cy="571"/>
                          </a:xfrm>
                          <a:prstGeom prst="rect">
                            <a:avLst/>
                          </a:prstGeom>
                          <a:solidFill>
                            <a:srgbClr val="FFFFFF"/>
                          </a:solidFill>
                          <a:ln w="6350">
                            <a:solidFill>
                              <a:prstClr val="black"/>
                            </a:solidFill>
                          </a:ln>
                          <a:effectLst/>
                        </wps:spPr>
                        <wps:txbx>
                          <w:txbxContent>
                            <w:p>
                              <w:pPr>
                                <w:rPr>
                                  <w:color w:val="F2F2F2" w:themeColor="background1" w:themeShade="F2"/>
                                  <w:sz w:val="18"/>
                                  <w:szCs w:val="18"/>
                                </w:rPr>
                              </w:pPr>
                              <w:r>
                                <w:rPr>
                                  <w:rFonts w:hint="eastAsia"/>
                                  <w:sz w:val="18"/>
                                  <w:szCs w:val="18"/>
                                </w:rPr>
                                <w:t>1#厂界西侧18m处：</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1078" o:spid="_x0000_s1026" o:spt="203" style="position:absolute;left:0pt;margin-left:70.05pt;margin-top:122pt;height:33.8pt;width:76.8pt;z-index:251676672;mso-width-relative:page;mso-height-relative:page;" coordorigin="4796,22108" coordsize="1077,571" o:gfxdata="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AwIE1q2wAAAAsBAAAPAAAAAAAAAAEAIAAAACIAAABkcnMvZG93&#10;bnJldi54bWxQSwECFAAUAAAACACHTuJAi3UdK4wDAABkCQAADgAAAAAAAAABACAAAAAqAQAAZHJz&#10;L2Uyb0RvYy54bWxQSwUGAAAAAAYABgBZAQAAKAcAAAAA&#10;">
                <o:lock v:ext="edit" aspectratio="f"/>
                <v:shape id="等腰三角形 2" o:spid="_x0000_s1026" o:spt="5" type="#_x0000_t5" style="position:absolute;left:5744;top:22267;height:143;width:129;v-text-anchor:middle;" fillcolor="#000000" filled="t" stroked="t" coordsize="21600,21600" o:gfxdata="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amcN&#10;wAAAANsAAAAPAAAAAAAAAAEAIAAAACIAAABkcnMvZG93bnJldi54bWxQSwECFAAUAAAACACHTuJA&#10;My8FnjsAAAA5AAAAEAAAAAAAAAABACAAAAAPAQAAZHJzL3NoYXBleG1sLnhtbFBLBQYAAAAABgAG&#10;AFsBAAC5AwAAAAA=&#10;" adj="10800">
                  <v:fill on="t" focussize="0,0"/>
                  <v:stroke weight="1pt" color="#000000" miterlimit="8" joinstyle="miter"/>
                  <v:imagedata o:title=""/>
                  <o:lock v:ext="edit" aspectratio="f"/>
                  <v:textbox>
                    <w:txbxContent>
                      <w:p>
                        <w:pPr>
                          <w:jc w:val="center"/>
                        </w:pPr>
                      </w:p>
                    </w:txbxContent>
                  </v:textbox>
                </v:shape>
                <v:shape id="_x0000_s1026" o:spid="_x0000_s1026" o:spt="202" type="#_x0000_t202" style="position:absolute;left:4796;top:22108;height:571;width:846;" fillcolor="#FFFFFF" filled="t" stroked="t" coordsize="21600,21600" o:gfxdata="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m8k4S2AAAA2gAAAA8A&#10;AAAAAAAAAQAgAAAAIgAAAGRycy9kb3ducmV2LnhtbFBLAQIUABQAAAAIAIdO4kAzLwWeOwAAADkA&#10;AAAQAAAAAAAAAAEAIAAAAAUBAABkcnMvc2hhcGV4bWwueG1sUEsFBgAAAAAGAAYAWwEAAK8DAAAA&#10;AA==&#10;">
                  <v:fill on="t" focussize="0,0"/>
                  <v:stroke weight="0.5pt" color="#000000" joinstyle="round"/>
                  <v:imagedata o:title=""/>
                  <o:lock v:ext="edit" aspectratio="f"/>
                  <v:textbox>
                    <w:txbxContent>
                      <w:p>
                        <w:pPr>
                          <w:rPr>
                            <w:color w:val="F2F2F2" w:themeColor="background1" w:themeShade="F2"/>
                            <w:sz w:val="18"/>
                            <w:szCs w:val="18"/>
                          </w:rPr>
                        </w:pPr>
                        <w:r>
                          <w:rPr>
                            <w:rFonts w:hint="eastAsia"/>
                            <w:sz w:val="18"/>
                            <w:szCs w:val="18"/>
                          </w:rPr>
                          <w:t>1#厂界西侧18m处：</w:t>
                        </w:r>
                      </w:p>
                    </w:txbxContent>
                  </v:textbox>
                </v:shape>
              </v:group>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2021840</wp:posOffset>
                </wp:positionH>
                <wp:positionV relativeFrom="paragraph">
                  <wp:posOffset>1669415</wp:posOffset>
                </wp:positionV>
                <wp:extent cx="122555" cy="99060"/>
                <wp:effectExtent l="8890" t="8255" r="20955" b="6985"/>
                <wp:wrapNone/>
                <wp:docPr id="63" name="任意多边形 63"/>
                <wp:cNvGraphicFramePr/>
                <a:graphic xmlns:a="http://schemas.openxmlformats.org/drawingml/2006/main">
                  <a:graphicData uri="http://schemas.microsoft.com/office/word/2010/wordprocessingShape">
                    <wps:wsp>
                      <wps:cNvSpPr/>
                      <wps:spPr>
                        <a:xfrm>
                          <a:off x="0" y="0"/>
                          <a:ext cx="122555" cy="99060"/>
                        </a:xfrm>
                        <a:custGeom>
                          <a:avLst/>
                          <a:gdLst>
                            <a:gd name="connisteX0" fmla="*/ 0 w 1391920"/>
                            <a:gd name="connsiteY0" fmla="*/ 534670 h 1120775"/>
                            <a:gd name="connisteX1" fmla="*/ 1135380 w 1391920"/>
                            <a:gd name="connsiteY1" fmla="*/ 0 h 1120775"/>
                            <a:gd name="connisteX2" fmla="*/ 1391920 w 1391920"/>
                            <a:gd name="connsiteY2" fmla="*/ 593725 h 1120775"/>
                            <a:gd name="connisteX3" fmla="*/ 1340485 w 1391920"/>
                            <a:gd name="connsiteY3" fmla="*/ 762000 h 1120775"/>
                            <a:gd name="connisteX4" fmla="*/ 556895 w 1391920"/>
                            <a:gd name="connsiteY4" fmla="*/ 1120775 h 1120775"/>
                            <a:gd name="connisteX5" fmla="*/ 307340 w 1391920"/>
                            <a:gd name="connsiteY5" fmla="*/ 1084580 h 1120775"/>
                            <a:gd name="connisteX6" fmla="*/ 0 w 1391920"/>
                            <a:gd name="connsiteY6" fmla="*/ 534670 h 11207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391920" h="1120775">
                              <a:moveTo>
                                <a:pt x="0" y="534670"/>
                              </a:moveTo>
                              <a:lnTo>
                                <a:pt x="1135380" y="0"/>
                              </a:lnTo>
                              <a:lnTo>
                                <a:pt x="1391920" y="593725"/>
                              </a:lnTo>
                              <a:lnTo>
                                <a:pt x="1340485" y="762000"/>
                              </a:lnTo>
                              <a:lnTo>
                                <a:pt x="556895" y="1120775"/>
                              </a:lnTo>
                              <a:lnTo>
                                <a:pt x="307340" y="1084580"/>
                              </a:lnTo>
                              <a:lnTo>
                                <a:pt x="0" y="534670"/>
                              </a:lnTo>
                              <a:close/>
                            </a:path>
                          </a:pathLst>
                        </a:custGeom>
                        <a:solidFill>
                          <a:srgbClr val="FF0000">
                            <a:alpha val="30000"/>
                          </a:srgbClr>
                        </a:solidFill>
                        <a:ln w="12700" cap="flat" cmpd="sng" algn="ctr">
                          <a:solidFill>
                            <a:srgbClr val="FF0000">
                              <a:alpha val="48000"/>
                            </a:srgbClr>
                          </a:solidFill>
                          <a:prstDash val="solid"/>
                          <a:miter lim="800000"/>
                        </a:ln>
                        <a:effectLst/>
                      </wps:spPr>
                      <wps:txbx>
                        <w:txbxContent>
                          <w:p>
                            <w:pPr>
                              <w:jc w:val="center"/>
                            </w:pPr>
                          </w:p>
                        </w:txbxContent>
                      </wps:txbx>
                      <wps:bodyPr/>
                    </wps:wsp>
                  </a:graphicData>
                </a:graphic>
              </wp:anchor>
            </w:drawing>
          </mc:Choice>
          <mc:Fallback>
            <w:pict>
              <v:shape id="_x0000_s1026" o:spid="_x0000_s1026" o:spt="100" style="position:absolute;left:0pt;margin-left:159.2pt;margin-top:131.45pt;height:7.8pt;width:9.65pt;z-index:251675648;mso-width-relative:page;mso-height-relative:page;" fillcolor="#FF0000" filled="t" stroked="t" coordsize="1391920,1120775" o:gfxdata="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D8OINc3AAAAAsBAAAPAAAAAAAAAAEAIAAAACIAAABkcnMvZG93&#10;bnJldi54bWxQSwECFAAUAAAACACHTuJAkUFMk4sDAACBCgAADgAAAAAAAAABACAAAAArAQAAZHJz&#10;L2Uyb0RvYy54bWxQSwUGAAAAAAYABgBZAQAAKAcAAAAA&#10;" path="m0,534670l1135380,0,1391920,593725,1340485,762000,556895,1120775,307340,1084580,0,534670xe">
                <v:path textboxrect="0,0,1391920,1120775" o:connectlocs="0,47256;99967,0;122555,52476;118026,67349;49033,99060;27060,95860;0,47256" o:connectangles="0,0,0,0,0,0,0"/>
                <v:fill on="t" opacity="19660f" focussize="0,0"/>
                <v:stroke weight="1pt" color="#FF0000" opacity="31457f" miterlimit="8" joinstyle="miter"/>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1989455</wp:posOffset>
                </wp:positionH>
                <wp:positionV relativeFrom="paragraph">
                  <wp:posOffset>1610995</wp:posOffset>
                </wp:positionV>
                <wp:extent cx="107950" cy="97155"/>
                <wp:effectExtent l="7620" t="7620" r="17780" b="9525"/>
                <wp:wrapNone/>
                <wp:docPr id="56" name="自选图形 1076"/>
                <wp:cNvGraphicFramePr/>
                <a:graphic xmlns:a="http://schemas.openxmlformats.org/drawingml/2006/main">
                  <a:graphicData uri="http://schemas.microsoft.com/office/word/2010/wordprocessingShape">
                    <wps:wsp>
                      <wps:cNvSpPr/>
                      <wps:spPr>
                        <a:xfrm>
                          <a:off x="0" y="0"/>
                          <a:ext cx="107950" cy="97155"/>
                        </a:xfrm>
                        <a:custGeom>
                          <a:avLst/>
                          <a:gdLst>
                            <a:gd name="A1" fmla="val 0"/>
                            <a:gd name="A2" fmla="val 0"/>
                          </a:gdLst>
                          <a:ahLst/>
                          <a:cxnLst>
                            <a:cxn ang="0">
                              <a:pos x="10251" y="19567"/>
                            </a:cxn>
                            <a:cxn ang="0">
                              <a:pos x="0" y="34284"/>
                            </a:cxn>
                            <a:cxn ang="0">
                              <a:pos x="33873" y="97155"/>
                            </a:cxn>
                            <a:cxn ang="0">
                              <a:pos x="107950" y="64741"/>
                            </a:cxn>
                            <a:cxn ang="0">
                              <a:pos x="86377" y="26458"/>
                            </a:cxn>
                            <a:cxn ang="0">
                              <a:pos x="87358" y="2892"/>
                            </a:cxn>
                            <a:cxn ang="0">
                              <a:pos x="86377" y="0"/>
                            </a:cxn>
                            <a:cxn ang="0">
                              <a:pos x="10251" y="19567"/>
                            </a:cxn>
                          </a:cxnLst>
                          <a:pathLst>
                            <a:path w="768985" h="725170">
                              <a:moveTo>
                                <a:pt x="73025" y="146050"/>
                              </a:moveTo>
                              <a:lnTo>
                                <a:pt x="0" y="255905"/>
                              </a:lnTo>
                              <a:lnTo>
                                <a:pt x="241300" y="725170"/>
                              </a:lnTo>
                              <a:lnTo>
                                <a:pt x="768985" y="483235"/>
                              </a:lnTo>
                              <a:lnTo>
                                <a:pt x="615315" y="197485"/>
                              </a:lnTo>
                              <a:lnTo>
                                <a:pt x="622300" y="21590"/>
                              </a:lnTo>
                              <a:lnTo>
                                <a:pt x="615315" y="0"/>
                              </a:lnTo>
                              <a:lnTo>
                                <a:pt x="73025" y="146050"/>
                              </a:lnTo>
                              <a:close/>
                            </a:path>
                          </a:pathLst>
                        </a:custGeom>
                        <a:solidFill>
                          <a:srgbClr val="FF0000">
                            <a:alpha val="32999"/>
                          </a:srgbClr>
                        </a:solidFill>
                        <a:ln w="12700" cap="flat" cmpd="sng">
                          <a:solidFill>
                            <a:srgbClr val="FF0000">
                              <a:alpha val="43999"/>
                            </a:srgbClr>
                          </a:solidFill>
                          <a:prstDash val="solid"/>
                          <a:miter/>
                          <a:headEnd type="none" w="med" len="med"/>
                          <a:tailEnd type="none" w="med" len="med"/>
                        </a:ln>
                      </wps:spPr>
                      <wps:bodyPr upright="1"/>
                    </wps:wsp>
                  </a:graphicData>
                </a:graphic>
              </wp:anchor>
            </w:drawing>
          </mc:Choice>
          <mc:Fallback>
            <w:pict>
              <v:shape id="自选图形 1076" o:spid="_x0000_s1026" o:spt="100" style="position:absolute;left:0pt;margin-left:156.65pt;margin-top:126.85pt;height:7.65pt;width:8.5pt;z-index:251674624;mso-width-relative:page;mso-height-relative:page;" fillcolor="#FF0000" filled="t" stroked="t" coordsize="768985,725170" o:gfxdata="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dZloPtYAAAALAQAADwAAAAAAAAABACAAAAAiAAAAZHJzL2Rv&#10;d25yZXYueG1sUEsBAhQAFAAAAAgAh07iQK7ha5sgAwAACggAAA4AAAAAAAAAAQAgAAAAJQEAAGRy&#10;cy9lMm9Eb2MueG1sUEsFBgAAAAAGAAYAWQEAALcGAAAAAA==&#10;" path="m73025,146050l0,255905,241300,725170,768985,483235,615315,197485,622300,21590,615315,0,73025,146050xe">
                <v:path o:connectlocs="10251,19567;0,34284;33873,97155;107950,64741;86377,26458;87358,2892;86377,0;10251,19567" o:connectangles="0,0,0,0,0,0,0,0"/>
                <v:fill on="t" opacity="21626f" focussize="0,0"/>
                <v:stroke weight="1pt" color="#FF0000" opacity="28835f" joinstyle="miter"/>
                <v:imagedata o:title=""/>
                <o:lock v:ext="edit" aspectratio="f"/>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1886585</wp:posOffset>
                </wp:positionH>
                <wp:positionV relativeFrom="paragraph">
                  <wp:posOffset>1652905</wp:posOffset>
                </wp:positionV>
                <wp:extent cx="95250" cy="147955"/>
                <wp:effectExtent l="6350" t="6350" r="12700" b="17145"/>
                <wp:wrapNone/>
                <wp:docPr id="52" name="自选图形 1075"/>
                <wp:cNvGraphicFramePr/>
                <a:graphic xmlns:a="http://schemas.openxmlformats.org/drawingml/2006/main">
                  <a:graphicData uri="http://schemas.microsoft.com/office/word/2010/wordprocessingShape">
                    <wps:wsp>
                      <wps:cNvSpPr/>
                      <wps:spPr>
                        <a:xfrm>
                          <a:off x="0" y="0"/>
                          <a:ext cx="95250" cy="147955"/>
                        </a:xfrm>
                        <a:custGeom>
                          <a:avLst/>
                          <a:gdLst>
                            <a:gd name="A1" fmla="val 0"/>
                            <a:gd name="A2" fmla="val 0"/>
                          </a:gdLst>
                          <a:ahLst/>
                          <a:cxnLst>
                            <a:cxn ang="0">
                              <a:pos x="19585" y="5654"/>
                            </a:cxn>
                            <a:cxn ang="0">
                              <a:pos x="19050" y="27592"/>
                            </a:cxn>
                            <a:cxn ang="0">
                              <a:pos x="0" y="28128"/>
                            </a:cxn>
                            <a:cxn ang="0">
                              <a:pos x="2052" y="123775"/>
                            </a:cxn>
                            <a:cxn ang="0">
                              <a:pos x="11867" y="128260"/>
                            </a:cxn>
                            <a:cxn ang="0">
                              <a:pos x="20611" y="136108"/>
                            </a:cxn>
                            <a:cxn ang="0">
                              <a:pos x="30381" y="147955"/>
                            </a:cxn>
                            <a:cxn ang="0">
                              <a:pos x="38100" y="147955"/>
                            </a:cxn>
                            <a:cxn ang="0">
                              <a:pos x="92171" y="95061"/>
                            </a:cxn>
                            <a:cxn ang="0">
                              <a:pos x="95250" y="82143"/>
                            </a:cxn>
                            <a:cxn ang="0">
                              <a:pos x="71069" y="5069"/>
                            </a:cxn>
                            <a:cxn ang="0">
                              <a:pos x="63842" y="0"/>
                            </a:cxn>
                            <a:cxn ang="0">
                              <a:pos x="19585" y="5654"/>
                            </a:cxn>
                          </a:cxnLst>
                          <a:pathLst>
                            <a:path w="1355725" h="1927225">
                              <a:moveTo>
                                <a:pt x="278765" y="73660"/>
                              </a:moveTo>
                              <a:lnTo>
                                <a:pt x="271145" y="359410"/>
                              </a:lnTo>
                              <a:lnTo>
                                <a:pt x="0" y="366395"/>
                              </a:lnTo>
                              <a:lnTo>
                                <a:pt x="29210" y="1612265"/>
                              </a:lnTo>
                              <a:lnTo>
                                <a:pt x="168910" y="1670685"/>
                              </a:lnTo>
                              <a:lnTo>
                                <a:pt x="293370" y="1772920"/>
                              </a:lnTo>
                              <a:lnTo>
                                <a:pt x="432435" y="1927225"/>
                              </a:lnTo>
                              <a:lnTo>
                                <a:pt x="542290" y="1927225"/>
                              </a:lnTo>
                              <a:lnTo>
                                <a:pt x="1311910" y="1238250"/>
                              </a:lnTo>
                              <a:lnTo>
                                <a:pt x="1355725" y="1069975"/>
                              </a:lnTo>
                              <a:lnTo>
                                <a:pt x="1011555" y="66040"/>
                              </a:lnTo>
                              <a:lnTo>
                                <a:pt x="908685" y="0"/>
                              </a:lnTo>
                              <a:lnTo>
                                <a:pt x="278765" y="73660"/>
                              </a:lnTo>
                              <a:close/>
                            </a:path>
                          </a:pathLst>
                        </a:custGeom>
                        <a:solidFill>
                          <a:srgbClr val="FF0000">
                            <a:alpha val="29999"/>
                          </a:srgbClr>
                        </a:solidFill>
                        <a:ln w="12700" cap="flat" cmpd="sng">
                          <a:solidFill>
                            <a:srgbClr val="FF0000">
                              <a:alpha val="48000"/>
                            </a:srgbClr>
                          </a:solidFill>
                          <a:prstDash val="solid"/>
                          <a:miter/>
                          <a:headEnd type="none" w="med" len="med"/>
                          <a:tailEnd type="none" w="med" len="med"/>
                        </a:ln>
                      </wps:spPr>
                      <wps:bodyPr upright="1"/>
                    </wps:wsp>
                  </a:graphicData>
                </a:graphic>
              </wp:anchor>
            </w:drawing>
          </mc:Choice>
          <mc:Fallback>
            <w:pict>
              <v:shape id="自选图形 1075" o:spid="_x0000_s1026" o:spt="100" style="position:absolute;left:0pt;margin-left:148.55pt;margin-top:130.15pt;height:11.65pt;width:7.5pt;z-index:251673600;mso-width-relative:page;mso-height-relative:page;" fillcolor="#FF0000" filled="t" stroked="t" coordsize="1355725,1927225" o:gfxdata="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" path="m278765,73660l271145,359410,0,366395,29210,1612265,168910,1670685,293370,1772920,432435,1927225,542290,1927225,1311910,1238250,1355725,1069975,1011555,66040,908685,0,278765,73660xe">
                <v:path o:connectlocs="19585,5654;19050,27592;0,28128;2052,123775;11867,128260;20611,136108;30381,147955;38100,147955;92171,95061;95250,82143;71069,5069;63842,0;19585,5654" o:connectangles="0,0,0,0,0,0,0,0,0,0,0,0,0"/>
                <v:fill on="t" opacity="19660f" focussize="0,0"/>
                <v:stroke weight="1pt" color="#FF0000" opacity="31457f" joinstyle="miter"/>
                <v:imagedata o:title=""/>
                <o:lock v:ext="edit" aspectratio="f"/>
              </v:shape>
            </w:pict>
          </mc:Fallback>
        </mc:AlternateContent>
      </w:r>
    </w:p>
    <w:p>
      <w:pPr>
        <w:rPr>
          <w:sz w:val="24"/>
          <w:szCs w:val="32"/>
        </w:rPr>
      </w:pPr>
      <w:r>
        <w:rPr>
          <w:sz w:val="24"/>
          <w:szCs w:val="32"/>
        </w:rPr>
        <w:t>附图</w:t>
      </w:r>
      <w:r>
        <w:rPr>
          <w:rFonts w:hint="eastAsia"/>
          <w:sz w:val="24"/>
          <w:szCs w:val="32"/>
        </w:rPr>
        <w:t>4岳阳市红线图</w:t>
      </w:r>
    </w:p>
    <w:p>
      <w:pPr>
        <w:rPr>
          <w:b/>
          <w:bCs/>
          <w:sz w:val="24"/>
          <w:szCs w:val="32"/>
        </w:rPr>
        <w:sectPr>
          <w:pgSz w:w="16838" w:h="11906" w:orient="landscape"/>
          <w:pgMar w:top="1800" w:right="1440" w:bottom="1800" w:left="1440" w:header="851" w:footer="1077" w:gutter="0"/>
          <w:cols w:space="425" w:num="1"/>
          <w:docGrid w:linePitch="312" w:charSpace="0"/>
        </w:sectPr>
      </w:pPr>
      <w:r>
        <w:rPr>
          <w:sz w:val="24"/>
          <w:szCs w:val="32"/>
        </w:rPr>
        <mc:AlternateContent>
          <mc:Choice Requires="wps">
            <w:drawing>
              <wp:anchor distT="0" distB="0" distL="114300" distR="114300" simplePos="0" relativeHeight="251684864" behindDoc="0" locked="0" layoutInCell="1" allowOverlap="1">
                <wp:simplePos x="0" y="0"/>
                <wp:positionH relativeFrom="column">
                  <wp:posOffset>4518025</wp:posOffset>
                </wp:positionH>
                <wp:positionV relativeFrom="paragraph">
                  <wp:posOffset>722630</wp:posOffset>
                </wp:positionV>
                <wp:extent cx="1048385" cy="419100"/>
                <wp:effectExtent l="349885" t="6350" r="11430" b="488950"/>
                <wp:wrapNone/>
                <wp:docPr id="84" name="圆角矩形标注 84"/>
                <wp:cNvGraphicFramePr/>
                <a:graphic xmlns:a="http://schemas.openxmlformats.org/drawingml/2006/main">
                  <a:graphicData uri="http://schemas.microsoft.com/office/word/2010/wordprocessingShape">
                    <wps:wsp>
                      <wps:cNvSpPr/>
                      <wps:spPr>
                        <a:xfrm>
                          <a:off x="4264025" y="4029075"/>
                          <a:ext cx="1048385" cy="419100"/>
                        </a:xfrm>
                        <a:prstGeom prst="wedgeRoundRectCallout">
                          <a:avLst>
                            <a:gd name="adj1" fmla="val -79436"/>
                            <a:gd name="adj2" fmla="val 157272"/>
                            <a:gd name="adj3" fmla="val 16667"/>
                          </a:avLst>
                        </a:prstGeom>
                        <a:noFill/>
                        <a:ln w="12700" cap="flat" cmpd="sng" algn="ctr">
                          <a:solidFill>
                            <a:srgbClr val="FF0000"/>
                          </a:solidFill>
                          <a:prstDash val="solid"/>
                          <a:miter lim="800000"/>
                        </a:ln>
                        <a:effectLst/>
                      </wps:spPr>
                      <wps:txbx>
                        <w:txbxContent>
                          <w:p>
                            <w:pPr>
                              <w:rPr>
                                <w:b/>
                                <w:bCs/>
                                <w:sz w:val="24"/>
                                <w:szCs w:val="32"/>
                              </w:rPr>
                            </w:pPr>
                            <w:r>
                              <w:rPr>
                                <w:rFonts w:hint="eastAsia"/>
                                <w:b/>
                                <w:bCs/>
                                <w:sz w:val="24"/>
                                <w:szCs w:val="32"/>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5.75pt;margin-top:56.9pt;height:33pt;width:82.55pt;z-index:251684864;v-text-anchor:middle;mso-width-relative:page;mso-height-relative:page;" filled="f" stroked="t" coordsize="21600,21600" o:gfxdata="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OHV+M2AAAAAsBAAAPAAAAAAAAAAEAIAAAACIAAABkcnMvZG93bnJldi54bWxQSwECFAAUAAAA&#10;CACHTuJAHMdnvNICAACGBQAADgAAAAAAAAABACAAAAAnAQAAZHJzL2Uyb0RvYy54bWxQSwUGAAAA&#10;AAYABgBZAQAAawYAAAAA&#10;" adj="-6358,44771,14400">
                <v:fill on="f" focussize="0,0"/>
                <v:stroke weight="1pt" color="#FF0000" miterlimit="8" joinstyle="miter"/>
                <v:imagedata o:title=""/>
                <o:lock v:ext="edit" aspectratio="f"/>
                <v:textbox>
                  <w:txbxContent>
                    <w:p>
                      <w:pPr>
                        <w:rPr>
                          <w:b/>
                          <w:bCs/>
                          <w:sz w:val="24"/>
                          <w:szCs w:val="32"/>
                        </w:rPr>
                      </w:pPr>
                      <w:r>
                        <w:rPr>
                          <w:rFonts w:hint="eastAsia"/>
                          <w:b/>
                          <w:bCs/>
                          <w:sz w:val="24"/>
                          <w:szCs w:val="32"/>
                        </w:rPr>
                        <w:t>项目所在地</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4157980</wp:posOffset>
                </wp:positionH>
                <wp:positionV relativeFrom="paragraph">
                  <wp:posOffset>1498600</wp:posOffset>
                </wp:positionV>
                <wp:extent cx="111760" cy="120650"/>
                <wp:effectExtent l="17145" t="22860" r="23495" b="27940"/>
                <wp:wrapNone/>
                <wp:docPr id="87" name="任意多边形 87"/>
                <wp:cNvGraphicFramePr/>
                <a:graphic xmlns:a="http://schemas.openxmlformats.org/drawingml/2006/main">
                  <a:graphicData uri="http://schemas.microsoft.com/office/word/2010/wordprocessingShape">
                    <wps:wsp>
                      <wps:cNvSpPr/>
                      <wps:spPr>
                        <a:xfrm>
                          <a:off x="0" y="0"/>
                          <a:ext cx="111760" cy="120650"/>
                        </a:xfrm>
                        <a:custGeom>
                          <a:avLst/>
                          <a:gdLst>
                            <a:gd name="A1" fmla="val 0"/>
                            <a:gd name="A2" fmla="val 0"/>
                            <a:gd name="txL" fmla="*/ 0 w 231"/>
                            <a:gd name="txT" fmla="*/ 0 h 217"/>
                            <a:gd name="txR" fmla="*/ 231 w 231"/>
                            <a:gd name="txB" fmla="*/ 217 h 217"/>
                          </a:gdLst>
                          <a:ahLst/>
                          <a:cxnLst>
                            <a:cxn ang="16187392">
                              <a:pos x="115" y="0"/>
                            </a:cxn>
                            <a:cxn ang="10747904">
                              <a:pos x="0" y="82"/>
                            </a:cxn>
                            <a:cxn ang="5373952">
                              <a:pos x="44" y="216"/>
                            </a:cxn>
                            <a:cxn ang="5373952">
                              <a:pos x="186" y="216"/>
                            </a:cxn>
                            <a:cxn ang="0">
                              <a:pos x="230" y="82"/>
                            </a:cxn>
                          </a:cxnLst>
                          <a:rect l="txL" t="txT" r="txR" b="txB"/>
                          <a:pathLst>
                            <a:path w="231" h="217">
                              <a:moveTo>
                                <a:pt x="0" y="82"/>
                              </a:moveTo>
                              <a:lnTo>
                                <a:pt x="88" y="82"/>
                              </a:lnTo>
                              <a:lnTo>
                                <a:pt x="115" y="0"/>
                              </a:lnTo>
                              <a:lnTo>
                                <a:pt x="142" y="82"/>
                              </a:lnTo>
                              <a:lnTo>
                                <a:pt x="230" y="82"/>
                              </a:lnTo>
                              <a:lnTo>
                                <a:pt x="159" y="134"/>
                              </a:lnTo>
                              <a:lnTo>
                                <a:pt x="186" y="216"/>
                              </a:lnTo>
                              <a:lnTo>
                                <a:pt x="115" y="165"/>
                              </a:lnTo>
                              <a:lnTo>
                                <a:pt x="44" y="216"/>
                              </a:lnTo>
                              <a:lnTo>
                                <a:pt x="71" y="134"/>
                              </a:lnTo>
                              <a:close/>
                            </a:path>
                          </a:pathLst>
                        </a:custGeom>
                        <a:solidFill>
                          <a:srgbClr val="FF0000"/>
                        </a:solidFill>
                        <a:ln w="12700" cap="flat" cmpd="sng">
                          <a:solidFill>
                            <a:srgbClr val="FF0000"/>
                          </a:solidFill>
                          <a:prstDash val="solid"/>
                          <a:miter/>
                          <a:headEnd type="none" w="med" len="med"/>
                          <a:tailEnd type="none" w="med" len="med"/>
                        </a:ln>
                        <a:effectLst/>
                      </wps:spPr>
                      <wps:txbx>
                        <w:txbxContent>
                          <w:p>
                            <w:pPr>
                              <w:jc w:val="center"/>
                            </w:pPr>
                          </w:p>
                        </w:txbxContent>
                      </wps:txbx>
                      <wps:bodyPr anchor="ctr" anchorCtr="0" upright="1"/>
                    </wps:wsp>
                  </a:graphicData>
                </a:graphic>
              </wp:anchor>
            </w:drawing>
          </mc:Choice>
          <mc:Fallback>
            <w:pict>
              <v:shape id="_x0000_s1026" o:spid="_x0000_s1026" o:spt="100" style="position:absolute;left:0pt;margin-left:327.4pt;margin-top:118pt;height:9.5pt;width:8.8pt;z-index:251685888;v-text-anchor:middle;mso-width-relative:page;mso-height-relative:page;" fillcolor="#FF0000" filled="t" stroked="t" coordsize="231,217" o:gfxdata="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BMCe8V1wAAAAsBAAAPAAAAAAAAAAEAIAAAACIAAABkcnMvZG93bnJldi54bWxQ&#10;SwECFAAUAAAACACHTuJAI6DG+E4DAABFCAAADgAAAAAAAAABACAAAAAmAQAAZHJzL2Uyb0RvYy54&#10;bWxQSwUGAAAAAAYABgBZAQAA5gYAAAAA&#10;" path="m0,82l88,82,115,0,142,82,230,82,159,134,186,216,115,165,44,216,71,134xe">
                <v:path textboxrect="0,0,231,217" o:connectlocs="115,0;0,82;44,216;186,216;230,82" o:connectangles="247,164,82,82,0"/>
                <v:fill on="t" focussize="0,0"/>
                <v:stroke weight="1pt" color="#FF0000" joinstyle="miter"/>
                <v:imagedata o:title=""/>
                <o:lock v:ext="edit" aspectratio="f"/>
                <v:textbox>
                  <w:txbxContent>
                    <w:p>
                      <w:pPr>
                        <w:jc w:val="center"/>
                      </w:pPr>
                    </w:p>
                  </w:txbxContent>
                </v:textbox>
              </v:shape>
            </w:pict>
          </mc:Fallback>
        </mc:AlternateContent>
      </w:r>
      <w:r>
        <w:drawing>
          <wp:inline distT="0" distB="0" distL="114300" distR="114300">
            <wp:extent cx="8835390" cy="4745990"/>
            <wp:effectExtent l="0" t="0" r="3810" b="16510"/>
            <wp:docPr id="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9"/>
                    <pic:cNvPicPr>
                      <a:picLocks noChangeAspect="1"/>
                    </pic:cNvPicPr>
                  </pic:nvPicPr>
                  <pic:blipFill>
                    <a:blip r:embed="rId50" cstate="print"/>
                    <a:stretch>
                      <a:fillRect/>
                    </a:stretch>
                  </pic:blipFill>
                  <pic:spPr>
                    <a:xfrm>
                      <a:off x="0" y="0"/>
                      <a:ext cx="8835390" cy="4745990"/>
                    </a:xfrm>
                    <a:prstGeom prst="rect">
                      <a:avLst/>
                    </a:prstGeom>
                    <a:solidFill>
                      <a:srgbClr val="FF0000"/>
                    </a:solidFill>
                    <a:ln>
                      <a:noFill/>
                    </a:ln>
                  </pic:spPr>
                </pic:pic>
              </a:graphicData>
            </a:graphic>
          </wp:inline>
        </w:drawing>
      </w:r>
    </w:p>
    <w:p>
      <w:pPr>
        <w:pStyle w:val="23"/>
      </w:pPr>
      <w:r>
        <w:rPr>
          <w:rFonts w:hint="eastAsia"/>
        </w:rPr>
        <w:t>附图</w:t>
      </w:r>
      <w:r>
        <w:rPr>
          <w:rFonts w:ascii="Times New Roman"/>
        </w:rPr>
        <w:t>5</w:t>
      </w:r>
      <w:r>
        <w:rPr>
          <w:rFonts w:hint="eastAsia" w:ascii="Times New Roman"/>
          <w:lang w:val="en-US" w:eastAsia="zh-CN"/>
        </w:rPr>
        <w:t xml:space="preserve"> </w:t>
      </w:r>
      <w:r>
        <w:rPr>
          <w:rFonts w:hint="eastAsia"/>
        </w:rPr>
        <w:t>项目平面图</w:t>
      </w:r>
    </w:p>
    <w:p>
      <w:pPr>
        <w:pStyle w:val="23"/>
        <w:sectPr>
          <w:pgSz w:w="16838" w:h="11906" w:orient="landscape"/>
          <w:pgMar w:top="1800" w:right="1440" w:bottom="1800" w:left="1440" w:header="851" w:footer="1077" w:gutter="0"/>
          <w:cols w:space="425" w:num="1"/>
          <w:docGrid w:linePitch="312" w:charSpace="0"/>
        </w:sectPr>
      </w:pPr>
      <w:r>
        <w:rPr>
          <w:sz w:val="21"/>
        </w:rPr>
        <mc:AlternateContent>
          <mc:Choice Requires="wps">
            <w:drawing>
              <wp:anchor distT="0" distB="0" distL="114300" distR="114300" simplePos="0" relativeHeight="251694080" behindDoc="0" locked="0" layoutInCell="1" allowOverlap="1">
                <wp:simplePos x="0" y="0"/>
                <wp:positionH relativeFrom="column">
                  <wp:posOffset>7603490</wp:posOffset>
                </wp:positionH>
                <wp:positionV relativeFrom="paragraph">
                  <wp:posOffset>1571625</wp:posOffset>
                </wp:positionV>
                <wp:extent cx="205740" cy="145415"/>
                <wp:effectExtent l="15240" t="13970" r="26670" b="12065"/>
                <wp:wrapNone/>
                <wp:docPr id="96" name="流程图: 摘录 96"/>
                <wp:cNvGraphicFramePr/>
                <a:graphic xmlns:a="http://schemas.openxmlformats.org/drawingml/2006/main">
                  <a:graphicData uri="http://schemas.microsoft.com/office/word/2010/wordprocessingShape">
                    <wps:wsp>
                      <wps:cNvSpPr/>
                      <wps:spPr>
                        <a:xfrm>
                          <a:off x="0" y="0"/>
                          <a:ext cx="205740" cy="145415"/>
                        </a:xfrm>
                        <a:prstGeom prst="flowChartExtract">
                          <a:avLst/>
                        </a:prstGeom>
                        <a:solidFill>
                          <a:srgbClr val="ED7D31"/>
                        </a:solidFill>
                        <a:ln w="15875" cap="flat" cmpd="sng" algn="ctr">
                          <a:solidFill>
                            <a:srgbClr val="ED7D31"/>
                          </a:solidFill>
                          <a:prstDash val="solid"/>
                          <a:miter lim="800000"/>
                          <a:headEnd type="none" w="med" len="med"/>
                          <a:tailEnd type="none" w="med" len="med"/>
                        </a:ln>
                        <a:effectLst/>
                      </wps:spPr>
                      <wps:bodyPr anchor="ctr" anchorCtr="0" upright="1"/>
                    </wps:wsp>
                  </a:graphicData>
                </a:graphic>
              </wp:anchor>
            </w:drawing>
          </mc:Choice>
          <mc:Fallback>
            <w:pict>
              <v:shape id="_x0000_s1026" o:spid="_x0000_s1026" o:spt="127" type="#_x0000_t127" style="position:absolute;left:0pt;margin-left:598.7pt;margin-top:123.75pt;height:11.45pt;width:16.2pt;z-index:251694080;v-text-anchor:middle;mso-width-relative:page;mso-height-relative:page;" fillcolor="#ED7D31" filled="t" stroked="t" coordsize="21600,21600" o:gfxdata="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Fwx4X9wAAAANAQAADwAAAAAAAAABACAAAAAiAAAAZHJzL2Rv&#10;d25yZXYueG1sUEsBAhQAFAAAAAgAh07iQNy/mwI2AgAAeAQAAA4AAAAAAAAAAQAgAAAAKwEAAGRy&#10;cy9lMm9Eb2MueG1sUEsFBgAAAAAGAAYAWQEAANMFAAAAAA==&#10;">
                <v:fill on="t" focussize="0,0"/>
                <v:stroke weight="1.25pt" color="#ED7D31" miterlimit="8" joinstyle="miter"/>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5572125</wp:posOffset>
                </wp:positionH>
                <wp:positionV relativeFrom="paragraph">
                  <wp:posOffset>1108075</wp:posOffset>
                </wp:positionV>
                <wp:extent cx="205740" cy="145415"/>
                <wp:effectExtent l="15240" t="13970" r="26670" b="12065"/>
                <wp:wrapNone/>
                <wp:docPr id="95" name="流程图: 摘录 95"/>
                <wp:cNvGraphicFramePr/>
                <a:graphic xmlns:a="http://schemas.openxmlformats.org/drawingml/2006/main">
                  <a:graphicData uri="http://schemas.microsoft.com/office/word/2010/wordprocessingShape">
                    <wps:wsp>
                      <wps:cNvSpPr/>
                      <wps:spPr>
                        <a:xfrm>
                          <a:off x="0" y="0"/>
                          <a:ext cx="205740" cy="145415"/>
                        </a:xfrm>
                        <a:prstGeom prst="flowChartExtract">
                          <a:avLst/>
                        </a:prstGeom>
                        <a:solidFill>
                          <a:srgbClr val="ED7D31"/>
                        </a:solidFill>
                        <a:ln w="15875" cap="flat" cmpd="sng" algn="ctr">
                          <a:solidFill>
                            <a:srgbClr val="ED7D31"/>
                          </a:solidFill>
                          <a:prstDash val="solid"/>
                          <a:miter lim="800000"/>
                          <a:headEnd type="none" w="med" len="med"/>
                          <a:tailEnd type="none" w="med" len="med"/>
                        </a:ln>
                        <a:effectLst/>
                      </wps:spPr>
                      <wps:bodyPr anchor="ctr" anchorCtr="0" upright="1"/>
                    </wps:wsp>
                  </a:graphicData>
                </a:graphic>
              </wp:anchor>
            </w:drawing>
          </mc:Choice>
          <mc:Fallback>
            <w:pict>
              <v:shape id="_x0000_s1026" o:spid="_x0000_s1026" o:spt="127" type="#_x0000_t127" style="position:absolute;left:0pt;margin-left:438.75pt;margin-top:87.25pt;height:11.45pt;width:16.2pt;z-index:251693056;v-text-anchor:middle;mso-width-relative:page;mso-height-relative:page;" fillcolor="#ED7D31" filled="t" stroked="t" coordsize="21600,21600" o:gfxdata="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Dqy/bbAAAACwEAAA8AAAAAAAAAAQAgAAAAIgAAAGRycy9k&#10;b3ducmV2LnhtbFBLAQIUABQAAAAIAIdO4kBL1y2iOAIAAHgEAAAOAAAAAAAAAAEAIAAAACoBAABk&#10;cnMvZTJvRG9jLnhtbFBLBQYAAAAABgAGAFkBAADUBQAAAAA=&#10;">
                <v:fill on="t" focussize="0,0"/>
                <v:stroke weight="1.25pt" color="#ED7D31" miterlimit="8" joinstyle="miter"/>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4718050</wp:posOffset>
                </wp:positionH>
                <wp:positionV relativeFrom="paragraph">
                  <wp:posOffset>3726815</wp:posOffset>
                </wp:positionV>
                <wp:extent cx="205740" cy="145415"/>
                <wp:effectExtent l="15240" t="13970" r="26670" b="12065"/>
                <wp:wrapNone/>
                <wp:docPr id="93" name="流程图: 摘录 93"/>
                <wp:cNvGraphicFramePr/>
                <a:graphic xmlns:a="http://schemas.openxmlformats.org/drawingml/2006/main">
                  <a:graphicData uri="http://schemas.microsoft.com/office/word/2010/wordprocessingShape">
                    <wps:wsp>
                      <wps:cNvSpPr/>
                      <wps:spPr>
                        <a:xfrm>
                          <a:off x="0" y="0"/>
                          <a:ext cx="205740" cy="145415"/>
                        </a:xfrm>
                        <a:prstGeom prst="flowChartExtract">
                          <a:avLst/>
                        </a:prstGeom>
                        <a:solidFill>
                          <a:srgbClr val="ED7D31"/>
                        </a:solidFill>
                        <a:ln w="15875" cap="flat" cmpd="sng" algn="ctr">
                          <a:solidFill>
                            <a:srgbClr val="ED7D31"/>
                          </a:solidFill>
                          <a:prstDash val="solid"/>
                          <a:miter lim="800000"/>
                          <a:headEnd type="none" w="med" len="med"/>
                          <a:tailEnd type="none" w="med" len="med"/>
                        </a:ln>
                        <a:effectLst/>
                      </wps:spPr>
                      <wps:bodyPr anchor="ctr" anchorCtr="0" upright="1"/>
                    </wps:wsp>
                  </a:graphicData>
                </a:graphic>
              </wp:anchor>
            </w:drawing>
          </mc:Choice>
          <mc:Fallback>
            <w:pict>
              <v:shape id="_x0000_s1026" o:spid="_x0000_s1026" o:spt="127" type="#_x0000_t127" style="position:absolute;left:0pt;margin-left:371.5pt;margin-top:293.45pt;height:11.45pt;width:16.2pt;z-index:251691008;v-text-anchor:middle;mso-width-relative:page;mso-height-relative:page;" fillcolor="#ED7D31" filled="t" stroked="t" coordsize="21600,21600" o:gfxdata="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i5bJbdAAAACwEAAA8AAAAAAAAAAQAgAAAAIgAAAGRycy9k&#10;b3ducmV2LnhtbFBLAQIUABQAAAAIAIdO4kAkADA4NgIAAHgEAAAOAAAAAAAAAAEAIAAAACwBAABk&#10;cnMvZTJvRG9jLnhtbFBLBQYAAAAABgAGAFkBAADUBQAAAAA=&#10;">
                <v:fill on="t" focussize="0,0"/>
                <v:stroke weight="1.25pt" color="#ED7D31" miterlimit="8" joinstyle="miter"/>
                <v:imagedata o:title=""/>
                <o:lock v:ext="edit" aspectratio="f"/>
              </v:shape>
            </w:pict>
          </mc:Fallback>
        </mc:AlternateContent>
      </w:r>
      <w:r>
        <w:drawing>
          <wp:inline distT="0" distB="0" distL="114300" distR="114300">
            <wp:extent cx="8856345" cy="5034280"/>
            <wp:effectExtent l="0" t="0" r="1905" b="13970"/>
            <wp:docPr id="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0"/>
                    <pic:cNvPicPr>
                      <a:picLocks noChangeAspect="1"/>
                    </pic:cNvPicPr>
                  </pic:nvPicPr>
                  <pic:blipFill>
                    <a:blip r:embed="rId51" cstate="print"/>
                    <a:stretch>
                      <a:fillRect/>
                    </a:stretch>
                  </pic:blipFill>
                  <pic:spPr>
                    <a:xfrm>
                      <a:off x="0" y="0"/>
                      <a:ext cx="8856345" cy="5034280"/>
                    </a:xfrm>
                    <a:prstGeom prst="rect">
                      <a:avLst/>
                    </a:prstGeom>
                    <a:noFill/>
                    <a:ln>
                      <a:noFill/>
                    </a:ln>
                  </pic:spPr>
                </pic:pic>
              </a:graphicData>
            </a:graphic>
          </wp:inline>
        </w:drawing>
      </w:r>
      <w:r>
        <w:rPr>
          <w:sz w:val="21"/>
        </w:rPr>
        <mc:AlternateContent>
          <mc:Choice Requires="wps">
            <w:drawing>
              <wp:anchor distT="0" distB="0" distL="114300" distR="114300" simplePos="0" relativeHeight="251692032" behindDoc="0" locked="0" layoutInCell="1" allowOverlap="1">
                <wp:simplePos x="0" y="0"/>
                <wp:positionH relativeFrom="column">
                  <wp:posOffset>7606665</wp:posOffset>
                </wp:positionH>
                <wp:positionV relativeFrom="paragraph">
                  <wp:posOffset>4519930</wp:posOffset>
                </wp:positionV>
                <wp:extent cx="146050" cy="85090"/>
                <wp:effectExtent l="17145" t="12065" r="27305" b="17145"/>
                <wp:wrapNone/>
                <wp:docPr id="94" name="流程图: 摘录 94"/>
                <wp:cNvGraphicFramePr/>
                <a:graphic xmlns:a="http://schemas.openxmlformats.org/drawingml/2006/main">
                  <a:graphicData uri="http://schemas.microsoft.com/office/word/2010/wordprocessingShape">
                    <wps:wsp>
                      <wps:cNvSpPr/>
                      <wps:spPr>
                        <a:xfrm>
                          <a:off x="0" y="0"/>
                          <a:ext cx="146050" cy="85090"/>
                        </a:xfrm>
                        <a:prstGeom prst="flowChartExtract">
                          <a:avLst/>
                        </a:prstGeom>
                        <a:solidFill>
                          <a:srgbClr val="ED7D31"/>
                        </a:solidFill>
                        <a:ln w="15875" cap="flat" cmpd="sng" algn="ctr">
                          <a:solidFill>
                            <a:srgbClr val="ED7D31"/>
                          </a:solidFill>
                          <a:prstDash val="solid"/>
                          <a:miter lim="800000"/>
                          <a:headEnd type="none" w="med" len="med"/>
                          <a:tailEnd type="none" w="med" len="med"/>
                        </a:ln>
                        <a:effectLst/>
                      </wps:spPr>
                      <wps:bodyPr anchor="ctr" anchorCtr="0" upright="1"/>
                    </wps:wsp>
                  </a:graphicData>
                </a:graphic>
              </wp:anchor>
            </w:drawing>
          </mc:Choice>
          <mc:Fallback>
            <w:pict>
              <v:shape id="_x0000_s1026" o:spid="_x0000_s1026" o:spt="127" type="#_x0000_t127" style="position:absolute;left:0pt;margin-left:598.95pt;margin-top:355.9pt;height:6.7pt;width:11.5pt;z-index:251692032;v-text-anchor:middle;mso-width-relative:page;mso-height-relative:page;" fillcolor="#ED7D31" filled="t" stroked="t" coordsize="21600,21600" o:gfxdata="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PtcldsAAAANAQAADwAAAAAAAAABACAAAAAiAAAAZHJzL2Rv&#10;d25yZXYueG1sUEsBAhQAFAAAAAgAh07iQE6pfdQ3AgAAdwQAAA4AAAAAAAAAAQAgAAAAKgEAAGRy&#10;cy9lMm9Eb2MueG1sUEsFBgAAAAAGAAYAWQEAANMFAAAAAA==&#10;">
                <v:fill on="t" focussize="0,0"/>
                <v:stroke weight="1.25pt" color="#ED7D31" miterlimit="8" joinstyle="miter"/>
                <v:imagedata o:title=""/>
                <o:lock v:ext="edit" aspectratio="f"/>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7393940</wp:posOffset>
                </wp:positionH>
                <wp:positionV relativeFrom="paragraph">
                  <wp:posOffset>4281170</wp:posOffset>
                </wp:positionV>
                <wp:extent cx="1489075" cy="617855"/>
                <wp:effectExtent l="6350" t="6350" r="9525" b="23495"/>
                <wp:wrapNone/>
                <wp:docPr id="89" name="矩形 89"/>
                <wp:cNvGraphicFramePr/>
                <a:graphic xmlns:a="http://schemas.openxmlformats.org/drawingml/2006/main">
                  <a:graphicData uri="http://schemas.microsoft.com/office/word/2010/wordprocessingShape">
                    <wps:wsp>
                      <wps:cNvSpPr/>
                      <wps:spPr>
                        <a:xfrm>
                          <a:off x="0" y="0"/>
                          <a:ext cx="1489075" cy="617855"/>
                        </a:xfrm>
                        <a:prstGeom prst="rect">
                          <a:avLst/>
                        </a:prstGeom>
                        <a:noFill/>
                        <a:ln w="12700" cap="flat" cmpd="sng">
                          <a:solidFill>
                            <a:srgbClr val="000000"/>
                          </a:solidFill>
                          <a:prstDash val="solid"/>
                          <a:miter/>
                          <a:headEnd type="none" w="med" len="med"/>
                          <a:tailEnd type="none" w="med" len="med"/>
                        </a:ln>
                        <a:effectLst/>
                      </wps:spPr>
                      <wps:txbx>
                        <w:txbxContent>
                          <w:p>
                            <w:pPr>
                              <w:jc w:val="center"/>
                              <w:rPr>
                                <w:color w:val="000000"/>
                                <w:sz w:val="20"/>
                                <w:szCs w:val="22"/>
                              </w:rPr>
                            </w:pPr>
                            <w:r>
                              <w:rPr>
                                <w:rFonts w:hint="eastAsia"/>
                                <w:color w:val="000000"/>
                                <w:sz w:val="20"/>
                                <w:szCs w:val="22"/>
                              </w:rPr>
                              <w:t>图 例</w:t>
                            </w:r>
                          </w:p>
                          <w:p>
                            <w:pPr>
                              <w:pStyle w:val="2"/>
                              <w:spacing w:line="240" w:lineRule="auto"/>
                              <w:ind w:firstLine="0" w:firstLineChars="0"/>
                              <w:rPr>
                                <w:color w:val="0D0D0D"/>
                                <w:sz w:val="20"/>
                                <w:szCs w:val="22"/>
                              </w:rPr>
                            </w:pPr>
                            <w:r>
                              <w:rPr>
                                <w:rFonts w:hint="eastAsia"/>
                                <w:color w:val="0D0D0D"/>
                                <w:sz w:val="20"/>
                                <w:szCs w:val="22"/>
                              </w:rPr>
                              <w:t xml:space="preserve">    公厕</w:t>
                            </w:r>
                          </w:p>
                          <w:p>
                            <w:pPr>
                              <w:pStyle w:val="40"/>
                              <w:spacing w:beforeLines="0"/>
                              <w:ind w:firstLine="400"/>
                              <w:rPr>
                                <w:rFonts w:ascii="宋体" w:hAnsi="宋体" w:eastAsia="宋体" w:cs="宋体"/>
                                <w:b w:val="0"/>
                                <w:bCs/>
                                <w:sz w:val="20"/>
                                <w:szCs w:val="20"/>
                              </w:rPr>
                            </w:pPr>
                            <w:r>
                              <w:rPr>
                                <w:rFonts w:hint="eastAsia" w:ascii="宋体" w:hAnsi="宋体" w:eastAsia="宋体" w:cs="宋体"/>
                                <w:b w:val="0"/>
                                <w:bCs/>
                                <w:sz w:val="20"/>
                                <w:szCs w:val="20"/>
                              </w:rPr>
                              <w:t>垃圾集中收集点</w:t>
                            </w:r>
                          </w:p>
                          <w:p>
                            <w:pPr>
                              <w:ind w:firstLine="600" w:firstLineChars="300"/>
                              <w:rPr>
                                <w:sz w:val="20"/>
                                <w:szCs w:val="20"/>
                              </w:rPr>
                            </w:pPr>
                          </w:p>
                        </w:txbxContent>
                      </wps:txbx>
                      <wps:bodyPr anchor="ctr" anchorCtr="0" upright="1"/>
                    </wps:wsp>
                  </a:graphicData>
                </a:graphic>
              </wp:anchor>
            </w:drawing>
          </mc:Choice>
          <mc:Fallback>
            <w:pict>
              <v:rect id="_x0000_s1026" o:spid="_x0000_s1026" o:spt="1" style="position:absolute;left:0pt;margin-left:582.2pt;margin-top:337.1pt;height:48.65pt;width:117.25pt;z-index:251686912;v-text-anchor:middle;mso-width-relative:page;mso-height-relative:page;" filled="f" stroked="t" coordsize="21600,21600" o:gfxdata="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MVTSh3AAAAA0BAAAPAAAA&#10;AAAAAAEAIAAAACIAAABkcnMvZG93bnJldi54bWxQSwECFAAUAAAACACHTuJAW+khVBECAAAsBAAA&#10;DgAAAAAAAAABACAAAAArAQAAZHJzL2Uyb0RvYy54bWxQSwUGAAAAAAYABgBZAQAArgUAAAAA&#10;">
                <v:fill on="f" focussize="0,0"/>
                <v:stroke weight="1pt" color="#000000" joinstyle="miter"/>
                <v:imagedata o:title=""/>
                <o:lock v:ext="edit" aspectratio="f"/>
                <v:textbox>
                  <w:txbxContent>
                    <w:p>
                      <w:pPr>
                        <w:jc w:val="center"/>
                        <w:rPr>
                          <w:color w:val="000000"/>
                          <w:sz w:val="20"/>
                          <w:szCs w:val="22"/>
                        </w:rPr>
                      </w:pPr>
                      <w:r>
                        <w:rPr>
                          <w:rFonts w:hint="eastAsia"/>
                          <w:color w:val="000000"/>
                          <w:sz w:val="20"/>
                          <w:szCs w:val="22"/>
                        </w:rPr>
                        <w:t>图 例</w:t>
                      </w:r>
                    </w:p>
                    <w:p>
                      <w:pPr>
                        <w:pStyle w:val="2"/>
                        <w:spacing w:line="240" w:lineRule="auto"/>
                        <w:ind w:firstLine="0" w:firstLineChars="0"/>
                        <w:rPr>
                          <w:color w:val="0D0D0D"/>
                          <w:sz w:val="20"/>
                          <w:szCs w:val="22"/>
                        </w:rPr>
                      </w:pPr>
                      <w:r>
                        <w:rPr>
                          <w:rFonts w:hint="eastAsia"/>
                          <w:color w:val="0D0D0D"/>
                          <w:sz w:val="20"/>
                          <w:szCs w:val="22"/>
                        </w:rPr>
                        <w:t xml:space="preserve">    公厕</w:t>
                      </w:r>
                    </w:p>
                    <w:p>
                      <w:pPr>
                        <w:pStyle w:val="40"/>
                        <w:spacing w:beforeLines="0"/>
                        <w:ind w:firstLine="400"/>
                        <w:rPr>
                          <w:rFonts w:ascii="宋体" w:hAnsi="宋体" w:eastAsia="宋体" w:cs="宋体"/>
                          <w:b w:val="0"/>
                          <w:bCs/>
                          <w:sz w:val="20"/>
                          <w:szCs w:val="20"/>
                        </w:rPr>
                      </w:pPr>
                      <w:r>
                        <w:rPr>
                          <w:rFonts w:hint="eastAsia" w:ascii="宋体" w:hAnsi="宋体" w:eastAsia="宋体" w:cs="宋体"/>
                          <w:b w:val="0"/>
                          <w:bCs/>
                          <w:sz w:val="20"/>
                          <w:szCs w:val="20"/>
                        </w:rPr>
                        <w:t>垃圾集中收集点</w:t>
                      </w:r>
                    </w:p>
                    <w:p>
                      <w:pPr>
                        <w:ind w:firstLine="600" w:firstLineChars="300"/>
                        <w:rPr>
                          <w:sz w:val="20"/>
                          <w:szCs w:val="20"/>
                        </w:rPr>
                      </w:pPr>
                    </w:p>
                  </w:txbxContent>
                </v:textbox>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7564755</wp:posOffset>
                </wp:positionH>
                <wp:positionV relativeFrom="paragraph">
                  <wp:posOffset>4705985</wp:posOffset>
                </wp:positionV>
                <wp:extent cx="162560" cy="127635"/>
                <wp:effectExtent l="6350" t="6350" r="21590" b="18415"/>
                <wp:wrapNone/>
                <wp:docPr id="92" name="流程图: 过程 92"/>
                <wp:cNvGraphicFramePr/>
                <a:graphic xmlns:a="http://schemas.openxmlformats.org/drawingml/2006/main">
                  <a:graphicData uri="http://schemas.microsoft.com/office/word/2010/wordprocessingShape">
                    <wps:wsp>
                      <wps:cNvSpPr/>
                      <wps:spPr>
                        <a:xfrm>
                          <a:off x="0" y="0"/>
                          <a:ext cx="162560" cy="127635"/>
                        </a:xfrm>
                        <a:prstGeom prst="flowChartProcess">
                          <a:avLst/>
                        </a:prstGeom>
                        <a:gradFill>
                          <a:gsLst>
                            <a:gs pos="0">
                              <a:srgbClr val="7B32B2"/>
                            </a:gs>
                            <a:gs pos="100000">
                              <a:srgbClr val="401A5D"/>
                            </a:gs>
                          </a:gsLst>
                          <a:lin ang="5400000" scaled="0"/>
                        </a:gradFill>
                        <a:ln w="12700" cap="flat" cmpd="sng">
                          <a:solidFill>
                            <a:srgbClr val="BF9000"/>
                          </a:solidFill>
                          <a:prstDash val="solid"/>
                          <a:miter/>
                          <a:headEnd type="none" w="med" len="med"/>
                          <a:tailEnd type="none" w="med" len="med"/>
                        </a:ln>
                        <a:effectLst/>
                      </wps:spPr>
                      <wps:bodyPr anchor="ctr" anchorCtr="0" upright="1"/>
                    </wps:wsp>
                  </a:graphicData>
                </a:graphic>
              </wp:anchor>
            </w:drawing>
          </mc:Choice>
          <mc:Fallback>
            <w:pict>
              <v:shape id="_x0000_s1026" o:spid="_x0000_s1026" o:spt="109" type="#_x0000_t109" style="position:absolute;left:0pt;margin-left:595.65pt;margin-top:370.55pt;height:10.05pt;width:12.8pt;z-index:251689984;v-text-anchor:middle;mso-width-relative:page;mso-height-relative:page;" fillcolor="#7B32B2" filled="t" stroked="t" coordsize="21600,21600" o:gfxdata="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9Rw2o2wAAAA0BAAAPAAAAAAAAAAEAIAAAACIAAABkcnMvZG93bnJldi54bWxQSwECFAAUAAAA&#10;CACHTuJA6Mrnrl0CAADaBAAADgAAAAAAAAABACAAAAAqAQAAZHJzL2Uyb0RvYy54bWxQSwUGAAAA&#10;AAYABgBZAQAA+QUAAAAA&#10;">
                <v:fill type="gradient" on="t" color2="#401A5D" focus="100%" focussize="0,0" rotate="t">
                  <o:fill type="gradientUnscaled" v:ext="backwardCompatible"/>
                </v:fill>
                <v:stroke weight="1pt" color="#BF9000" joinstyle="miter"/>
                <v:imagedata o:title=""/>
                <o:lock v:ext="edit" aspectratio="f"/>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3628390</wp:posOffset>
                </wp:positionH>
                <wp:positionV relativeFrom="paragraph">
                  <wp:posOffset>639445</wp:posOffset>
                </wp:positionV>
                <wp:extent cx="162560" cy="127635"/>
                <wp:effectExtent l="6350" t="6350" r="21590" b="18415"/>
                <wp:wrapNone/>
                <wp:docPr id="91" name="流程图: 过程 91"/>
                <wp:cNvGraphicFramePr/>
                <a:graphic xmlns:a="http://schemas.openxmlformats.org/drawingml/2006/main">
                  <a:graphicData uri="http://schemas.microsoft.com/office/word/2010/wordprocessingShape">
                    <wps:wsp>
                      <wps:cNvSpPr/>
                      <wps:spPr>
                        <a:xfrm>
                          <a:off x="0" y="0"/>
                          <a:ext cx="162560" cy="127635"/>
                        </a:xfrm>
                        <a:prstGeom prst="flowChartProcess">
                          <a:avLst/>
                        </a:prstGeom>
                        <a:gradFill>
                          <a:gsLst>
                            <a:gs pos="0">
                              <a:srgbClr val="7B32B2"/>
                            </a:gs>
                            <a:gs pos="100000">
                              <a:srgbClr val="401A5D"/>
                            </a:gs>
                          </a:gsLst>
                          <a:lin ang="5400000" scaled="0"/>
                        </a:gradFill>
                        <a:ln w="12700" cap="flat" cmpd="sng">
                          <a:solidFill>
                            <a:srgbClr val="BF9000"/>
                          </a:solidFill>
                          <a:prstDash val="solid"/>
                          <a:miter/>
                          <a:headEnd type="none" w="med" len="med"/>
                          <a:tailEnd type="none" w="med" len="med"/>
                        </a:ln>
                        <a:effectLst/>
                      </wps:spPr>
                      <wps:bodyPr anchor="ctr" anchorCtr="0" upright="1"/>
                    </wps:wsp>
                  </a:graphicData>
                </a:graphic>
              </wp:anchor>
            </w:drawing>
          </mc:Choice>
          <mc:Fallback>
            <w:pict>
              <v:shape id="_x0000_s1026" o:spid="_x0000_s1026" o:spt="109" type="#_x0000_t109" style="position:absolute;left:0pt;margin-left:285.7pt;margin-top:50.35pt;height:10.05pt;width:12.8pt;z-index:251688960;v-text-anchor:middle;mso-width-relative:page;mso-height-relative:page;" fillcolor="#7B32B2" filled="t" stroked="t" coordsize="21600,21600" o:gfxdata="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EQvAtoAAAALAQAADwAAAAAAAAABACAAAAAiAAAAZHJzL2Rvd25yZXYueG1sUEsBAhQAFAAAAAgA&#10;h07iQOOQz6hcAgAA2gQAAA4AAAAAAAAAAQAgAAAAKQEAAGRycy9lMm9Eb2MueG1sUEsFBgAAAAAG&#10;AAYAWQEAAPcFAAAAAA==&#10;">
                <v:fill type="gradient" on="t" color2="#401A5D" focus="100%" focussize="0,0" rotate="t">
                  <o:fill type="gradientUnscaled" v:ext="backwardCompatible"/>
                </v:fill>
                <v:stroke weight="1pt" color="#BF9000" joinstyle="miter"/>
                <v:imagedata o:title=""/>
                <o:lock v:ext="edit" aspectratio="f"/>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6142355</wp:posOffset>
                </wp:positionH>
                <wp:positionV relativeFrom="paragraph">
                  <wp:posOffset>1136015</wp:posOffset>
                </wp:positionV>
                <wp:extent cx="189865" cy="111125"/>
                <wp:effectExtent l="6350" t="6350" r="13335" b="15875"/>
                <wp:wrapNone/>
                <wp:docPr id="90" name="流程图: 过程 90"/>
                <wp:cNvGraphicFramePr/>
                <a:graphic xmlns:a="http://schemas.openxmlformats.org/drawingml/2006/main">
                  <a:graphicData uri="http://schemas.microsoft.com/office/word/2010/wordprocessingShape">
                    <wps:wsp>
                      <wps:cNvSpPr/>
                      <wps:spPr>
                        <a:xfrm>
                          <a:off x="0" y="0"/>
                          <a:ext cx="189865" cy="111125"/>
                        </a:xfrm>
                        <a:prstGeom prst="flowChartProcess">
                          <a:avLst/>
                        </a:prstGeom>
                        <a:gradFill>
                          <a:gsLst>
                            <a:gs pos="0">
                              <a:srgbClr val="7B32B2"/>
                            </a:gs>
                            <a:gs pos="100000">
                              <a:srgbClr val="401A5D"/>
                            </a:gs>
                          </a:gsLst>
                          <a:lin ang="5400000" scaled="0"/>
                        </a:gradFill>
                        <a:ln w="12700" cap="flat" cmpd="sng">
                          <a:solidFill>
                            <a:srgbClr val="BF9000"/>
                          </a:solidFill>
                          <a:prstDash val="solid"/>
                          <a:miter/>
                          <a:headEnd type="none" w="med" len="med"/>
                          <a:tailEnd type="none" w="med" len="med"/>
                        </a:ln>
                        <a:effectLst/>
                      </wps:spPr>
                      <wps:bodyPr anchor="ctr" anchorCtr="0" upright="1"/>
                    </wps:wsp>
                  </a:graphicData>
                </a:graphic>
              </wp:anchor>
            </w:drawing>
          </mc:Choice>
          <mc:Fallback>
            <w:pict>
              <v:shape id="_x0000_s1026" o:spid="_x0000_s1026" o:spt="109" type="#_x0000_t109" style="position:absolute;left:0pt;margin-left:483.65pt;margin-top:89.45pt;height:8.75pt;width:14.95pt;z-index:251687936;v-text-anchor:middle;mso-width-relative:page;mso-height-relative:page;" fillcolor="#7B32B2" filled="t" stroked="t" coordsize="21600,21600" o:gfxdata="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mO5l7bAAAACwEAAA8AAAAAAAAAAQAgAAAAIgAAAGRycy9kb3ducmV2LnhtbFBLAQIUABQAAAAI&#10;AIdO4kDE1CQOXAIAANoEAAAOAAAAAAAAAAEAIAAAACoBAABkcnMvZTJvRG9jLnhtbFBLBQYAAAAA&#10;BgAGAFkBAAD4BQAAAAA=&#10;">
                <v:fill type="gradient" on="t" color2="#401A5D" focus="100%" focussize="0,0" rotate="t">
                  <o:fill type="gradientUnscaled" v:ext="backwardCompatible"/>
                </v:fill>
                <v:stroke weight="1pt" color="#BF9000" joinstyle="miter"/>
                <v:imagedata o:title=""/>
                <o:lock v:ext="edit" aspectratio="f"/>
              </v:shape>
            </w:pict>
          </mc:Fallback>
        </mc:AlternateContent>
      </w:r>
    </w:p>
    <w:p>
      <w:pPr>
        <w:pStyle w:val="13"/>
        <w:jc w:val="left"/>
        <w:rPr>
          <w:sz w:val="24"/>
          <w:szCs w:val="32"/>
          <w:lang w:val="en-US"/>
        </w:rPr>
        <w:sectPr>
          <w:pgSz w:w="16838" w:h="11906" w:orient="landscape"/>
          <w:pgMar w:top="1800" w:right="1440" w:bottom="1800" w:left="1440" w:header="851" w:footer="1077" w:gutter="0"/>
          <w:cols w:space="425" w:num="1"/>
          <w:docGrid w:linePitch="312" w:charSpace="0"/>
        </w:sectPr>
      </w:pPr>
      <w:r>
        <w:rPr>
          <w:sz w:val="21"/>
        </w:rPr>
        <mc:AlternateContent>
          <mc:Choice Requires="wpg">
            <w:drawing>
              <wp:anchor distT="0" distB="0" distL="114300" distR="114300" simplePos="0" relativeHeight="251702272" behindDoc="0" locked="0" layoutInCell="1" allowOverlap="1">
                <wp:simplePos x="0" y="0"/>
                <wp:positionH relativeFrom="column">
                  <wp:posOffset>-588645</wp:posOffset>
                </wp:positionH>
                <wp:positionV relativeFrom="paragraph">
                  <wp:posOffset>-162560</wp:posOffset>
                </wp:positionV>
                <wp:extent cx="8848725" cy="3446145"/>
                <wp:effectExtent l="4445" t="4445" r="5080" b="16510"/>
                <wp:wrapNone/>
                <wp:docPr id="72" name="组合 40"/>
                <wp:cNvGraphicFramePr/>
                <a:graphic xmlns:a="http://schemas.openxmlformats.org/drawingml/2006/main">
                  <a:graphicData uri="http://schemas.microsoft.com/office/word/2010/wordprocessingGroup">
                    <wpg:wgp>
                      <wpg:cNvGrpSpPr/>
                      <wpg:grpSpPr>
                        <a:xfrm>
                          <a:off x="325755" y="980440"/>
                          <a:ext cx="8848725" cy="3446145"/>
                          <a:chOff x="6051" y="1010848"/>
                          <a:chExt cx="13935" cy="5427"/>
                        </a:xfrm>
                        <a:effectLst/>
                      </wpg:grpSpPr>
                      <wpg:grpSp>
                        <wpg:cNvPr id="101" name="组合 101"/>
                        <wpg:cNvGrpSpPr/>
                        <wpg:grpSpPr>
                          <a:xfrm>
                            <a:off x="16510" y="1014959"/>
                            <a:ext cx="2487" cy="1317"/>
                            <a:chOff x="17019" y="1875971"/>
                            <a:chExt cx="2487" cy="1317"/>
                          </a:xfrm>
                          <a:effectLst/>
                        </wpg:grpSpPr>
                        <wps:wsp>
                          <wps:cNvPr id="98" name="椭圆 98"/>
                          <wps:cNvSpPr/>
                          <wps:spPr>
                            <a:xfrm>
                              <a:off x="17397" y="1875971"/>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99" name="直接连接符 99"/>
                          <wps:cNvCnPr/>
                          <wps:spPr>
                            <a:xfrm flipV="1">
                              <a:off x="17310" y="1876106"/>
                              <a:ext cx="127" cy="624"/>
                            </a:xfrm>
                            <a:prstGeom prst="line">
                              <a:avLst/>
                            </a:prstGeom>
                            <a:ln w="9525" cap="flat" cmpd="sng">
                              <a:solidFill>
                                <a:srgbClr val="5B9BD5"/>
                              </a:solidFill>
                              <a:prstDash val="solid"/>
                              <a:headEnd type="none" w="med" len="med"/>
                              <a:tailEnd type="none" w="med" len="med"/>
                            </a:ln>
                            <a:effectLst/>
                          </wps:spPr>
                          <wps:bodyPr upright="1"/>
                        </wps:wsp>
                        <wps:wsp>
                          <wps:cNvPr id="100" name="文本框 100"/>
                          <wps:cNvSpPr txBox="1"/>
                          <wps:spPr>
                            <a:xfrm>
                              <a:off x="17019" y="1876801"/>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连接市政雨水管道位置</w:t>
                                </w:r>
                              </w:p>
                            </w:txbxContent>
                          </wps:txbx>
                          <wps:bodyPr vert="horz" anchor="t" anchorCtr="0" upright="1"/>
                        </wps:wsp>
                      </wpg:grpSp>
                      <wpg:grpSp>
                        <wpg:cNvPr id="102" name="组合 102"/>
                        <wpg:cNvGrpSpPr/>
                        <wpg:grpSpPr>
                          <a:xfrm>
                            <a:off x="17086" y="1014025"/>
                            <a:ext cx="2900" cy="857"/>
                            <a:chOff x="16115" y="1876761"/>
                            <a:chExt cx="2900" cy="857"/>
                          </a:xfrm>
                          <a:effectLst/>
                        </wpg:grpSpPr>
                        <wps:wsp>
                          <wps:cNvPr id="103" name="椭圆 98"/>
                          <wps:cNvSpPr/>
                          <wps:spPr>
                            <a:xfrm>
                              <a:off x="16115" y="1877498"/>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04" name="直接连接符 99"/>
                          <wps:cNvCnPr/>
                          <wps:spPr>
                            <a:xfrm flipV="1">
                              <a:off x="16274" y="1877275"/>
                              <a:ext cx="661" cy="273"/>
                            </a:xfrm>
                            <a:prstGeom prst="line">
                              <a:avLst/>
                            </a:prstGeom>
                            <a:ln w="9525" cap="flat" cmpd="sng">
                              <a:solidFill>
                                <a:srgbClr val="5B9BD5"/>
                              </a:solidFill>
                              <a:prstDash val="solid"/>
                              <a:headEnd type="none" w="med" len="med"/>
                              <a:tailEnd type="none" w="med" len="med"/>
                            </a:ln>
                            <a:effectLst/>
                          </wps:spPr>
                          <wps:bodyPr upright="1"/>
                        </wps:wsp>
                        <wps:wsp>
                          <wps:cNvPr id="105" name="文本框 100"/>
                          <wps:cNvSpPr txBox="1"/>
                          <wps:spPr>
                            <a:xfrm>
                              <a:off x="16528" y="1876761"/>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w:t>
                                </w:r>
                                <w:r>
                                  <w:rPr>
                                    <w:rFonts w:hint="eastAsia"/>
                                    <w:lang w:eastAsia="zh-CN"/>
                                  </w:rPr>
                                  <w:t>污水</w:t>
                                </w:r>
                                <w:r>
                                  <w:rPr>
                                    <w:rFonts w:hint="eastAsia"/>
                                  </w:rPr>
                                  <w:t>管道位置</w:t>
                                </w:r>
                              </w:p>
                            </w:txbxContent>
                          </wps:txbx>
                          <wps:bodyPr vert="horz" anchor="t" anchorCtr="0" upright="1"/>
                        </wps:wsp>
                      </wpg:grpSp>
                      <wpg:grpSp>
                        <wpg:cNvPr id="106" name="组合 106"/>
                        <wpg:cNvGrpSpPr/>
                        <wpg:grpSpPr>
                          <a:xfrm>
                            <a:off x="10404" y="1010848"/>
                            <a:ext cx="2487" cy="1144"/>
                            <a:chOff x="16829" y="1876624"/>
                            <a:chExt cx="2487" cy="1144"/>
                          </a:xfrm>
                          <a:effectLst/>
                        </wpg:grpSpPr>
                        <wps:wsp>
                          <wps:cNvPr id="107" name="椭圆 98"/>
                          <wps:cNvSpPr/>
                          <wps:spPr>
                            <a:xfrm>
                              <a:off x="18351" y="1877648"/>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08" name="直接连接符 99"/>
                          <wps:cNvCnPr>
                            <a:stCxn id="107" idx="1"/>
                          </wps:cNvCnPr>
                          <wps:spPr>
                            <a:xfrm flipH="1" flipV="1">
                              <a:off x="18358" y="1877219"/>
                              <a:ext cx="11" cy="447"/>
                            </a:xfrm>
                            <a:prstGeom prst="line">
                              <a:avLst/>
                            </a:prstGeom>
                            <a:ln w="9525" cap="flat" cmpd="sng">
                              <a:solidFill>
                                <a:srgbClr val="5B9BD5"/>
                              </a:solidFill>
                              <a:prstDash val="solid"/>
                              <a:headEnd type="none" w="med" len="med"/>
                              <a:tailEnd type="none" w="med" len="med"/>
                            </a:ln>
                            <a:effectLst/>
                          </wps:spPr>
                          <wps:bodyPr upright="1"/>
                        </wps:wsp>
                        <wps:wsp>
                          <wps:cNvPr id="109" name="文本框 100"/>
                          <wps:cNvSpPr txBox="1"/>
                          <wps:spPr>
                            <a:xfrm>
                              <a:off x="16829" y="1876624"/>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w:t>
                                </w:r>
                                <w:r>
                                  <w:rPr>
                                    <w:rFonts w:hint="eastAsia"/>
                                    <w:lang w:eastAsia="zh-CN"/>
                                  </w:rPr>
                                  <w:t>污水</w:t>
                                </w:r>
                                <w:r>
                                  <w:rPr>
                                    <w:rFonts w:hint="eastAsia"/>
                                  </w:rPr>
                                  <w:t>管道位置</w:t>
                                </w:r>
                              </w:p>
                            </w:txbxContent>
                          </wps:txbx>
                          <wps:bodyPr vert="horz" anchor="t" anchorCtr="0" upright="1"/>
                        </wps:wsp>
                      </wpg:grpSp>
                      <wpg:grpSp>
                        <wpg:cNvPr id="110" name="组合 110"/>
                        <wpg:cNvGrpSpPr/>
                        <wpg:grpSpPr>
                          <a:xfrm>
                            <a:off x="12372" y="1011090"/>
                            <a:ext cx="3309" cy="843"/>
                            <a:chOff x="15706" y="1876761"/>
                            <a:chExt cx="3309" cy="843"/>
                          </a:xfrm>
                          <a:effectLst/>
                        </wpg:grpSpPr>
                        <wps:wsp>
                          <wps:cNvPr id="111" name="椭圆 98"/>
                          <wps:cNvSpPr/>
                          <wps:spPr>
                            <a:xfrm>
                              <a:off x="15706" y="1877484"/>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12" name="直接连接符 99"/>
                          <wps:cNvCnPr>
                            <a:stCxn id="111" idx="6"/>
                          </wps:cNvCnPr>
                          <wps:spPr>
                            <a:xfrm flipV="1">
                              <a:off x="15826" y="1877322"/>
                              <a:ext cx="669" cy="222"/>
                            </a:xfrm>
                            <a:prstGeom prst="line">
                              <a:avLst/>
                            </a:prstGeom>
                            <a:ln w="9525" cap="flat" cmpd="sng">
                              <a:solidFill>
                                <a:srgbClr val="5B9BD5"/>
                              </a:solidFill>
                              <a:prstDash val="solid"/>
                              <a:headEnd type="none" w="med" len="med"/>
                              <a:tailEnd type="none" w="med" len="med"/>
                            </a:ln>
                            <a:effectLst/>
                          </wps:spPr>
                          <wps:bodyPr upright="1"/>
                        </wps:wsp>
                        <wps:wsp>
                          <wps:cNvPr id="113" name="文本框 100"/>
                          <wps:cNvSpPr txBox="1"/>
                          <wps:spPr>
                            <a:xfrm>
                              <a:off x="16528" y="1876761"/>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w:t>
                                </w:r>
                                <w:r>
                                  <w:rPr>
                                    <w:rFonts w:hint="eastAsia"/>
                                    <w:lang w:eastAsia="zh-CN"/>
                                  </w:rPr>
                                  <w:t>雨水</w:t>
                                </w:r>
                                <w:r>
                                  <w:rPr>
                                    <w:rFonts w:hint="eastAsia"/>
                                  </w:rPr>
                                  <w:t>管道位置</w:t>
                                </w:r>
                              </w:p>
                            </w:txbxContent>
                          </wps:txbx>
                          <wps:bodyPr vert="horz" anchor="t" anchorCtr="0" upright="1"/>
                        </wps:wsp>
                      </wpg:grpSp>
                      <wpg:grpSp>
                        <wpg:cNvPr id="114" name="组合 114"/>
                        <wpg:cNvGrpSpPr/>
                        <wpg:grpSpPr>
                          <a:xfrm>
                            <a:off x="10637" y="1012189"/>
                            <a:ext cx="2487" cy="965"/>
                            <a:chOff x="15709" y="1876638"/>
                            <a:chExt cx="2487" cy="965"/>
                          </a:xfrm>
                          <a:effectLst/>
                        </wpg:grpSpPr>
                        <wps:wsp>
                          <wps:cNvPr id="115" name="椭圆 98"/>
                          <wps:cNvSpPr/>
                          <wps:spPr>
                            <a:xfrm>
                              <a:off x="15774" y="1876638"/>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16" name="直接连接符 99"/>
                          <wps:cNvCnPr>
                            <a:stCxn id="115" idx="5"/>
                          </wps:cNvCnPr>
                          <wps:spPr>
                            <a:xfrm>
                              <a:off x="15876" y="1876740"/>
                              <a:ext cx="257" cy="359"/>
                            </a:xfrm>
                            <a:prstGeom prst="line">
                              <a:avLst/>
                            </a:prstGeom>
                            <a:ln w="9525" cap="flat" cmpd="sng">
                              <a:solidFill>
                                <a:srgbClr val="5B9BD5"/>
                              </a:solidFill>
                              <a:prstDash val="solid"/>
                              <a:headEnd type="none" w="med" len="med"/>
                              <a:tailEnd type="none" w="med" len="med"/>
                            </a:ln>
                            <a:effectLst/>
                          </wps:spPr>
                          <wps:bodyPr upright="1"/>
                        </wps:wsp>
                        <wps:wsp>
                          <wps:cNvPr id="117" name="文本框 100"/>
                          <wps:cNvSpPr txBox="1"/>
                          <wps:spPr>
                            <a:xfrm>
                              <a:off x="15709" y="1877116"/>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w:t>
                                </w:r>
                                <w:r>
                                  <w:rPr>
                                    <w:rFonts w:hint="eastAsia"/>
                                    <w:lang w:eastAsia="zh-CN"/>
                                  </w:rPr>
                                  <w:t>雨水</w:t>
                                </w:r>
                                <w:r>
                                  <w:rPr>
                                    <w:rFonts w:hint="eastAsia"/>
                                  </w:rPr>
                                  <w:t>管道位置</w:t>
                                </w:r>
                              </w:p>
                            </w:txbxContent>
                          </wps:txbx>
                          <wps:bodyPr vert="horz" anchor="t" anchorCtr="0" upright="1"/>
                        </wps:wsp>
                      </wpg:grpSp>
                      <wpg:grpSp>
                        <wpg:cNvPr id="118" name="组合 118"/>
                        <wpg:cNvGrpSpPr/>
                        <wpg:grpSpPr>
                          <a:xfrm>
                            <a:off x="10217" y="1011436"/>
                            <a:ext cx="557" cy="769"/>
                            <a:chOff x="18351" y="1876999"/>
                            <a:chExt cx="557" cy="769"/>
                          </a:xfrm>
                          <a:effectLst/>
                        </wpg:grpSpPr>
                        <wps:wsp>
                          <wps:cNvPr id="119" name="椭圆 98"/>
                          <wps:cNvSpPr/>
                          <wps:spPr>
                            <a:xfrm>
                              <a:off x="18351" y="1877648"/>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20" name="直接连接符 99"/>
                          <wps:cNvCnPr/>
                          <wps:spPr>
                            <a:xfrm flipV="1">
                              <a:off x="18451" y="1876999"/>
                              <a:ext cx="457" cy="667"/>
                            </a:xfrm>
                            <a:prstGeom prst="line">
                              <a:avLst/>
                            </a:prstGeom>
                            <a:ln w="9525" cap="flat" cmpd="sng">
                              <a:solidFill>
                                <a:srgbClr val="5B9BD5"/>
                              </a:solidFill>
                              <a:prstDash val="solid"/>
                              <a:headEnd type="none" w="med" len="med"/>
                              <a:tailEnd type="none" w="med" len="med"/>
                            </a:ln>
                            <a:effectLst/>
                          </wps:spPr>
                          <wps:bodyPr upright="1"/>
                        </wps:wsp>
                      </wpg:grpSp>
                      <wpg:grpSp>
                        <wpg:cNvPr id="122" name="组合 122"/>
                        <wpg:cNvGrpSpPr/>
                        <wpg:grpSpPr>
                          <a:xfrm>
                            <a:off x="6051" y="1012483"/>
                            <a:ext cx="2666" cy="883"/>
                            <a:chOff x="15941" y="1876679"/>
                            <a:chExt cx="2666" cy="883"/>
                          </a:xfrm>
                          <a:effectLst/>
                        </wpg:grpSpPr>
                        <wps:wsp>
                          <wps:cNvPr id="123" name="椭圆 98"/>
                          <wps:cNvSpPr/>
                          <wps:spPr>
                            <a:xfrm>
                              <a:off x="18487" y="1876679"/>
                              <a:ext cx="120" cy="120"/>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24" name="直接连接符 99"/>
                          <wps:cNvCnPr>
                            <a:stCxn id="123" idx="3"/>
                          </wps:cNvCnPr>
                          <wps:spPr>
                            <a:xfrm flipH="1">
                              <a:off x="18237" y="1876781"/>
                              <a:ext cx="268" cy="178"/>
                            </a:xfrm>
                            <a:prstGeom prst="line">
                              <a:avLst/>
                            </a:prstGeom>
                            <a:ln w="9525" cap="flat" cmpd="sng">
                              <a:solidFill>
                                <a:srgbClr val="5B9BD5"/>
                              </a:solidFill>
                              <a:prstDash val="solid"/>
                              <a:headEnd type="none" w="med" len="med"/>
                              <a:tailEnd type="none" w="med" len="med"/>
                            </a:ln>
                            <a:effectLst/>
                          </wps:spPr>
                          <wps:bodyPr upright="1"/>
                        </wps:wsp>
                        <wps:wsp>
                          <wps:cNvPr id="125" name="文本框 100"/>
                          <wps:cNvSpPr txBox="1"/>
                          <wps:spPr>
                            <a:xfrm>
                              <a:off x="15941" y="1877075"/>
                              <a:ext cx="2487" cy="48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连接市政</w:t>
                                </w:r>
                                <w:r>
                                  <w:rPr>
                                    <w:rFonts w:hint="eastAsia"/>
                                    <w:lang w:eastAsia="zh-CN"/>
                                  </w:rPr>
                                  <w:t>雨水</w:t>
                                </w:r>
                                <w:r>
                                  <w:rPr>
                                    <w:rFonts w:hint="eastAsia"/>
                                  </w:rPr>
                                  <w:t>管道位置</w:t>
                                </w:r>
                              </w:p>
                            </w:txbxContent>
                          </wps:txbx>
                          <wps:bodyPr vert="horz" anchor="t" anchorCtr="0" upright="1"/>
                        </wps:wsp>
                      </wpg:grpSp>
                      <wpg:grpSp>
                        <wpg:cNvPr id="126" name="组合 126"/>
                        <wpg:cNvGrpSpPr/>
                        <wpg:grpSpPr>
                          <a:xfrm>
                            <a:off x="8985" y="1011417"/>
                            <a:ext cx="1567" cy="929"/>
                            <a:chOff x="18351" y="1876999"/>
                            <a:chExt cx="557" cy="745"/>
                          </a:xfrm>
                          <a:effectLst/>
                        </wpg:grpSpPr>
                        <wps:wsp>
                          <wps:cNvPr id="127" name="椭圆 98"/>
                          <wps:cNvSpPr/>
                          <wps:spPr>
                            <a:xfrm>
                              <a:off x="18351" y="1877616"/>
                              <a:ext cx="63" cy="128"/>
                            </a:xfrm>
                            <a:prstGeom prst="ellipse">
                              <a:avLst/>
                            </a:prstGeom>
                            <a:solidFill>
                              <a:srgbClr val="5B9BD5"/>
                            </a:solidFill>
                            <a:ln w="9525" cap="flat" cmpd="sng">
                              <a:solidFill>
                                <a:srgbClr val="5B9BD5"/>
                              </a:solidFill>
                              <a:prstDash val="solid"/>
                              <a:headEnd type="none" w="med" len="med"/>
                              <a:tailEnd type="none" w="med" len="med"/>
                            </a:ln>
                            <a:effectLst/>
                          </wps:spPr>
                          <wps:bodyPr vert="horz" anchor="t" anchorCtr="0" upright="1"/>
                        </wps:wsp>
                        <wps:wsp>
                          <wps:cNvPr id="128" name="直接连接符 99"/>
                          <wps:cNvCnPr/>
                          <wps:spPr>
                            <a:xfrm flipV="1">
                              <a:off x="18451" y="1876999"/>
                              <a:ext cx="457" cy="667"/>
                            </a:xfrm>
                            <a:prstGeom prst="line">
                              <a:avLst/>
                            </a:prstGeom>
                            <a:ln w="9525" cap="flat" cmpd="sng">
                              <a:solidFill>
                                <a:srgbClr val="5B9BD5"/>
                              </a:solidFill>
                              <a:prstDash val="solid"/>
                              <a:headEnd type="none" w="med" len="med"/>
                              <a:tailEnd type="none" w="med" len="med"/>
                            </a:ln>
                            <a:effectLst/>
                          </wps:spPr>
                          <wps:bodyPr upright="1"/>
                        </wps:wsp>
                      </wpg:grpSp>
                    </wpg:wgp>
                  </a:graphicData>
                </a:graphic>
              </wp:anchor>
            </w:drawing>
          </mc:Choice>
          <mc:Fallback>
            <w:pict>
              <v:group id="组合 40" o:spid="_x0000_s1026" o:spt="203" style="position:absolute;left:0pt;margin-left:-46.35pt;margin-top:-12.8pt;height:271.35pt;width:696.75pt;z-index:251702272;mso-width-relative:page;mso-height-relative:page;" coordorigin="6051,1010848" coordsize="13935,5427" o:gfxdata="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">
                <o:lock v:ext="edit" aspectratio="f"/>
                <v:group id="_x0000_s1026" o:spid="_x0000_s1026" o:spt="203" style="position:absolute;left:16510;top:1014959;height:1317;width:2487;" coordorigin="17019,1875971" coordsize="2487,1317" o:gfxdata="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1jhKvAAAANwAAAAPAAAAAAAAAAEAIAAAACIAAABkcnMvZG93bnJldi54bWxQ&#10;SwECFAAUAAAACACHTuJAMy8FnjsAAAA5AAAAFQAAAAAAAAABACAAAAALAQAAZHJzL2dyb3Vwc2hh&#10;cGV4bWwueG1sUEsFBgAAAAAGAAYAYAEAAMgDAAAAAA==&#10;">
                  <o:lock v:ext="edit" aspectratio="f"/>
                  <v:shape id="_x0000_s1026" o:spid="_x0000_s1026" o:spt="3" type="#_x0000_t3" style="position:absolute;left:17397;top:1875971;height:120;width:120;" fillcolor="#5B9BD5" filled="t" stroked="t" coordsize="21600,21600" o:gfxdata="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7E2VugAAANsA&#10;AAAPAAAAAAAAAAEAIAAAACIAAABkcnMvZG93bnJldi54bWxQSwECFAAUAAAACACHTuJAMy8FnjsA&#10;AAA5AAAAEAAAAAAAAAABACAAAAAJAQAAZHJzL3NoYXBleG1sLnhtbFBLBQYAAAAABgAGAFsBAACz&#10;AwAAAAA=&#10;">
                    <v:fill on="t" focussize="0,0"/>
                    <v:stroke color="#5B9BD5" joinstyle="round"/>
                    <v:imagedata o:title=""/>
                    <o:lock v:ext="edit" aspectratio="f"/>
                  </v:shape>
                  <v:line id="_x0000_s1026" o:spid="_x0000_s1026" o:spt="20" style="position:absolute;left:17310;top:1876106;flip:y;height:624;width:127;" filled="f" stroked="t" coordsize="21600,21600" o:gfxdata="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148b4A&#10;AADbAAAADwAAAAAAAAABACAAAAAiAAAAZHJzL2Rvd25yZXYueG1sUEsBAhQAFAAAAAgAh07iQDMv&#10;BZ47AAAAOQAAABAAAAAAAAAAAQAgAAAADQEAAGRycy9zaGFwZXhtbC54bWxQSwUGAAAAAAYABgBb&#10;AQAAtwMAAAAA&#10;">
                    <v:fill on="f" focussize="0,0"/>
                    <v:stroke color="#5B9BD5" joinstyle="round"/>
                    <v:imagedata o:title=""/>
                    <o:lock v:ext="edit" aspectratio="f"/>
                  </v:line>
                  <v:shape id="_x0000_s1026" o:spid="_x0000_s1026" o:spt="202" type="#_x0000_t202" style="position:absolute;left:17019;top:1876801;height:487;width:2487;" fillcolor="#FFFFFF" filled="t" stroked="t" coordsize="21600,21600" o:gfxdata="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O6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r>
                            <w:rPr>
                              <w:rFonts w:hint="eastAsia"/>
                            </w:rPr>
                            <w:t>连接市政雨水管道位置</w:t>
                          </w:r>
                        </w:p>
                      </w:txbxContent>
                    </v:textbox>
                  </v:shape>
                </v:group>
                <v:group id="_x0000_s1026" o:spid="_x0000_s1026" o:spt="203" style="position:absolute;left:17086;top:1014025;height:857;width:2900;" coordorigin="16115,1876761" coordsize="2900,857" o:gfxdata="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gSmPb0AAADcAAAADwAAAAAAAAABACAAAAAiAAAAZHJzL2Rvd25yZXYueG1s&#10;UEsBAhQAFAAAAAgAh07iQDMvBZ47AAAAOQAAABUAAAAAAAAAAQAgAAAADAEAAGRycy9ncm91cHNo&#10;YXBleG1sLnhtbFBLBQYAAAAABgAGAGABAADJAwAAAAA=&#10;">
                  <o:lock v:ext="edit" aspectratio="f"/>
                  <v:shape id="椭圆 98" o:spid="_x0000_s1026" o:spt="3" type="#_x0000_t3" style="position:absolute;left:16115;top:1877498;height:120;width:120;" fillcolor="#5B9BD5" filled="t" stroked="t" coordsize="21600,21600" o:gfxdata="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sG7dugAAANwA&#10;AAAPAAAAAAAAAAEAIAAAACIAAABkcnMvZG93bnJldi54bWxQSwECFAAUAAAACACHTuJAMy8FnjsA&#10;AAA5AAAAEAAAAAAAAAABACAAAAAJAQAAZHJzL3NoYXBleG1sLnhtbFBLBQYAAAAABgAGAFsBAACz&#10;AwAAAAA=&#10;">
                    <v:fill on="t" focussize="0,0"/>
                    <v:stroke color="#5B9BD5" joinstyle="round"/>
                    <v:imagedata o:title=""/>
                    <o:lock v:ext="edit" aspectratio="f"/>
                  </v:shape>
                  <v:line id="直接连接符 99" o:spid="_x0000_s1026" o:spt="20" style="position:absolute;left:16274;top:1877275;flip:y;height:273;width:661;" filled="f" stroked="t" coordsize="21600,21600" o:gfxdata="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p2zG8AAAA&#10;3AAAAA8AAAAAAAAAAQAgAAAAIgAAAGRycy9kb3ducmV2LnhtbFBLAQIUABQAAAAIAIdO4kAzLwWe&#10;OwAAADkAAAAQAAAAAAAAAAEAIAAAAAsBAABkcnMvc2hhcGV4bWwueG1sUEsFBgAAAAAGAAYAWwEA&#10;ALUDAAAAAA==&#10;">
                    <v:fill on="f" focussize="0,0"/>
                    <v:stroke color="#5B9BD5" joinstyle="round"/>
                    <v:imagedata o:title=""/>
                    <o:lock v:ext="edit" aspectratio="f"/>
                  </v:line>
                  <v:shape id="文本框 100" o:spid="_x0000_s1026" o:spt="202" type="#_x0000_t202" style="position:absolute;left:16528;top:1876761;height:487;width:2487;" fillcolor="#FFFFFF" filled="t" stroked="t" coordsize="21600,21600" o:gfxdata="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mD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连接市政</w:t>
                          </w:r>
                          <w:r>
                            <w:rPr>
                              <w:rFonts w:hint="eastAsia"/>
                              <w:lang w:eastAsia="zh-CN"/>
                            </w:rPr>
                            <w:t>污水</w:t>
                          </w:r>
                          <w:r>
                            <w:rPr>
                              <w:rFonts w:hint="eastAsia"/>
                            </w:rPr>
                            <w:t>管道位置</w:t>
                          </w:r>
                        </w:p>
                      </w:txbxContent>
                    </v:textbox>
                  </v:shape>
                </v:group>
                <v:group id="_x0000_s1026" o:spid="_x0000_s1026" o:spt="203" style="position:absolute;left:10404;top:1010848;height:1144;width:2487;" coordorigin="16829,1876624" coordsize="2487,1144" o:gfxdata="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T+gPr0AAADcAAAADwAAAAAAAAABACAAAAAiAAAAZHJzL2Rvd25yZXYueG1s&#10;UEsBAhQAFAAAAAgAh07iQDMvBZ47AAAAOQAAABUAAAAAAAAAAQAgAAAADAEAAGRycy9ncm91cHNo&#10;YXBleG1sLnhtbFBLBQYAAAAABgAGAGABAADJAwAAAAA=&#10;">
                  <o:lock v:ext="edit" aspectratio="f"/>
                  <v:shape id="椭圆 98" o:spid="_x0000_s1026" o:spt="3" type="#_x0000_t3" style="position:absolute;left:18351;top:1877648;height:120;width:120;" fillcolor="#5B9BD5" filled="t" stroked="t" coordsize="21600,21600" o:gfxdata="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LaN68AAAA&#10;3AAAAA8AAAAAAAAAAQAgAAAAIgAAAGRycy9kb3ducmV2LnhtbFBLAQIUABQAAAAIAIdO4kAzLwWe&#10;OwAAADkAAAAQAAAAAAAAAAEAIAAAAAsBAABkcnMvc2hhcGV4bWwueG1sUEsFBgAAAAAGAAYAWwEA&#10;ALUDAAAAAA==&#10;">
                    <v:fill on="t" focussize="0,0"/>
                    <v:stroke color="#5B9BD5" joinstyle="round"/>
                    <v:imagedata o:title=""/>
                    <o:lock v:ext="edit" aspectratio="f"/>
                  </v:shape>
                  <v:line id="直接连接符 99" o:spid="_x0000_s1026" o:spt="20" style="position:absolute;left:18358;top:1877219;flip:x y;height:447;width:11;" filled="f" stroked="t" coordsize="21600,21600" o:gfxdata="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I5yr4A&#10;AADcAAAADwAAAAAAAAABACAAAAAiAAAAZHJzL2Rvd25yZXYueG1sUEsBAhQAFAAAAAgAh07iQDMv&#10;BZ47AAAAOQAAABAAAAAAAAAAAQAgAAAADQEAAGRycy9zaGFwZXhtbC54bWxQSwUGAAAAAAYABgBb&#10;AQAAtwMAAAAA&#10;">
                    <v:fill on="f" focussize="0,0"/>
                    <v:stroke color="#5B9BD5" joinstyle="round"/>
                    <v:imagedata o:title=""/>
                    <o:lock v:ext="edit" aspectratio="f"/>
                  </v:line>
                  <v:shape id="文本框 100" o:spid="_x0000_s1026" o:spt="202" type="#_x0000_t202" style="position:absolute;left:16829;top:1876624;height:487;width:2487;" fillcolor="#FFFFFF" filled="t" stroked="t" coordsize="21600,21600" o:gfxdata="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SN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r>
                            <w:rPr>
                              <w:rFonts w:hint="eastAsia"/>
                            </w:rPr>
                            <w:t>连接市政</w:t>
                          </w:r>
                          <w:r>
                            <w:rPr>
                              <w:rFonts w:hint="eastAsia"/>
                              <w:lang w:eastAsia="zh-CN"/>
                            </w:rPr>
                            <w:t>污水</w:t>
                          </w:r>
                          <w:r>
                            <w:rPr>
                              <w:rFonts w:hint="eastAsia"/>
                            </w:rPr>
                            <w:t>管道位置</w:t>
                          </w:r>
                        </w:p>
                      </w:txbxContent>
                    </v:textbox>
                  </v:shape>
                </v:group>
                <v:group id="_x0000_s1026" o:spid="_x0000_s1026" o:spt="203" style="position:absolute;left:12372;top:1011090;height:843;width:3309;" coordorigin="15706,1876761" coordsize="3309,843" o:gfxdata="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IQwsMvwAAANwAAAAPAAAAAAAAAAEAIAAAACIAAABkcnMvZG93bnJldi54&#10;bWxQSwECFAAUAAAACACHTuJAMy8FnjsAAAA5AAAAFQAAAAAAAAABACAAAAAOAQAAZHJzL2dyb3Vw&#10;c2hhcGV4bWwueG1sUEsFBgAAAAAGAAYAYAEAAMsDAAAAAA==&#10;">
                  <o:lock v:ext="edit" aspectratio="f"/>
                  <v:shape id="椭圆 98" o:spid="_x0000_s1026" o:spt="3" type="#_x0000_t3" style="position:absolute;left:15706;top:1877484;height:120;width:120;" fillcolor="#5B9BD5" filled="t" stroked="t" coordsize="21600,21600" o:gfxdata="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vfD7LsAAADc&#10;AAAADwAAAAAAAAABACAAAAAiAAAAZHJzL2Rvd25yZXYueG1sUEsBAhQAFAAAAAgAh07iQDMvBZ47&#10;AAAAOQAAABAAAAAAAAAAAQAgAAAACgEAAGRycy9zaGFwZXhtbC54bWxQSwUGAAAAAAYABgBbAQAA&#10;tAMAAAAA&#10;">
                    <v:fill on="t" focussize="0,0"/>
                    <v:stroke color="#5B9BD5" joinstyle="round"/>
                    <v:imagedata o:title=""/>
                    <o:lock v:ext="edit" aspectratio="f"/>
                  </v:shape>
                  <v:line id="直接连接符 99" o:spid="_x0000_s1026" o:spt="20" style="position:absolute;left:15826;top:1877322;flip:y;height:222;width:669;" filled="f" stroked="t" coordsize="21600,21600" o:gfxdata="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cAO8AAAA&#10;3AAAAA8AAAAAAAAAAQAgAAAAIgAAAGRycy9kb3ducmV2LnhtbFBLAQIUABQAAAAIAIdO4kAzLwWe&#10;OwAAADkAAAAQAAAAAAAAAAEAIAAAAAsBAABkcnMvc2hhcGV4bWwueG1sUEsFBgAAAAAGAAYAWwEA&#10;ALUDAAAAAA==&#10;">
                    <v:fill on="f" focussize="0,0"/>
                    <v:stroke color="#5B9BD5" joinstyle="round"/>
                    <v:imagedata o:title=""/>
                    <o:lock v:ext="edit" aspectratio="f"/>
                  </v:line>
                  <v:shape id="文本框 100" o:spid="_x0000_s1026" o:spt="202" type="#_x0000_t202" style="position:absolute;left:16528;top:1876761;height:487;width:2487;" fillcolor="#FFFFFF" filled="t" stroked="t" coordsize="21600,21600" o:gfxdata="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FM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连接市政</w:t>
                          </w:r>
                          <w:r>
                            <w:rPr>
                              <w:rFonts w:hint="eastAsia"/>
                              <w:lang w:eastAsia="zh-CN"/>
                            </w:rPr>
                            <w:t>雨水</w:t>
                          </w:r>
                          <w:r>
                            <w:rPr>
                              <w:rFonts w:hint="eastAsia"/>
                            </w:rPr>
                            <w:t>管道位置</w:t>
                          </w:r>
                        </w:p>
                      </w:txbxContent>
                    </v:textbox>
                  </v:shape>
                </v:group>
                <v:group id="_x0000_s1026" o:spid="_x0000_s1026" o:spt="203" style="position:absolute;left:10637;top:1012189;height:965;width:2487;" coordorigin="15709,1876638" coordsize="2487,965" o:gfxdata="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3eA0PvAAAANwAAAAPAAAAAAAAAAEAIAAAACIAAABkcnMvZG93bnJldi54bWxQ&#10;SwECFAAUAAAACACHTuJAMy8FnjsAAAA5AAAAFQAAAAAAAAABACAAAAALAQAAZHJzL2dyb3Vwc2hh&#10;cGV4bWwueG1sUEsFBgAAAAAGAAYAYAEAAMgDAAAAAA==&#10;">
                  <o:lock v:ext="edit" aspectratio="f"/>
                  <v:shape id="椭圆 98" o:spid="_x0000_s1026" o:spt="3" type="#_x0000_t3" style="position:absolute;left:15774;top:1876638;height:120;width:120;" fillcolor="#5B9BD5" filled="t" stroked="t" coordsize="21600,21600" o:gfxdata="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Mxe+8AAAA&#10;3AAAAA8AAAAAAAAAAQAgAAAAIgAAAGRycy9kb3ducmV2LnhtbFBLAQIUABQAAAAIAIdO4kAzLwWe&#10;OwAAADkAAAAQAAAAAAAAAAEAIAAAAAsBAABkcnMvc2hhcGV4bWwueG1sUEsFBgAAAAAGAAYAWwEA&#10;ALUDAAAAAA==&#10;">
                    <v:fill on="t" focussize="0,0"/>
                    <v:stroke color="#5B9BD5" joinstyle="round"/>
                    <v:imagedata o:title=""/>
                    <o:lock v:ext="edit" aspectratio="f"/>
                  </v:shape>
                  <v:line id="直接连接符 99" o:spid="_x0000_s1026" o:spt="20" style="position:absolute;left:15876;top:1876740;height:359;width:257;" filled="f" stroked="t" coordsize="21600,21600" o:gfxdata="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ibcq8AAAA&#10;3AAAAA8AAAAAAAAAAQAgAAAAIgAAAGRycy9kb3ducmV2LnhtbFBLAQIUABQAAAAIAIdO4kAzLwWe&#10;OwAAADkAAAAQAAAAAAAAAAEAIAAAAAsBAABkcnMvc2hhcGV4bWwueG1sUEsFBgAAAAAGAAYAWwEA&#10;ALUDAAAAAA==&#10;">
                    <v:fill on="f" focussize="0,0"/>
                    <v:stroke color="#5B9BD5" joinstyle="round"/>
                    <v:imagedata o:title=""/>
                    <o:lock v:ext="edit" aspectratio="f"/>
                  </v:line>
                  <v:shape id="文本框 100" o:spid="_x0000_s1026" o:spt="202" type="#_x0000_t202" style="position:absolute;left:15709;top:1877116;height:487;width:2487;" fillcolor="#FFFFFF" filled="t" stroked="t" coordsize="21600,21600" o:gfxdata="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vjUC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r>
                            <w:rPr>
                              <w:rFonts w:hint="eastAsia"/>
                            </w:rPr>
                            <w:t>连接市政</w:t>
                          </w:r>
                          <w:r>
                            <w:rPr>
                              <w:rFonts w:hint="eastAsia"/>
                              <w:lang w:eastAsia="zh-CN"/>
                            </w:rPr>
                            <w:t>雨水</w:t>
                          </w:r>
                          <w:r>
                            <w:rPr>
                              <w:rFonts w:hint="eastAsia"/>
                            </w:rPr>
                            <w:t>管道位置</w:t>
                          </w:r>
                        </w:p>
                      </w:txbxContent>
                    </v:textbox>
                  </v:shape>
                </v:group>
                <v:group id="_x0000_s1026" o:spid="_x0000_s1026" o:spt="203" style="position:absolute;left:10217;top:1011436;height:769;width:557;" coordorigin="18351,1876999" coordsize="557,769" o:gfxdata="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2NQcKvwAAANwAAAAPAAAAAAAAAAEAIAAAACIAAABkcnMvZG93bnJldi54&#10;bWxQSwECFAAUAAAACACHTuJAMy8FnjsAAAA5AAAAFQAAAAAAAAABACAAAAAOAQAAZHJzL2dyb3Vw&#10;c2hhcGV4bWwueG1sUEsFBgAAAAAGAAYAYAEAAMsDAAAAAA==&#10;">
                  <o:lock v:ext="edit" aspectratio="f"/>
                  <v:shape id="椭圆 98" o:spid="_x0000_s1026" o:spt="3" type="#_x0000_t3" style="position:absolute;left:18351;top:1877648;height:120;width:120;" fillcolor="#5B9BD5" filled="t" stroked="t" coordsize="21600,21600" o:gfxdata="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IHP6rsAAADc&#10;AAAADwAAAAAAAAABACAAAAAiAAAAZHJzL2Rvd25yZXYueG1sUEsBAhQAFAAAAAgAh07iQDMvBZ47&#10;AAAAOQAAABAAAAAAAAAAAQAgAAAACgEAAGRycy9zaGFwZXhtbC54bWxQSwUGAAAAAAYABgBbAQAA&#10;tAMAAAAA&#10;">
                    <v:fill on="t" focussize="0,0"/>
                    <v:stroke color="#5B9BD5" joinstyle="round"/>
                    <v:imagedata o:title=""/>
                    <o:lock v:ext="edit" aspectratio="f"/>
                  </v:shape>
                  <v:line id="直接连接符 99" o:spid="_x0000_s1026" o:spt="20" style="position:absolute;left:18451;top:1876999;flip:y;height:667;width:457;" filled="f" stroked="t" coordsize="21600,21600" o:gfxdata="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5ngVK/&#10;AAAA3AAAAA8AAAAAAAAAAQAgAAAAIgAAAGRycy9kb3ducmV2LnhtbFBLAQIUABQAAAAIAIdO4kAz&#10;LwWeOwAAADkAAAAQAAAAAAAAAAEAIAAAAA4BAABkcnMvc2hhcGV4bWwueG1sUEsFBgAAAAAGAAYA&#10;WwEAALgDAAAAAA==&#10;">
                    <v:fill on="f" focussize="0,0"/>
                    <v:stroke color="#5B9BD5" joinstyle="round"/>
                    <v:imagedata o:title=""/>
                    <o:lock v:ext="edit" aspectratio="f"/>
                  </v:line>
                </v:group>
                <v:group id="_x0000_s1026" o:spid="_x0000_s1026" o:spt="203" style="position:absolute;left:6051;top:1012483;height:883;width:2666;" coordorigin="15941,1876679" coordsize="2666,883" o:gfxdata="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bH6Xb0AAADcAAAADwAAAAAAAAABACAAAAAiAAAAZHJzL2Rvd25yZXYueG1s&#10;UEsBAhQAFAAAAAgAh07iQDMvBZ47AAAAOQAAABUAAAAAAAAAAQAgAAAADAEAAGRycy9ncm91cHNo&#10;YXBleG1sLnhtbFBLBQYAAAAABgAGAGABAADJAwAAAAA=&#10;">
                  <o:lock v:ext="edit" aspectratio="f"/>
                  <v:shape id="椭圆 98" o:spid="_x0000_s1026" o:spt="3" type="#_x0000_t3" style="position:absolute;left:18487;top:1876679;height:120;width:120;" fillcolor="#5B9BD5" filled="t" stroked="t" coordsize="21600,21600" o:gfxdata="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8FMr25AAAA3AAA&#10;AA8AAAAAAAAAAQAgAAAAIgAAAGRycy9kb3ducmV2LnhtbFBLAQIUABQAAAAIAIdO4kAzLwWeOwAA&#10;ADkAAAAQAAAAAAAAAAEAIAAAAAgBAABkcnMvc2hhcGV4bWwueG1sUEsFBgAAAAAGAAYAWwEAALID&#10;AAAAAA==&#10;">
                    <v:fill on="t" focussize="0,0"/>
                    <v:stroke color="#5B9BD5" joinstyle="round"/>
                    <v:imagedata o:title=""/>
                    <o:lock v:ext="edit" aspectratio="f"/>
                  </v:shape>
                  <v:line id="直接连接符 99" o:spid="_x0000_s1026" o:spt="20" style="position:absolute;left:18237;top:1876781;flip:x;height:178;width:268;" filled="f" stroked="t" coordsize="21600,21600" o:gfxdata="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ch1G8AAAA&#10;3AAAAA8AAAAAAAAAAQAgAAAAIgAAAGRycy9kb3ducmV2LnhtbFBLAQIUABQAAAAIAIdO4kAzLwWe&#10;OwAAADkAAAAQAAAAAAAAAAEAIAAAAAsBAABkcnMvc2hhcGV4bWwueG1sUEsFBgAAAAAGAAYAWwEA&#10;ALUDAAAAAA==&#10;">
                    <v:fill on="f" focussize="0,0"/>
                    <v:stroke color="#5B9BD5" joinstyle="round"/>
                    <v:imagedata o:title=""/>
                    <o:lock v:ext="edit" aspectratio="f"/>
                  </v:line>
                  <v:shape id="文本框 100" o:spid="_x0000_s1026" o:spt="202" type="#_x0000_t202" style="position:absolute;left:15941;top:1877075;height:487;width:2487;" fillcolor="#FFFFFF" filled="t" stroked="t" coordsize="21600,21600" o:gfxdata="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RMxF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连接市政</w:t>
                          </w:r>
                          <w:r>
                            <w:rPr>
                              <w:rFonts w:hint="eastAsia"/>
                              <w:lang w:eastAsia="zh-CN"/>
                            </w:rPr>
                            <w:t>雨水</w:t>
                          </w:r>
                          <w:r>
                            <w:rPr>
                              <w:rFonts w:hint="eastAsia"/>
                            </w:rPr>
                            <w:t>管道位置</w:t>
                          </w:r>
                        </w:p>
                      </w:txbxContent>
                    </v:textbox>
                  </v:shape>
                </v:group>
                <v:group id="_x0000_s1026" o:spid="_x0000_s1026" o:spt="203" style="position:absolute;left:8985;top:1011417;height:929;width:1567;" coordorigin="18351,1876999" coordsize="557,745" o:gfxdata="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mivxevAAAANwAAAAPAAAAAAAAAAEAIAAAACIAAABkcnMvZG93bnJldi54bWxQ&#10;SwECFAAUAAAACACHTuJAMy8FnjsAAAA5AAAAFQAAAAAAAAABACAAAAALAQAAZHJzL2dyb3Vwc2hh&#10;cGV4bWwueG1sUEsFBgAAAAAGAAYAYAEAAMgDAAAAAA==&#10;">
                  <o:lock v:ext="edit" aspectratio="f"/>
                  <v:shape id="椭圆 98" o:spid="_x0000_s1026" o:spt="3" type="#_x0000_t3" style="position:absolute;left:18351;top:1877616;height:128;width:63;" fillcolor="#5B9BD5" filled="t" stroked="t" coordsize="21600,21600" o:gfxdata="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D40vrsAAADc&#10;AAAADwAAAAAAAAABACAAAAAiAAAAZHJzL2Rvd25yZXYueG1sUEsBAhQAFAAAAAgAh07iQDMvBZ47&#10;AAAAOQAAABAAAAAAAAAAAQAgAAAACgEAAGRycy9zaGFwZXhtbC54bWxQSwUGAAAAAAYABgBbAQAA&#10;tAMAAAAA&#10;">
                    <v:fill on="t" focussize="0,0"/>
                    <v:stroke color="#5B9BD5" joinstyle="round"/>
                    <v:imagedata o:title=""/>
                    <o:lock v:ext="edit" aspectratio="f"/>
                  </v:shape>
                  <v:line id="直接连接符 99" o:spid="_x0000_s1026" o:spt="20" style="position:absolute;left:18451;top:1876999;flip:y;height:667;width:457;" filled="f" stroked="t" coordsize="21600,21600" o:gfxdata="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RjVS/&#10;AAAA3AAAAA8AAAAAAAAAAQAgAAAAIgAAAGRycy9kb3ducmV2LnhtbFBLAQIUABQAAAAIAIdO4kAz&#10;LwWeOwAAADkAAAAQAAAAAAAAAAEAIAAAAA4BAABkcnMvc2hhcGV4bWwueG1sUEsFBgAAAAAGAAYA&#10;WwEAALgDAAAAAA==&#10;">
                    <v:fill on="f" focussize="0,0"/>
                    <v:stroke color="#5B9BD5" joinstyle="round"/>
                    <v:imagedata o:title=""/>
                    <o:lock v:ext="edit" aspectratio="f"/>
                  </v:line>
                </v:group>
              </v:group>
            </w:pict>
          </mc:Fallback>
        </mc:AlternateContent>
      </w:r>
      <w:r>
        <w:rPr>
          <w:rFonts w:hint="eastAsia"/>
          <w:sz w:val="24"/>
          <w:szCs w:val="32"/>
        </w:rPr>
        <w:t>附图</w:t>
      </w:r>
      <w:r>
        <w:rPr>
          <w:rFonts w:hint="eastAsia"/>
          <w:sz w:val="24"/>
          <w:szCs w:val="32"/>
          <w:lang w:val="en-US"/>
        </w:rPr>
        <w:t>6 项目给排水路线</w:t>
      </w:r>
      <w:r>
        <w:rPr>
          <w:lang w:val="en-US"/>
        </w:rPr>
        <w:drawing>
          <wp:inline distT="0" distB="0" distL="114300" distR="114300">
            <wp:extent cx="8850630" cy="4791075"/>
            <wp:effectExtent l="0" t="0" r="7620" b="9525"/>
            <wp:docPr id="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1"/>
                    <pic:cNvPicPr>
                      <a:picLocks noChangeAspect="1"/>
                    </pic:cNvPicPr>
                  </pic:nvPicPr>
                  <pic:blipFill>
                    <a:blip r:embed="rId52" cstate="print"/>
                    <a:stretch>
                      <a:fillRect/>
                    </a:stretch>
                  </pic:blipFill>
                  <pic:spPr>
                    <a:xfrm>
                      <a:off x="0" y="0"/>
                      <a:ext cx="8850630" cy="4791075"/>
                    </a:xfrm>
                    <a:prstGeom prst="rect">
                      <a:avLst/>
                    </a:prstGeom>
                    <a:noFill/>
                    <a:ln>
                      <a:noFill/>
                    </a:ln>
                  </pic:spPr>
                </pic:pic>
              </a:graphicData>
            </a:graphic>
          </wp:inline>
        </w:drawing>
      </w:r>
    </w:p>
    <w:p>
      <w:pPr>
        <w:rPr>
          <w:rStyle w:val="29"/>
        </w:rPr>
      </w:pPr>
      <w:r>
        <w:rPr>
          <w:rStyle w:val="29"/>
          <w:rFonts w:hint="eastAsia"/>
        </w:rPr>
        <w:t>附图7 岳阳市马壕污水处理厂纳污范围图</w:t>
      </w:r>
    </w:p>
    <w:p>
      <w:pPr>
        <w:sectPr>
          <w:pgSz w:w="11906" w:h="16838"/>
          <w:pgMar w:top="1440" w:right="1800" w:bottom="1440" w:left="1800" w:header="851" w:footer="1077" w:gutter="0"/>
          <w:cols w:space="425" w:num="1"/>
          <w:docGrid w:linePitch="312" w:charSpace="0"/>
        </w:sectPr>
      </w:pPr>
      <w:r>
        <w:rPr>
          <w:sz w:val="21"/>
        </w:rPr>
        <mc:AlternateContent>
          <mc:Choice Requires="wpg">
            <w:drawing>
              <wp:anchor distT="0" distB="0" distL="114300" distR="114300" simplePos="0" relativeHeight="251697152" behindDoc="0" locked="0" layoutInCell="1" allowOverlap="1">
                <wp:simplePos x="0" y="0"/>
                <wp:positionH relativeFrom="column">
                  <wp:posOffset>-396875</wp:posOffset>
                </wp:positionH>
                <wp:positionV relativeFrom="paragraph">
                  <wp:posOffset>2764790</wp:posOffset>
                </wp:positionV>
                <wp:extent cx="1640840" cy="789305"/>
                <wp:effectExtent l="0" t="0" r="0" b="0"/>
                <wp:wrapNone/>
                <wp:docPr id="165" name="组合 165"/>
                <wp:cNvGraphicFramePr/>
                <a:graphic xmlns:a="http://schemas.openxmlformats.org/drawingml/2006/main">
                  <a:graphicData uri="http://schemas.microsoft.com/office/word/2010/wordprocessingGroup">
                    <wpg:wgp>
                      <wpg:cNvGrpSpPr/>
                      <wpg:grpSpPr>
                        <a:xfrm>
                          <a:off x="0" y="0"/>
                          <a:ext cx="1640840" cy="789305"/>
                          <a:chOff x="3463" y="1780932"/>
                          <a:chExt cx="2584" cy="1243"/>
                        </a:xfrm>
                      </wpg:grpSpPr>
                      <wps:wsp>
                        <wps:cNvPr id="130" name="圆角矩形标注 130"/>
                        <wps:cNvSpPr/>
                        <wps:spPr>
                          <a:xfrm flipH="1">
                            <a:off x="3463" y="1780932"/>
                            <a:ext cx="1979" cy="675"/>
                          </a:xfrm>
                          <a:prstGeom prst="wedgeRoundRectCallout">
                            <a:avLst>
                              <a:gd name="adj1" fmla="val -74505"/>
                              <a:gd name="adj2" fmla="val 115986"/>
                              <a:gd name="adj3" fmla="val 16667"/>
                            </a:avLst>
                          </a:prstGeom>
                          <a:noFill/>
                          <a:ln w="12700" cap="flat" cmpd="sng">
                            <a:solidFill>
                              <a:srgbClr val="FF0000"/>
                            </a:solidFill>
                            <a:prstDash val="solid"/>
                            <a:miter/>
                            <a:headEnd type="none" w="med" len="med"/>
                            <a:tailEnd type="none" w="med" len="med"/>
                          </a:ln>
                          <a:effectLst/>
                        </wps:spPr>
                        <wps:txbx>
                          <w:txbxContent>
                            <w:p>
                              <w:pPr>
                                <w:rPr>
                                  <w:b/>
                                  <w:bCs/>
                                  <w:color w:val="000000"/>
                                  <w:sz w:val="28"/>
                                  <w:szCs w:val="36"/>
                                </w:rPr>
                              </w:pPr>
                              <w:r>
                                <w:rPr>
                                  <w:rFonts w:hint="eastAsia"/>
                                  <w:b/>
                                  <w:bCs/>
                                  <w:color w:val="000000"/>
                                  <w:sz w:val="28"/>
                                  <w:szCs w:val="36"/>
                                </w:rPr>
                                <w:t>项目所在地</w:t>
                              </w:r>
                            </w:p>
                          </w:txbxContent>
                        </wps:txbx>
                        <wps:bodyPr anchor="ctr" anchorCtr="0" upright="1"/>
                      </wps:wsp>
                      <wps:wsp>
                        <wps:cNvPr id="131" name="任意多边形 131"/>
                        <wps:cNvSpPr/>
                        <wps:spPr>
                          <a:xfrm>
                            <a:off x="5871" y="1781985"/>
                            <a:ext cx="176" cy="190"/>
                          </a:xfrm>
                          <a:custGeom>
                            <a:avLst/>
                            <a:gdLst>
                              <a:gd name="A1" fmla="val 0"/>
                              <a:gd name="A2" fmla="val 0"/>
                              <a:gd name="txL" fmla="*/ 0 w 231"/>
                              <a:gd name="txT" fmla="*/ 0 h 217"/>
                              <a:gd name="txR" fmla="*/ 231 w 231"/>
                              <a:gd name="txB" fmla="*/ 217 h 217"/>
                            </a:gdLst>
                            <a:ahLst/>
                            <a:cxnLst>
                              <a:cxn ang="16187392">
                                <a:pos x="115" y="0"/>
                              </a:cxn>
                              <a:cxn ang="10747904">
                                <a:pos x="0" y="82"/>
                              </a:cxn>
                              <a:cxn ang="5373952">
                                <a:pos x="44" y="216"/>
                              </a:cxn>
                              <a:cxn ang="5373952">
                                <a:pos x="186" y="216"/>
                              </a:cxn>
                              <a:cxn ang="0">
                                <a:pos x="230" y="82"/>
                              </a:cxn>
                            </a:cxnLst>
                            <a:rect l="txL" t="txT" r="txR" b="txB"/>
                            <a:pathLst>
                              <a:path w="231" h="217">
                                <a:moveTo>
                                  <a:pt x="0" y="82"/>
                                </a:moveTo>
                                <a:lnTo>
                                  <a:pt x="88" y="82"/>
                                </a:lnTo>
                                <a:lnTo>
                                  <a:pt x="115" y="0"/>
                                </a:lnTo>
                                <a:lnTo>
                                  <a:pt x="142" y="82"/>
                                </a:lnTo>
                                <a:lnTo>
                                  <a:pt x="230" y="82"/>
                                </a:lnTo>
                                <a:lnTo>
                                  <a:pt x="159" y="134"/>
                                </a:lnTo>
                                <a:lnTo>
                                  <a:pt x="186" y="216"/>
                                </a:lnTo>
                                <a:lnTo>
                                  <a:pt x="115" y="165"/>
                                </a:lnTo>
                                <a:lnTo>
                                  <a:pt x="44" y="216"/>
                                </a:lnTo>
                                <a:lnTo>
                                  <a:pt x="71" y="134"/>
                                </a:lnTo>
                                <a:close/>
                              </a:path>
                            </a:pathLst>
                          </a:custGeom>
                          <a:solidFill>
                            <a:srgbClr val="FF0000"/>
                          </a:solidFill>
                          <a:ln w="12700" cap="flat" cmpd="sng">
                            <a:solidFill>
                              <a:srgbClr val="FF0000"/>
                            </a:solidFill>
                            <a:prstDash val="solid"/>
                            <a:miter/>
                            <a:headEnd type="none" w="med" len="med"/>
                            <a:tailEnd type="none" w="med" len="med"/>
                          </a:ln>
                          <a:effectLst/>
                        </wps:spPr>
                        <wps:txbx>
                          <w:txbxContent>
                            <w:p>
                              <w:pPr>
                                <w:jc w:val="center"/>
                              </w:pPr>
                            </w:p>
                          </w:txbxContent>
                        </wps:txbx>
                        <wps:bodyPr anchor="ctr" anchorCtr="0" upright="1"/>
                      </wps:wsp>
                    </wpg:wgp>
                  </a:graphicData>
                </a:graphic>
              </wp:anchor>
            </w:drawing>
          </mc:Choice>
          <mc:Fallback>
            <w:pict>
              <v:group id="_x0000_s1026" o:spid="_x0000_s1026" o:spt="203" style="position:absolute;left:0pt;margin-left:-31.25pt;margin-top:217.7pt;height:62.15pt;width:129.2pt;z-index:251697152;mso-width-relative:page;mso-height-relative:page;" coordorigin="3463,1780932" coordsize="2584,1243" o:gfxdata="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">
                <o:lock v:ext="edit" aspectratio="f"/>
                <v:shape id="_x0000_s1026" o:spid="_x0000_s1026" o:spt="62" type="#_x0000_t62" style="position:absolute;left:3463;top:1780932;flip:x;height:675;width:1979;v-text-anchor:middle;" filled="f" stroked="t" coordsize="21600,21600" o:gfxdata="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ccJ&#10;wAAAANwAAAAPAAAAAAAAAAEAIAAAACIAAABkcnMvZG93bnJldi54bWxQSwECFAAUAAAACACHTuJA&#10;My8FnjsAAAA5AAAAEAAAAAAAAAABACAAAAAPAQAAZHJzL3NoYXBleG1sLnhtbFBLBQYAAAAABgAG&#10;AFsBAAC5AwAAAAA=&#10;" adj="-5293,35853,14400">
                  <v:fill on="f" focussize="0,0"/>
                  <v:stroke weight="1pt" color="#FF0000" joinstyle="miter"/>
                  <v:imagedata o:title=""/>
                  <o:lock v:ext="edit" aspectratio="f"/>
                  <v:textbox>
                    <w:txbxContent>
                      <w:p>
                        <w:pPr>
                          <w:rPr>
                            <w:b/>
                            <w:bCs/>
                            <w:color w:val="000000"/>
                            <w:sz w:val="28"/>
                            <w:szCs w:val="36"/>
                          </w:rPr>
                        </w:pPr>
                        <w:r>
                          <w:rPr>
                            <w:rFonts w:hint="eastAsia"/>
                            <w:b/>
                            <w:bCs/>
                            <w:color w:val="000000"/>
                            <w:sz w:val="28"/>
                            <w:szCs w:val="36"/>
                          </w:rPr>
                          <w:t>项目所在地</w:t>
                        </w:r>
                      </w:p>
                    </w:txbxContent>
                  </v:textbox>
                </v:shape>
                <v:shape id="_x0000_s1026" o:spid="_x0000_s1026" o:spt="100" style="position:absolute;left:5871;top:1781985;height:190;width:176;v-text-anchor:middle;" fillcolor="#FF0000" filled="t" stroked="t" coordsize="231,217" o:gfxdata="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wffiugAAANwA&#10;AAAPAAAAAAAAAAEAIAAAACIAAABkcnMvZG93bnJldi54bWxQSwECFAAUAAAACACHTuJAMy8FnjsA&#10;AAA5AAAAEAAAAAAAAAABACAAAAAJAQAAZHJzL3NoYXBleG1sLnhtbFBLBQYAAAAABgAGAFsBAACz&#10;AwAAAAA=&#10;" path="m0,82l88,82,115,0,142,82,230,82,159,134,186,216,115,165,44,216,71,134xe">
                  <v:path textboxrect="0,0,231,217" o:connectlocs="115,0;0,82;44,216;186,216;230,82" o:connectangles="247,164,82,82,0"/>
                  <v:fill on="t" focussize="0,0"/>
                  <v:stroke weight="1pt" color="#FF0000" joinstyle="miter"/>
                  <v:imagedata o:title=""/>
                  <o:lock v:ext="edit" aspectratio="f"/>
                  <v:textbox>
                    <w:txbxContent>
                      <w:p>
                        <w:pPr>
                          <w:jc w:val="center"/>
                        </w:pPr>
                      </w:p>
                    </w:txbxContent>
                  </v:textbox>
                </v:shape>
              </v:group>
            </w:pict>
          </mc:Fallback>
        </mc:AlternateContent>
      </w:r>
      <w:r>
        <w:drawing>
          <wp:inline distT="0" distB="0" distL="114300" distR="114300">
            <wp:extent cx="5424170" cy="8343265"/>
            <wp:effectExtent l="0" t="0" r="5080" b="635"/>
            <wp:docPr id="129" name="图片 42" descr="岳阳污水处理厂纳污范围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2" descr="岳阳污水处理厂纳污范围图（1）"/>
                    <pic:cNvPicPr>
                      <a:picLocks noChangeAspect="1"/>
                    </pic:cNvPicPr>
                  </pic:nvPicPr>
                  <pic:blipFill>
                    <a:blip r:embed="rId53" cstate="print"/>
                    <a:stretch>
                      <a:fillRect/>
                    </a:stretch>
                  </pic:blipFill>
                  <pic:spPr>
                    <a:xfrm>
                      <a:off x="0" y="0"/>
                      <a:ext cx="5424170" cy="8343265"/>
                    </a:xfrm>
                    <a:prstGeom prst="rect">
                      <a:avLst/>
                    </a:prstGeom>
                    <a:noFill/>
                    <a:ln>
                      <a:noFill/>
                    </a:ln>
                  </pic:spPr>
                </pic:pic>
              </a:graphicData>
            </a:graphic>
          </wp:inline>
        </w:drawing>
      </w:r>
    </w:p>
    <w:p>
      <w:pPr>
        <w:rPr>
          <w:rStyle w:val="29"/>
        </w:rPr>
      </w:pPr>
      <w:r>
        <w:rPr>
          <w:rStyle w:val="29"/>
          <w:rFonts w:hint="eastAsia"/>
        </w:rPr>
        <w:t>附图8  04#地块施工场地布置图</w:t>
      </w:r>
    </w:p>
    <w:p>
      <w:pPr>
        <w:pStyle w:val="23"/>
        <w:sectPr>
          <w:pgSz w:w="16838" w:h="11906" w:orient="landscape"/>
          <w:pgMar w:top="1800" w:right="1440" w:bottom="1800" w:left="1440" w:header="851" w:footer="1077" w:gutter="0"/>
          <w:cols w:space="425" w:num="1"/>
          <w:docGrid w:linePitch="312" w:charSpace="0"/>
        </w:sectPr>
      </w:pPr>
      <w:r>
        <mc:AlternateContent>
          <mc:Choice Requires="wps">
            <w:drawing>
              <wp:anchor distT="0" distB="0" distL="114300" distR="114300" simplePos="0" relativeHeight="251710464" behindDoc="0" locked="0" layoutInCell="1" allowOverlap="1">
                <wp:simplePos x="0" y="0"/>
                <wp:positionH relativeFrom="column">
                  <wp:posOffset>4452620</wp:posOffset>
                </wp:positionH>
                <wp:positionV relativeFrom="paragraph">
                  <wp:posOffset>1214120</wp:posOffset>
                </wp:positionV>
                <wp:extent cx="102870" cy="520065"/>
                <wp:effectExtent l="10795" t="1905" r="38735" b="11430"/>
                <wp:wrapNone/>
                <wp:docPr id="159" name="直接箭头连接符 159"/>
                <wp:cNvGraphicFramePr/>
                <a:graphic xmlns:a="http://schemas.openxmlformats.org/drawingml/2006/main">
                  <a:graphicData uri="http://schemas.microsoft.com/office/word/2010/wordprocessingShape">
                    <wps:wsp>
                      <wps:cNvCnPr>
                        <a:endCxn id="160" idx="1"/>
                      </wps:cNvCnPr>
                      <wps:spPr>
                        <a:xfrm>
                          <a:off x="0" y="0"/>
                          <a:ext cx="102870" cy="520065"/>
                        </a:xfrm>
                        <a:prstGeom prst="straightConnector1">
                          <a:avLst/>
                        </a:prstGeom>
                        <a:noFill/>
                        <a:ln w="22225" cap="flat" cmpd="sng" algn="ctr">
                          <a:solidFill>
                            <a:srgbClr val="2E75B6">
                              <a:lumMod val="75000"/>
                            </a:srgbClr>
                          </a:solidFill>
                          <a:prstDash val="solid"/>
                          <a:miter lim="800000"/>
                          <a:tailEnd type="arrow"/>
                        </a:ln>
                        <a:effectLst/>
                      </wps:spPr>
                      <wps:bodyPr/>
                    </wps:wsp>
                  </a:graphicData>
                </a:graphic>
              </wp:anchor>
            </w:drawing>
          </mc:Choice>
          <mc:Fallback>
            <w:pict>
              <v:shape id="_x0000_s1026" o:spid="_x0000_s1026" o:spt="32" type="#_x0000_t32" style="position:absolute;left:0pt;margin-left:350.6pt;margin-top:95.6pt;height:40.95pt;width:8.1pt;z-index:251710464;mso-width-relative:page;mso-height-relative:page;" filled="f" stroked="t" coordsize="21600,21600" o:gfxdata="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Dhbe9YAAAALAQAADwAAAAAAAAABACAAAAAiAAAAZHJzL2Rvd25yZXYueG1s&#10;UEsBAhQAFAAAAAgAh07iQAPn270zAgAAQAQAAA4AAAAAAAAAAQAgAAAAJQEAAGRycy9lMm9Eb2Mu&#10;eG1sUEsFBgAAAAAGAAYAWQEAAMoFAAAAAA==&#10;">
                <v:fill on="f" focussize="0,0"/>
                <v:stroke weight="1.75pt" color="#225889"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4500245</wp:posOffset>
                </wp:positionH>
                <wp:positionV relativeFrom="paragraph">
                  <wp:posOffset>1633220</wp:posOffset>
                </wp:positionV>
                <wp:extent cx="220345" cy="201930"/>
                <wp:effectExtent l="10795" t="13335" r="16510" b="13335"/>
                <wp:wrapNone/>
                <wp:docPr id="160" name="流程图: 摘录 160" descr="7b0a20202020227461726765744d6f64756c65223a20226b6f6e6c696e65666f6e7473220a7d0a"/>
                <wp:cNvGraphicFramePr/>
                <a:graphic xmlns:a="http://schemas.openxmlformats.org/drawingml/2006/main">
                  <a:graphicData uri="http://schemas.microsoft.com/office/word/2010/wordprocessingShape">
                    <wps:wsp>
                      <wps:cNvSpPr/>
                      <wps:spPr>
                        <a:xfrm>
                          <a:off x="0" y="0"/>
                          <a:ext cx="220345" cy="201930"/>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alt="7b0a20202020227461726765744d6f64756c65223a20226b6f6e6c696e65666f6e7473220a7d0a" type="#_x0000_t127" style="position:absolute;left:0pt;margin-left:354.35pt;margin-top:128.6pt;height:15.9pt;width:17.35pt;z-index:251711488;v-text-anchor:middle;mso-width-relative:page;mso-height-relative:page;" fillcolor="#5B9BD5 [3204]" filled="t" stroked="t" coordsize="21600,21600" o:gfxdata="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AqGx223AAAAAsBAAAPAAAAAAAAAAEAIAAAACIAAABkcnMv&#10;ZG93bnJldi54bWxQSwECFAAUAAAACACHTuJABh4EtOMCAACRBQAADgAAAAAAAAABACAAAAArAQAA&#10;ZHJzL2Uyb0RvYy54bWxQSwUGAAAAAAYABgBZAQAAgAYAAAAA&#10;">
                <v:fill on="t" focussize="0,0"/>
                <v:stroke weight="1pt" color="#41719C [3204]"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3371850</wp:posOffset>
                </wp:positionH>
                <wp:positionV relativeFrom="paragraph">
                  <wp:posOffset>780415</wp:posOffset>
                </wp:positionV>
                <wp:extent cx="1295400" cy="447675"/>
                <wp:effectExtent l="4445" t="4445" r="14605" b="5080"/>
                <wp:wrapNone/>
                <wp:docPr id="158" name="文本框 158"/>
                <wp:cNvGraphicFramePr/>
                <a:graphic xmlns:a="http://schemas.openxmlformats.org/drawingml/2006/main">
                  <a:graphicData uri="http://schemas.microsoft.com/office/word/2010/wordprocessingShape">
                    <wps:wsp>
                      <wps:cNvSpPr txBox="1"/>
                      <wps:spPr>
                        <a:xfrm>
                          <a:off x="0" y="0"/>
                          <a:ext cx="1295400" cy="447675"/>
                        </a:xfrm>
                        <a:prstGeom prst="rect">
                          <a:avLst/>
                        </a:prstGeom>
                        <a:solidFill>
                          <a:srgbClr val="5B9BD5"/>
                        </a:solidFill>
                        <a:ln w="9525" cap="flat" cmpd="sng">
                          <a:solidFill>
                            <a:srgbClr val="2E75B6"/>
                          </a:solidFill>
                          <a:prstDash val="solid"/>
                          <a:miter/>
                          <a:headEnd type="none" w="med" len="med"/>
                          <a:tailEnd type="none" w="med" len="med"/>
                        </a:ln>
                        <a:effectLst/>
                      </wps:spPr>
                      <wps:txbx>
                        <w:txbxContent>
                          <w:p>
                            <w:r>
                              <w:rPr>
                                <w:rFonts w:hint="eastAsia"/>
                              </w:rPr>
                              <w:t>临时沉淀池、施工出入口、洗车平台</w:t>
                            </w:r>
                          </w:p>
                        </w:txbxContent>
                      </wps:txbx>
                      <wps:bodyPr upright="1"/>
                    </wps:wsp>
                  </a:graphicData>
                </a:graphic>
              </wp:anchor>
            </w:drawing>
          </mc:Choice>
          <mc:Fallback>
            <w:pict>
              <v:shape id="_x0000_s1026" o:spid="_x0000_s1026" o:spt="202" type="#_x0000_t202" style="position:absolute;left:0pt;margin-left:265.5pt;margin-top:61.45pt;height:35.25pt;width:102pt;z-index:251709440;mso-width-relative:page;mso-height-relative:page;" fillcolor="#5B9BD5" filled="t" stroked="t" coordsize="21600,21600" o:gfxdata="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yX0xNkAAAALAQAA&#10;DwAAAAAAAAABACAAAAAiAAAAZHJzL2Rvd25yZXYueG1sUEsBAhQAFAAAAAgAh07iQE2OjDcYAgAA&#10;SAQAAA4AAAAAAAAAAQAgAAAAKAEAAGRycy9lMm9Eb2MueG1sUEsFBgAAAAAGAAYAWQEAALIFAAAA&#10;AA==&#10;">
                <v:fill on="t" focussize="0,0"/>
                <v:stroke color="#2E75B6" joinstyle="miter"/>
                <v:imagedata o:title=""/>
                <o:lock v:ext="edit" aspectratio="f"/>
                <v:textbox>
                  <w:txbxContent>
                    <w:p>
                      <w:r>
                        <w:rPr>
                          <w:rFonts w:hint="eastAsia"/>
                        </w:rPr>
                        <w:t>临时沉淀池、施工出入口、洗车平台</w:t>
                      </w:r>
                    </w:p>
                  </w:txbxContent>
                </v:textbox>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6515735</wp:posOffset>
                </wp:positionH>
                <wp:positionV relativeFrom="paragraph">
                  <wp:posOffset>2177415</wp:posOffset>
                </wp:positionV>
                <wp:extent cx="299720" cy="250825"/>
                <wp:effectExtent l="0" t="0" r="24130" b="15875"/>
                <wp:wrapNone/>
                <wp:docPr id="157" name="直接箭头连接符 157"/>
                <wp:cNvGraphicFramePr/>
                <a:graphic xmlns:a="http://schemas.openxmlformats.org/drawingml/2006/main">
                  <a:graphicData uri="http://schemas.microsoft.com/office/word/2010/wordprocessingShape">
                    <wps:wsp>
                      <wps:cNvCnPr>
                        <a:endCxn id="147" idx="2"/>
                      </wps:cNvCnPr>
                      <wps:spPr>
                        <a:xfrm flipH="1" flipV="1">
                          <a:off x="0" y="0"/>
                          <a:ext cx="299720" cy="250825"/>
                        </a:xfrm>
                        <a:prstGeom prst="straightConnector1">
                          <a:avLst/>
                        </a:prstGeom>
                        <a:noFill/>
                        <a:ln w="22225" cap="flat" cmpd="sng" algn="ctr">
                          <a:solidFill>
                            <a:srgbClr val="2E75B6">
                              <a:lumMod val="75000"/>
                            </a:srgbClr>
                          </a:solidFill>
                          <a:prstDash val="solid"/>
                          <a:miter lim="800000"/>
                          <a:tailEnd type="arrow"/>
                        </a:ln>
                        <a:effectLst/>
                      </wps:spPr>
                      <wps:bodyPr/>
                    </wps:wsp>
                  </a:graphicData>
                </a:graphic>
              </wp:anchor>
            </w:drawing>
          </mc:Choice>
          <mc:Fallback>
            <w:pict>
              <v:shape id="_x0000_s1026" o:spid="_x0000_s1026" o:spt="32" type="#_x0000_t32" style="position:absolute;left:0pt;flip:x y;margin-left:513.05pt;margin-top:171.45pt;height:19.75pt;width:23.6pt;z-index:251708416;mso-width-relative:page;mso-height-relative:page;" filled="f" stroked="t" coordsize="21600,21600" o:gfxdata="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QIHDi2QAAAA0BAAAPAAAAAAAAAAEAIAAAACIA&#10;AABkcnMvZG93bnJldi54bWxQSwECFAAUAAAACACHTuJA4WBDD0ECAABUBAAADgAAAAAAAAABACAA&#10;AAAoAQAAZHJzL2Uyb0RvYy54bWxQSwUGAAAAAAYABgBZAQAA2wUAAAAA&#10;">
                <v:fill on="f" focussize="0,0"/>
                <v:stroke weight="1.75pt" color="#225889" miterlimit="8" joinstyle="miter" endarrow="open"/>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8187055</wp:posOffset>
                </wp:positionH>
                <wp:positionV relativeFrom="paragraph">
                  <wp:posOffset>1633855</wp:posOffset>
                </wp:positionV>
                <wp:extent cx="227965" cy="232410"/>
                <wp:effectExtent l="7620" t="0" r="12065" b="15240"/>
                <wp:wrapNone/>
                <wp:docPr id="86" name="直接箭头连接符 86"/>
                <wp:cNvGraphicFramePr/>
                <a:graphic xmlns:a="http://schemas.openxmlformats.org/drawingml/2006/main">
                  <a:graphicData uri="http://schemas.microsoft.com/office/word/2010/wordprocessingShape">
                    <wps:wsp>
                      <wps:cNvCnPr>
                        <a:stCxn id="137" idx="0"/>
                        <a:endCxn id="77" idx="10"/>
                      </wps:cNvCnPr>
                      <wps:spPr>
                        <a:xfrm flipV="1">
                          <a:off x="0" y="0"/>
                          <a:ext cx="227965" cy="232410"/>
                        </a:xfrm>
                        <a:prstGeom prst="straightConnector1">
                          <a:avLst/>
                        </a:prstGeom>
                        <a:noFill/>
                        <a:ln w="22225" cap="flat" cmpd="sng" algn="ctr">
                          <a:solidFill>
                            <a:srgbClr val="2E75B6">
                              <a:lumMod val="75000"/>
                            </a:srgbClr>
                          </a:solidFill>
                          <a:prstDash val="solid"/>
                          <a:miter lim="800000"/>
                          <a:tailEnd type="arrow"/>
                        </a:ln>
                        <a:effectLst/>
                      </wps:spPr>
                      <wps:bodyPr/>
                    </wps:wsp>
                  </a:graphicData>
                </a:graphic>
              </wp:anchor>
            </w:drawing>
          </mc:Choice>
          <mc:Fallback>
            <w:pict>
              <v:shape id="_x0000_s1026" o:spid="_x0000_s1026" o:spt="32" type="#_x0000_t32" style="position:absolute;left:0pt;flip:y;margin-left:644.65pt;margin-top:128.65pt;height:18.3pt;width:17.95pt;z-index:251704320;mso-width-relative:page;mso-height-relative:page;" filled="f" stroked="t" coordsize="21600,21600" o:gfxdata="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P5Fx7cAAAADQEAAA8AAAAAAAAAAQAg&#10;AAAAIgAAAGRycy9kb3ducmV2LnhtbFBLAQIUABQAAAAIAIdO4kA0i0WgQwIAAGMEAAAOAAAAAAAA&#10;AAEAIAAAACsBAABkcnMvZTJvRG9jLnhtbFBLBQYAAAAABgAGAFkBAADgBQAAAAA=&#10;">
                <v:fill on="f" focussize="0,0"/>
                <v:stroke weight="1.75pt" color="#225889" miterlimit="8" joinstyle="miter" endarrow="open"/>
                <v:imagedata o:title=""/>
                <o:lock v:ext="edit" aspectratio="f"/>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7725410</wp:posOffset>
                </wp:positionH>
                <wp:positionV relativeFrom="paragraph">
                  <wp:posOffset>1866265</wp:posOffset>
                </wp:positionV>
                <wp:extent cx="923290" cy="455295"/>
                <wp:effectExtent l="4445" t="5080" r="5715" b="15875"/>
                <wp:wrapNone/>
                <wp:docPr id="137" name="文本框 137"/>
                <wp:cNvGraphicFramePr/>
                <a:graphic xmlns:a="http://schemas.openxmlformats.org/drawingml/2006/main">
                  <a:graphicData uri="http://schemas.microsoft.com/office/word/2010/wordprocessingShape">
                    <wps:wsp>
                      <wps:cNvSpPr txBox="1"/>
                      <wps:spPr>
                        <a:xfrm>
                          <a:off x="0" y="0"/>
                          <a:ext cx="923290" cy="455295"/>
                        </a:xfrm>
                        <a:prstGeom prst="rect">
                          <a:avLst/>
                        </a:prstGeom>
                        <a:solidFill>
                          <a:srgbClr val="5B9BD5"/>
                        </a:solidFill>
                        <a:ln w="9525" cap="flat" cmpd="sng">
                          <a:solidFill>
                            <a:srgbClr val="2E75B6"/>
                          </a:solidFill>
                          <a:prstDash val="solid"/>
                          <a:miter/>
                          <a:headEnd type="none" w="med" len="med"/>
                          <a:tailEnd type="none" w="med" len="med"/>
                        </a:ln>
                        <a:effectLst/>
                      </wps:spPr>
                      <wps:txbx>
                        <w:txbxContent>
                          <w:p>
                            <w:r>
                              <w:rPr>
                                <w:rFonts w:hint="eastAsia"/>
                              </w:rPr>
                              <w:t>施工营地、临时化粪池</w:t>
                            </w:r>
                          </w:p>
                        </w:txbxContent>
                      </wps:txbx>
                      <wps:bodyPr upright="1"/>
                    </wps:wsp>
                  </a:graphicData>
                </a:graphic>
              </wp:anchor>
            </w:drawing>
          </mc:Choice>
          <mc:Fallback>
            <w:pict>
              <v:shape id="_x0000_s1026" o:spid="_x0000_s1026" o:spt="202" type="#_x0000_t202" style="position:absolute;left:0pt;margin-left:608.3pt;margin-top:146.95pt;height:35.85pt;width:72.7pt;z-index:251696128;mso-width-relative:page;mso-height-relative:page;" fillcolor="#5B9BD5" filled="t" stroked="t" coordsize="21600,21600" o:gfxdata="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USiUp2QAAAA0BAAAP&#10;AAAAAAAAAAEAIAAAACIAAABkcnMvZG93bnJldi54bWxQSwECFAAUAAAACACHTuJAKdr/DBcCAABH&#10;BAAADgAAAAAAAAABACAAAAAoAQAAZHJzL2Uyb0RvYy54bWxQSwUGAAAAAAYABgBZAQAAsQUAAAAA&#10;">
                <v:fill on="t" focussize="0,0"/>
                <v:stroke color="#2E75B6" joinstyle="miter"/>
                <v:imagedata o:title=""/>
                <o:lock v:ext="edit" aspectratio="f"/>
                <v:textbox>
                  <w:txbxContent>
                    <w:p>
                      <w:r>
                        <w:rPr>
                          <w:rFonts w:hint="eastAsia"/>
                        </w:rPr>
                        <w:t>施工营地、临时化粪池</w:t>
                      </w: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6600825</wp:posOffset>
                </wp:positionH>
                <wp:positionV relativeFrom="paragraph">
                  <wp:posOffset>2418715</wp:posOffset>
                </wp:positionV>
                <wp:extent cx="1295400" cy="447675"/>
                <wp:effectExtent l="4445" t="4445" r="14605" b="5080"/>
                <wp:wrapNone/>
                <wp:docPr id="156" name="文本框 156"/>
                <wp:cNvGraphicFramePr/>
                <a:graphic xmlns:a="http://schemas.openxmlformats.org/drawingml/2006/main">
                  <a:graphicData uri="http://schemas.microsoft.com/office/word/2010/wordprocessingShape">
                    <wps:wsp>
                      <wps:cNvSpPr txBox="1"/>
                      <wps:spPr>
                        <a:xfrm>
                          <a:off x="0" y="0"/>
                          <a:ext cx="1295400" cy="447675"/>
                        </a:xfrm>
                        <a:prstGeom prst="rect">
                          <a:avLst/>
                        </a:prstGeom>
                        <a:solidFill>
                          <a:srgbClr val="5B9BD5"/>
                        </a:solidFill>
                        <a:ln w="9525" cap="flat" cmpd="sng">
                          <a:solidFill>
                            <a:srgbClr val="2E75B6"/>
                          </a:solidFill>
                          <a:prstDash val="solid"/>
                          <a:miter/>
                          <a:headEnd type="none" w="med" len="med"/>
                          <a:tailEnd type="none" w="med" len="med"/>
                        </a:ln>
                        <a:effectLst/>
                      </wps:spPr>
                      <wps:txbx>
                        <w:txbxContent>
                          <w:p>
                            <w:r>
                              <w:rPr>
                                <w:rFonts w:hint="eastAsia"/>
                              </w:rPr>
                              <w:t>临时沉淀池、施工出入口、洗车平台</w:t>
                            </w:r>
                          </w:p>
                        </w:txbxContent>
                      </wps:txbx>
                      <wps:bodyPr upright="1"/>
                    </wps:wsp>
                  </a:graphicData>
                </a:graphic>
              </wp:anchor>
            </w:drawing>
          </mc:Choice>
          <mc:Fallback>
            <w:pict>
              <v:shape id="_x0000_s1026" o:spid="_x0000_s1026" o:spt="202" type="#_x0000_t202" style="position:absolute;left:0pt;margin-left:519.75pt;margin-top:190.45pt;height:35.25pt;width:102pt;z-index:251707392;mso-width-relative:page;mso-height-relative:page;" fillcolor="#5B9BD5" filled="t" stroked="t" coordsize="21600,21600" o:gfxdata="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BtgqDZAAAADQEA&#10;AA8AAAAAAAAAAQAgAAAAIgAAAGRycy9kb3ducmV2LnhtbFBLAQIUABQAAAAIAIdO4kBc/QKEGQIA&#10;AEgEAAAOAAAAAAAAAAEAIAAAACgBAABkcnMvZTJvRG9jLnhtbFBLBQYAAAAABgAGAFkBAACzBQAA&#10;AAA=&#10;">
                <v:fill on="t" focussize="0,0"/>
                <v:stroke color="#2E75B6" joinstyle="miter"/>
                <v:imagedata o:title=""/>
                <o:lock v:ext="edit" aspectratio="f"/>
                <v:textbox>
                  <w:txbxContent>
                    <w:p>
                      <w:r>
                        <w:rPr>
                          <w:rFonts w:hint="eastAsia"/>
                        </w:rPr>
                        <w:t>临时沉淀池、施工出入口、洗车平台</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6424295</wp:posOffset>
                </wp:positionH>
                <wp:positionV relativeFrom="paragraph">
                  <wp:posOffset>1957070</wp:posOffset>
                </wp:positionV>
                <wp:extent cx="182880" cy="220345"/>
                <wp:effectExtent l="9525" t="16510" r="17145" b="10795"/>
                <wp:wrapNone/>
                <wp:docPr id="147" name="流程图: 摘录 147"/>
                <wp:cNvGraphicFramePr/>
                <a:graphic xmlns:a="http://schemas.openxmlformats.org/drawingml/2006/main">
                  <a:graphicData uri="http://schemas.microsoft.com/office/word/2010/wordprocessingShape">
                    <wps:wsp>
                      <wps:cNvSpPr/>
                      <wps:spPr>
                        <a:xfrm>
                          <a:off x="7262495" y="3621405"/>
                          <a:ext cx="182880" cy="220345"/>
                        </a:xfrm>
                        <a:prstGeom prst="flowChartExtra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505.85pt;margin-top:154.1pt;height:17.35pt;width:14.4pt;z-index:251706368;v-text-anchor:middle;mso-width-relative:page;mso-height-relative:page;" fillcolor="#5B9BD5 [3204]" filled="t" stroked="t" coordsize="21600,21600" o:gfxdata="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ha/g2dwAAAANAQAADwAAAAAAAAABACAAAAAiAAAA&#10;ZHJzL2Rvd25yZXYueG1sUEsBAhQAFAAAAAgAh07iQIlZyhGuAgAAOwUAAA4AAAAAAAAAAQAgAAAA&#10;KwEAAGRycy9lMm9Eb2MueG1sUEsFBgAAAAAGAAYAWQEAAEsGAAAAAA==&#1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5545455</wp:posOffset>
                </wp:positionH>
                <wp:positionV relativeFrom="paragraph">
                  <wp:posOffset>1137920</wp:posOffset>
                </wp:positionV>
                <wp:extent cx="207645" cy="614045"/>
                <wp:effectExtent l="21590" t="3810" r="18415" b="10795"/>
                <wp:wrapNone/>
                <wp:docPr id="138" name="直接箭头连接符 138"/>
                <wp:cNvGraphicFramePr/>
                <a:graphic xmlns:a="http://schemas.openxmlformats.org/drawingml/2006/main">
                  <a:graphicData uri="http://schemas.microsoft.com/office/word/2010/wordprocessingShape">
                    <wps:wsp>
                      <wps:cNvCnPr>
                        <a:stCxn id="136" idx="1"/>
                        <a:endCxn id="139" idx="5"/>
                      </wps:cNvCnPr>
                      <wps:spPr>
                        <a:xfrm flipH="1">
                          <a:off x="6546215" y="3180715"/>
                          <a:ext cx="207645" cy="614045"/>
                        </a:xfrm>
                        <a:prstGeom prst="straightConnector1">
                          <a:avLst/>
                        </a:prstGeom>
                        <a:noFill/>
                        <a:ln w="22225" cap="flat" cmpd="sng" algn="ctr">
                          <a:solidFill>
                            <a:srgbClr val="2E75B6">
                              <a:lumMod val="75000"/>
                            </a:srgbClr>
                          </a:solidFill>
                          <a:prstDash val="solid"/>
                          <a:miter lim="800000"/>
                          <a:tailEnd type="arrow"/>
                        </a:ln>
                        <a:effectLst/>
                      </wps:spPr>
                      <wps:bodyPr/>
                    </wps:wsp>
                  </a:graphicData>
                </a:graphic>
              </wp:anchor>
            </w:drawing>
          </mc:Choice>
          <mc:Fallback>
            <w:pict>
              <v:shape id="_x0000_s1026" o:spid="_x0000_s1026" o:spt="32" type="#_x0000_t32" style="position:absolute;left:0pt;flip:x;margin-left:436.65pt;margin-top:89.6pt;height:48.35pt;width:16.35pt;z-index:251698176;mso-width-relative:page;mso-height-relative:page;" filled="f" stroked="t" coordsize="21600,21600" o:gfxdata="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yD1t2wAAAAsB&#10;AAAPAAAAAAAAAAEAIAAAACIAAABkcnMvZG93bnJldi54bWxQSwECFAAUAAAACACHTuJAuJPu/VEC&#10;AABxBAAADgAAAAAAAAABACAAAAAqAQAAZHJzL2Uyb0RvYy54bWxQSwUGAAAAAAYABgBZAQAA7QUA&#10;AAAA&#10;">
                <v:fill on="f" focussize="0,0"/>
                <v:stroke weight="1.75pt" color="#225889" miterlimit="8" joinstyle="miter" endarrow="open"/>
                <v:imagedata o:title=""/>
                <o:lock v:ext="edit" aspectratio="f"/>
              </v:shape>
            </w:pict>
          </mc:Fallback>
        </mc:AlternateContent>
      </w:r>
      <w:r>
        <w:rPr>
          <w:sz w:val="24"/>
        </w:rPr>
        <mc:AlternateContent>
          <mc:Choice Requires="wpg">
            <w:drawing>
              <wp:anchor distT="0" distB="0" distL="114300" distR="114300" simplePos="0" relativeHeight="251705344" behindDoc="0" locked="0" layoutInCell="1" allowOverlap="1">
                <wp:simplePos x="0" y="0"/>
                <wp:positionH relativeFrom="column">
                  <wp:posOffset>3608705</wp:posOffset>
                </wp:positionH>
                <wp:positionV relativeFrom="paragraph">
                  <wp:posOffset>1365885</wp:posOffset>
                </wp:positionV>
                <wp:extent cx="3042920" cy="2118360"/>
                <wp:effectExtent l="6350" t="7620" r="17780" b="7620"/>
                <wp:wrapNone/>
                <wp:docPr id="135" name="组合 135"/>
                <wp:cNvGraphicFramePr/>
                <a:graphic xmlns:a="http://schemas.openxmlformats.org/drawingml/2006/main">
                  <a:graphicData uri="http://schemas.microsoft.com/office/word/2010/wordprocessingGroup">
                    <wpg:wgp>
                      <wpg:cNvGrpSpPr/>
                      <wpg:grpSpPr>
                        <a:xfrm>
                          <a:off x="0" y="0"/>
                          <a:ext cx="3042920" cy="2118360"/>
                          <a:chOff x="9082" y="1719312"/>
                          <a:chExt cx="4373" cy="3173"/>
                        </a:xfrm>
                      </wpg:grpSpPr>
                      <wps:wsp>
                        <wps:cNvPr id="143" name="自选图形 1096"/>
                        <wps:cNvSpPr/>
                        <wps:spPr>
                          <a:xfrm>
                            <a:off x="9082" y="1719625"/>
                            <a:ext cx="2377" cy="2860"/>
                          </a:xfrm>
                          <a:custGeom>
                            <a:avLst/>
                            <a:gdLst>
                              <a:gd name="A1" fmla="val 0"/>
                              <a:gd name="A2" fmla="val 0"/>
                            </a:gdLst>
                            <a:ahLst/>
                            <a:cxnLst>
                              <a:cxn ang="0">
                                <a:pos x="296652" y="69412"/>
                              </a:cxn>
                              <a:cxn ang="0">
                                <a:pos x="288544" y="338686"/>
                              </a:cxn>
                              <a:cxn ang="0">
                                <a:pos x="0" y="345268"/>
                              </a:cxn>
                              <a:cxn ang="0">
                                <a:pos x="31084" y="1519300"/>
                              </a:cxn>
                              <a:cxn ang="0">
                                <a:pos x="179748" y="1574352"/>
                              </a:cxn>
                              <a:cxn ang="0">
                                <a:pos x="312195" y="1670692"/>
                              </a:cxn>
                              <a:cxn ang="0">
                                <a:pos x="460183" y="1816100"/>
                              </a:cxn>
                              <a:cxn ang="0">
                                <a:pos x="577088" y="1816100"/>
                              </a:cxn>
                              <a:cxn ang="0">
                                <a:pos x="1396093" y="1166851"/>
                              </a:cxn>
                              <a:cxn ang="0">
                                <a:pos x="1442720" y="1008279"/>
                              </a:cxn>
                              <a:cxn ang="0">
                                <a:pos x="1076465" y="62232"/>
                              </a:cxn>
                              <a:cxn ang="0">
                                <a:pos x="966994" y="0"/>
                              </a:cxn>
                              <a:cxn ang="0">
                                <a:pos x="296652" y="69412"/>
                              </a:cxn>
                            </a:cxnLst>
                            <a:pathLst>
                              <a:path w="1355725" h="1927225">
                                <a:moveTo>
                                  <a:pt x="278765" y="73660"/>
                                </a:moveTo>
                                <a:lnTo>
                                  <a:pt x="271145" y="359410"/>
                                </a:lnTo>
                                <a:lnTo>
                                  <a:pt x="0" y="366395"/>
                                </a:lnTo>
                                <a:lnTo>
                                  <a:pt x="29210" y="1612265"/>
                                </a:lnTo>
                                <a:lnTo>
                                  <a:pt x="168910" y="1670685"/>
                                </a:lnTo>
                                <a:lnTo>
                                  <a:pt x="293370" y="1772920"/>
                                </a:lnTo>
                                <a:lnTo>
                                  <a:pt x="432435" y="1927225"/>
                                </a:lnTo>
                                <a:lnTo>
                                  <a:pt x="542290" y="1927225"/>
                                </a:lnTo>
                                <a:lnTo>
                                  <a:pt x="1311910" y="1238250"/>
                                </a:lnTo>
                                <a:lnTo>
                                  <a:pt x="1355725" y="1069975"/>
                                </a:lnTo>
                                <a:lnTo>
                                  <a:pt x="1011555" y="66040"/>
                                </a:lnTo>
                                <a:lnTo>
                                  <a:pt x="908685" y="0"/>
                                </a:lnTo>
                                <a:lnTo>
                                  <a:pt x="278765" y="73660"/>
                                </a:lnTo>
                                <a:close/>
                              </a:path>
                            </a:pathLst>
                          </a:custGeom>
                          <a:solidFill>
                            <a:srgbClr val="FF0000">
                              <a:alpha val="29999"/>
                            </a:srgbClr>
                          </a:solidFill>
                          <a:ln w="12700" cap="flat" cmpd="sng">
                            <a:solidFill>
                              <a:srgbClr val="FF0000">
                                <a:alpha val="48000"/>
                              </a:srgb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wps:txbx>
                        <wps:bodyPr vert="horz" anchor="t" anchorCtr="0" upright="1"/>
                      </wps:wsp>
                      <wps:wsp>
                        <wps:cNvPr id="144" name="自选图形 1095"/>
                        <wps:cNvSpPr/>
                        <wps:spPr>
                          <a:xfrm>
                            <a:off x="11265" y="1719598"/>
                            <a:ext cx="2191" cy="1630"/>
                          </a:xfrm>
                          <a:custGeom>
                            <a:avLst/>
                            <a:gdLst>
                              <a:gd name="A1" fmla="val 0"/>
                              <a:gd name="A2" fmla="val 0"/>
                            </a:gdLst>
                            <a:ahLst/>
                            <a:cxnLst>
                              <a:cxn ang="0">
                                <a:pos x="0" y="493774"/>
                              </a:cxn>
                              <a:cxn ang="0">
                                <a:pos x="1058203" y="0"/>
                              </a:cxn>
                              <a:cxn ang="0">
                                <a:pos x="1297305" y="548312"/>
                              </a:cxn>
                              <a:cxn ang="0">
                                <a:pos x="1249366" y="703716"/>
                              </a:cxn>
                              <a:cxn ang="0">
                                <a:pos x="519040" y="1035050"/>
                              </a:cxn>
                              <a:cxn ang="0">
                                <a:pos x="286448" y="1001623"/>
                              </a:cxn>
                              <a:cxn ang="0">
                                <a:pos x="0" y="493774"/>
                              </a:cxn>
                            </a:cxnLst>
                            <a:pathLst>
                              <a:path w="1391920" h="1120775">
                                <a:moveTo>
                                  <a:pt x="0" y="534670"/>
                                </a:moveTo>
                                <a:lnTo>
                                  <a:pt x="1135380" y="0"/>
                                </a:lnTo>
                                <a:lnTo>
                                  <a:pt x="1391920" y="593725"/>
                                </a:lnTo>
                                <a:lnTo>
                                  <a:pt x="1340485" y="762000"/>
                                </a:lnTo>
                                <a:lnTo>
                                  <a:pt x="556895" y="1120775"/>
                                </a:lnTo>
                                <a:lnTo>
                                  <a:pt x="307340" y="1084580"/>
                                </a:lnTo>
                                <a:lnTo>
                                  <a:pt x="0" y="534670"/>
                                </a:lnTo>
                                <a:close/>
                              </a:path>
                            </a:pathLst>
                          </a:custGeom>
                          <a:solidFill>
                            <a:srgbClr val="FF0000">
                              <a:alpha val="29999"/>
                            </a:srgbClr>
                          </a:solidFill>
                          <a:ln w="12700" cap="flat" cmpd="sng">
                            <a:solidFill>
                              <a:srgbClr val="FF0000">
                                <a:alpha val="48000"/>
                              </a:srgb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wps:txbx>
                        <wps:bodyPr vert="horz" anchor="t" anchorCtr="0" upright="1"/>
                      </wps:wsp>
                      <wps:wsp>
                        <wps:cNvPr id="145" name="自选图形 1094"/>
                        <wps:cNvSpPr/>
                        <wps:spPr>
                          <a:xfrm>
                            <a:off x="10964" y="1719312"/>
                            <a:ext cx="1167" cy="1064"/>
                          </a:xfrm>
                          <a:custGeom>
                            <a:avLst/>
                            <a:gdLst>
                              <a:gd name="A1" fmla="val 0"/>
                              <a:gd name="A2" fmla="val 0"/>
                            </a:gdLst>
                            <a:ahLst/>
                            <a:cxnLst>
                              <a:cxn ang="0">
                                <a:pos x="63135" y="136074"/>
                              </a:cxn>
                              <a:cxn ang="0">
                                <a:pos x="0" y="238426"/>
                              </a:cxn>
                              <a:cxn ang="0">
                                <a:pos x="208621" y="675640"/>
                              </a:cxn>
                              <a:cxn ang="0">
                                <a:pos x="664845" y="450229"/>
                              </a:cxn>
                              <a:cxn ang="0">
                                <a:pos x="531985" y="183996"/>
                              </a:cxn>
                              <a:cxn ang="0">
                                <a:pos x="538024" y="20115"/>
                              </a:cxn>
                              <a:cxn ang="0">
                                <a:pos x="531985" y="0"/>
                              </a:cxn>
                              <a:cxn ang="0">
                                <a:pos x="63135" y="136074"/>
                              </a:cxn>
                            </a:cxnLst>
                            <a:pathLst>
                              <a:path w="768985" h="725170">
                                <a:moveTo>
                                  <a:pt x="73025" y="146050"/>
                                </a:moveTo>
                                <a:lnTo>
                                  <a:pt x="0" y="255905"/>
                                </a:lnTo>
                                <a:lnTo>
                                  <a:pt x="241300" y="725170"/>
                                </a:lnTo>
                                <a:lnTo>
                                  <a:pt x="768985" y="483235"/>
                                </a:lnTo>
                                <a:lnTo>
                                  <a:pt x="615315" y="197485"/>
                                </a:lnTo>
                                <a:lnTo>
                                  <a:pt x="622300" y="21590"/>
                                </a:lnTo>
                                <a:lnTo>
                                  <a:pt x="615315" y="0"/>
                                </a:lnTo>
                                <a:lnTo>
                                  <a:pt x="73025" y="146050"/>
                                </a:lnTo>
                                <a:close/>
                              </a:path>
                            </a:pathLst>
                          </a:custGeom>
                          <a:solidFill>
                            <a:srgbClr val="FF0000">
                              <a:alpha val="32999"/>
                            </a:srgbClr>
                          </a:solidFill>
                          <a:ln w="12700" cap="flat" cmpd="sng">
                            <a:solidFill>
                              <a:srgbClr val="FF0000">
                                <a:alpha val="43999"/>
                              </a:srgbClr>
                            </a:solidFill>
                            <a:prstDash val="solid"/>
                            <a:miter/>
                            <a:headEnd type="none" w="med" len="med"/>
                            <a:tailEnd type="none" w="med" len="med"/>
                          </a:ln>
                        </wps:spPr>
                        <wps:txb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wps:txbx>
                        <wps:bodyPr vert="horz" anchor="t" anchorCtr="0" upright="1"/>
                      </wps:wsp>
                    </wpg:wgp>
                  </a:graphicData>
                </a:graphic>
              </wp:anchor>
            </w:drawing>
          </mc:Choice>
          <mc:Fallback>
            <w:pict>
              <v:group id="_x0000_s1026" o:spid="_x0000_s1026" o:spt="203" style="position:absolute;left:0pt;margin-left:284.15pt;margin-top:107.55pt;height:166.8pt;width:239.6pt;z-index:251705344;mso-width-relative:page;mso-height-relative:page;" coordorigin="9082,1719312" coordsize="4373,3173" o:gfxdata="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">
                <o:lock v:ext="edit" aspectratio="f"/>
                <v:shape id="自选图形 1096" o:spid="_x0000_s1026" o:spt="100" style="position:absolute;left:9082;top:1719625;height:2860;width:2377;" fillcolor="#FF0000" filled="t" stroked="t" coordsize="1355725,1927225" o:gfxdata="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JfRu8AAAA&#10;3AAAAA8AAAAAAAAAAQAgAAAAIgAAAGRycy9kb3ducmV2LnhtbFBLAQIUABQAAAAIAIdO4kAzLwWe&#10;OwAAADkAAAAQAAAAAAAAAAEAIAAAAAsBAABkcnMvc2hhcGV4bWwueG1sUEsFBgAAAAAGAAYAWwEA&#10;ALUDAAAAAA==&#10;" path="m278765,73660l271145,359410,0,366395,29210,1612265,168910,1670685,293370,1772920,432435,1927225,542290,1927225,1311910,1238250,1355725,1069975,1011555,66040,908685,0,278765,73660xe">
                  <v:path textboxrect="0,0,1355725,1927225" o:connectlocs="296652,69412;288544,338686;0,345268;31084,1519300;179748,1574352;312195,1670692;460183,1816100;577088,1816100;1396093,1166851;1442720,1008279;1076465,62232;966994,0;296652,69412" o:connectangles="0,0,0,0,0,0,0,0,0,0,0,0,0"/>
                  <v:fill on="t" opacity="19660f" focussize="0,0"/>
                  <v:stroke weight="1pt" color="#FF0000" opacity="31457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v:textbox>
                </v:shape>
                <v:shape id="自选图形 1095" o:spid="_x0000_s1026" o:spt="100" style="position:absolute;left:11265;top:1719598;height:1630;width:2191;" fillcolor="#FF0000" filled="t" stroked="t" coordsize="1391920,1120775" o:gfxdata="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n986b4A&#10;AADcAAAADwAAAAAAAAABACAAAAAiAAAAZHJzL2Rvd25yZXYueG1sUEsBAhQAFAAAAAgAh07iQDMv&#10;BZ47AAAAOQAAABAAAAAAAAAAAQAgAAAADQEAAGRycy9zaGFwZXhtbC54bWxQSwUGAAAAAAYABgBb&#10;AQAAtwMAAAAA&#10;" path="m0,534670l1135380,0,1391920,593725,1340485,762000,556895,1120775,307340,1084580,0,534670xe">
                  <v:path textboxrect="0,0,1391920,1120775" o:connectlocs="0,493774;1058203,0;1297305,548312;1249366,703716;519040,1035050;286448,1001623;0,493774" o:connectangles="0,0,0,0,0,0,0"/>
                  <v:fill on="t" opacity="19660f" focussize="0,0"/>
                  <v:stroke weight="1pt" color="#FF0000" opacity="31457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v:textbox>
                </v:shape>
                <v:shape id="自选图形 1094" o:spid="_x0000_s1026" o:spt="100" style="position:absolute;left:10964;top:1719312;height:1064;width:1167;" fillcolor="#FF0000" filled="t" stroked="t" coordsize="768985,725170" o:gfxdata="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e8MJugAAANwA&#10;AAAPAAAAAAAAAAEAIAAAACIAAABkcnMvZG93bnJldi54bWxQSwECFAAUAAAACACHTuJAMy8FnjsA&#10;AAA5AAAAEAAAAAAAAAABACAAAAAJAQAAZHJzL3NoYXBleG1sLnhtbFBLBQYAAAAABgAGAFsBAACz&#10;AwAAAAA=&#10;" path="m73025,146050l0,255905,241300,725170,768985,483235,615315,197485,622300,21590,615315,0,73025,146050xe">
                  <v:path textboxrect="0,0,768985,725170" o:connectlocs="63135,136074;0,238426;208621,675640;664845,450229;531985,183996;538024,20115;531985,0;63135,136074" o:connectangles="0,0,0,0,0,0,0,0"/>
                  <v:fill on="t" opacity="21626f" focussize="0,0"/>
                  <v:stroke weight="1pt" color="#FF0000" opacity="28835f" joinstyle="miter"/>
                  <v:imagedata o:title=""/>
                  <o:lock v:ext="edit" aspectratio="f"/>
                  <v:textbo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v:textbox>
                </v:shape>
              </v:group>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5753100</wp:posOffset>
                </wp:positionH>
                <wp:positionV relativeFrom="paragraph">
                  <wp:posOffset>913765</wp:posOffset>
                </wp:positionV>
                <wp:extent cx="1295400" cy="447675"/>
                <wp:effectExtent l="4445" t="4445" r="14605" b="5080"/>
                <wp:wrapNone/>
                <wp:docPr id="136" name="文本框 136"/>
                <wp:cNvGraphicFramePr/>
                <a:graphic xmlns:a="http://schemas.openxmlformats.org/drawingml/2006/main">
                  <a:graphicData uri="http://schemas.microsoft.com/office/word/2010/wordprocessingShape">
                    <wps:wsp>
                      <wps:cNvSpPr txBox="1"/>
                      <wps:spPr>
                        <a:xfrm>
                          <a:off x="0" y="0"/>
                          <a:ext cx="1295400" cy="447675"/>
                        </a:xfrm>
                        <a:prstGeom prst="rect">
                          <a:avLst/>
                        </a:prstGeom>
                        <a:solidFill>
                          <a:srgbClr val="5B9BD5"/>
                        </a:solidFill>
                        <a:ln w="9525" cap="flat" cmpd="sng">
                          <a:solidFill>
                            <a:srgbClr val="2E75B6"/>
                          </a:solidFill>
                          <a:prstDash val="solid"/>
                          <a:miter/>
                          <a:headEnd type="none" w="med" len="med"/>
                          <a:tailEnd type="none" w="med" len="med"/>
                        </a:ln>
                        <a:effectLst/>
                      </wps:spPr>
                      <wps:txbx>
                        <w:txbxContent>
                          <w:p>
                            <w:r>
                              <w:rPr>
                                <w:rFonts w:hint="eastAsia"/>
                              </w:rPr>
                              <w:t>临时沉淀池、施工出入口、洗车平台</w:t>
                            </w:r>
                          </w:p>
                        </w:txbxContent>
                      </wps:txbx>
                      <wps:bodyPr upright="1"/>
                    </wps:wsp>
                  </a:graphicData>
                </a:graphic>
              </wp:anchor>
            </w:drawing>
          </mc:Choice>
          <mc:Fallback>
            <w:pict>
              <v:shape id="_x0000_s1026" o:spid="_x0000_s1026" o:spt="202" type="#_x0000_t202" style="position:absolute;left:0pt;margin-left:453pt;margin-top:71.95pt;height:35.25pt;width:102pt;z-index:251695104;mso-width-relative:page;mso-height-relative:page;" fillcolor="#5B9BD5" filled="t" stroked="t" coordsize="21600,21600" o:gfxdata="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gxb+52QAAAAwB&#10;AAAPAAAAAAAAAAEAIAAAACIAAABkcnMvZG93bnJldi54bWxQSwECFAAUAAAACACHTuJAsba1uxoC&#10;AABIBAAADgAAAAAAAAABACAAAAAoAQAAZHJzL2Uyb0RvYy54bWxQSwUGAAAAAAYABgBZAQAAtAUA&#10;AAAA&#10;">
                <v:fill on="t" focussize="0,0"/>
                <v:stroke color="#2E75B6" joinstyle="miter"/>
                <v:imagedata o:title=""/>
                <o:lock v:ext="edit" aspectratio="f"/>
                <v:textbox>
                  <w:txbxContent>
                    <w:p>
                      <w:r>
                        <w:rPr>
                          <w:rFonts w:hint="eastAsia"/>
                        </w:rPr>
                        <w:t>临时沉淀池、施工出入口、洗车平台</w:t>
                      </w:r>
                    </w:p>
                  </w:txbxContent>
                </v:textbox>
              </v:shape>
            </w:pict>
          </mc:Fallback>
        </mc:AlternateContent>
      </w:r>
      <w:r>
        <w:drawing>
          <wp:inline distT="0" distB="0" distL="114300" distR="114300">
            <wp:extent cx="8855710" cy="4584065"/>
            <wp:effectExtent l="0" t="0" r="2540" b="6985"/>
            <wp:docPr id="14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3"/>
                    <pic:cNvPicPr>
                      <a:picLocks noChangeAspect="1"/>
                    </pic:cNvPicPr>
                  </pic:nvPicPr>
                  <pic:blipFill>
                    <a:blip r:embed="rId54" cstate="print"/>
                    <a:stretch>
                      <a:fillRect/>
                    </a:stretch>
                  </pic:blipFill>
                  <pic:spPr>
                    <a:xfrm>
                      <a:off x="0" y="0"/>
                      <a:ext cx="8855710" cy="4584065"/>
                    </a:xfrm>
                    <a:prstGeom prst="rect">
                      <a:avLst/>
                    </a:prstGeom>
                    <a:noFill/>
                    <a:ln>
                      <a:noFill/>
                    </a:ln>
                  </pic:spPr>
                </pic:pic>
              </a:graphicData>
            </a:graphic>
          </wp:inline>
        </w:drawing>
      </w:r>
      <w:r>
        <w:rPr>
          <w:sz w:val="24"/>
        </w:rPr>
        <mc:AlternateContent>
          <mc:Choice Requires="wps">
            <w:drawing>
              <wp:anchor distT="0" distB="0" distL="114300" distR="114300" simplePos="0" relativeHeight="251703296" behindDoc="0" locked="0" layoutInCell="1" allowOverlap="1">
                <wp:simplePos x="0" y="0"/>
                <wp:positionH relativeFrom="column">
                  <wp:posOffset>8251825</wp:posOffset>
                </wp:positionH>
                <wp:positionV relativeFrom="paragraph">
                  <wp:posOffset>1090930</wp:posOffset>
                </wp:positionV>
                <wp:extent cx="363220" cy="563880"/>
                <wp:effectExtent l="6350" t="6350" r="11430" b="20320"/>
                <wp:wrapNone/>
                <wp:docPr id="77" name="任意多边形 77"/>
                <wp:cNvGraphicFramePr/>
                <a:graphic xmlns:a="http://schemas.openxmlformats.org/drawingml/2006/main">
                  <a:graphicData uri="http://schemas.microsoft.com/office/word/2010/wordprocessingShape">
                    <wps:wsp>
                      <wps:cNvSpPr/>
                      <wps:spPr>
                        <a:xfrm>
                          <a:off x="9166225" y="2431415"/>
                          <a:ext cx="363220" cy="563880"/>
                        </a:xfrm>
                        <a:custGeom>
                          <a:avLst/>
                          <a:gdLst>
                            <a:gd name="connisteX0" fmla="*/ 239150 w 362975"/>
                            <a:gd name="connsiteY0" fmla="*/ 181 h 564016"/>
                            <a:gd name="connisteX1" fmla="*/ 172475 w 362975"/>
                            <a:gd name="connsiteY1" fmla="*/ 38281 h 564016"/>
                            <a:gd name="connisteX2" fmla="*/ 124850 w 362975"/>
                            <a:gd name="connsiteY2" fmla="*/ 104956 h 564016"/>
                            <a:gd name="connisteX3" fmla="*/ 77225 w 362975"/>
                            <a:gd name="connsiteY3" fmla="*/ 171631 h 564016"/>
                            <a:gd name="connisteX4" fmla="*/ 48650 w 362975"/>
                            <a:gd name="connsiteY4" fmla="*/ 238306 h 564016"/>
                            <a:gd name="connisteX5" fmla="*/ 29600 w 362975"/>
                            <a:gd name="connsiteY5" fmla="*/ 304981 h 564016"/>
                            <a:gd name="connisteX6" fmla="*/ 10550 w 362975"/>
                            <a:gd name="connsiteY6" fmla="*/ 371656 h 564016"/>
                            <a:gd name="connisteX7" fmla="*/ 1025 w 362975"/>
                            <a:gd name="connsiteY7" fmla="*/ 438331 h 564016"/>
                            <a:gd name="connisteX8" fmla="*/ 29600 w 362975"/>
                            <a:gd name="connsiteY8" fmla="*/ 505006 h 564016"/>
                            <a:gd name="connisteX9" fmla="*/ 96275 w 362975"/>
                            <a:gd name="connsiteY9" fmla="*/ 514531 h 564016"/>
                            <a:gd name="connisteX10" fmla="*/ 162950 w 362975"/>
                            <a:gd name="connsiteY10" fmla="*/ 543106 h 564016"/>
                            <a:gd name="connisteX11" fmla="*/ 229625 w 362975"/>
                            <a:gd name="connsiteY11" fmla="*/ 562156 h 564016"/>
                            <a:gd name="connisteX12" fmla="*/ 296300 w 362975"/>
                            <a:gd name="connsiteY12" fmla="*/ 552631 h 564016"/>
                            <a:gd name="connisteX13" fmla="*/ 343925 w 362975"/>
                            <a:gd name="connsiteY13" fmla="*/ 485956 h 564016"/>
                            <a:gd name="connisteX14" fmla="*/ 343925 w 362975"/>
                            <a:gd name="connsiteY14" fmla="*/ 419281 h 564016"/>
                            <a:gd name="connisteX15" fmla="*/ 343925 w 362975"/>
                            <a:gd name="connsiteY15" fmla="*/ 352606 h 564016"/>
                            <a:gd name="connisteX16" fmla="*/ 353450 w 362975"/>
                            <a:gd name="connsiteY16" fmla="*/ 285931 h 564016"/>
                            <a:gd name="connisteX17" fmla="*/ 362975 w 362975"/>
                            <a:gd name="connsiteY17" fmla="*/ 219256 h 564016"/>
                            <a:gd name="connisteX18" fmla="*/ 353450 w 362975"/>
                            <a:gd name="connsiteY18" fmla="*/ 152581 h 564016"/>
                            <a:gd name="connisteX19" fmla="*/ 343925 w 362975"/>
                            <a:gd name="connsiteY19" fmla="*/ 85906 h 564016"/>
                            <a:gd name="connisteX20" fmla="*/ 277250 w 362975"/>
                            <a:gd name="connsiteY20" fmla="*/ 28756 h 564016"/>
                            <a:gd name="connisteX21" fmla="*/ 239150 w 362975"/>
                            <a:gd name="connsiteY21" fmla="*/ 181 h 564016"/>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362976" h="564016">
                              <a:moveTo>
                                <a:pt x="239151" y="181"/>
                              </a:moveTo>
                              <a:cubicBezTo>
                                <a:pt x="218196" y="2086"/>
                                <a:pt x="195336" y="17326"/>
                                <a:pt x="172476" y="38281"/>
                              </a:cubicBezTo>
                              <a:cubicBezTo>
                                <a:pt x="149616" y="59236"/>
                                <a:pt x="143901" y="78286"/>
                                <a:pt x="124851" y="104956"/>
                              </a:cubicBezTo>
                              <a:cubicBezTo>
                                <a:pt x="105801" y="131626"/>
                                <a:pt x="92466" y="144961"/>
                                <a:pt x="77226" y="171631"/>
                              </a:cubicBezTo>
                              <a:cubicBezTo>
                                <a:pt x="61986" y="198301"/>
                                <a:pt x="58176" y="211636"/>
                                <a:pt x="48651" y="238306"/>
                              </a:cubicBezTo>
                              <a:cubicBezTo>
                                <a:pt x="39126" y="264976"/>
                                <a:pt x="37221" y="278311"/>
                                <a:pt x="29601" y="304981"/>
                              </a:cubicBezTo>
                              <a:cubicBezTo>
                                <a:pt x="21981" y="331651"/>
                                <a:pt x="16266" y="344986"/>
                                <a:pt x="10551" y="371656"/>
                              </a:cubicBezTo>
                              <a:cubicBezTo>
                                <a:pt x="4836" y="398326"/>
                                <a:pt x="-2784" y="411661"/>
                                <a:pt x="1026" y="438331"/>
                              </a:cubicBezTo>
                              <a:cubicBezTo>
                                <a:pt x="4836" y="465001"/>
                                <a:pt x="10551" y="489766"/>
                                <a:pt x="29601" y="505006"/>
                              </a:cubicBezTo>
                              <a:cubicBezTo>
                                <a:pt x="48651" y="520246"/>
                                <a:pt x="69606" y="506911"/>
                                <a:pt x="96276" y="514531"/>
                              </a:cubicBezTo>
                              <a:cubicBezTo>
                                <a:pt x="122946" y="522151"/>
                                <a:pt x="136281" y="533581"/>
                                <a:pt x="162951" y="543106"/>
                              </a:cubicBezTo>
                              <a:cubicBezTo>
                                <a:pt x="189621" y="552631"/>
                                <a:pt x="202956" y="560251"/>
                                <a:pt x="229626" y="562156"/>
                              </a:cubicBezTo>
                              <a:cubicBezTo>
                                <a:pt x="256296" y="564061"/>
                                <a:pt x="273441" y="567871"/>
                                <a:pt x="296301" y="552631"/>
                              </a:cubicBezTo>
                              <a:cubicBezTo>
                                <a:pt x="319161" y="537391"/>
                                <a:pt x="334401" y="512626"/>
                                <a:pt x="343926" y="485956"/>
                              </a:cubicBezTo>
                              <a:cubicBezTo>
                                <a:pt x="353451" y="459286"/>
                                <a:pt x="343926" y="445951"/>
                                <a:pt x="343926" y="419281"/>
                              </a:cubicBezTo>
                              <a:cubicBezTo>
                                <a:pt x="343926" y="392611"/>
                                <a:pt x="342021" y="379276"/>
                                <a:pt x="343926" y="352606"/>
                              </a:cubicBezTo>
                              <a:cubicBezTo>
                                <a:pt x="345831" y="325936"/>
                                <a:pt x="349641" y="312601"/>
                                <a:pt x="353451" y="285931"/>
                              </a:cubicBezTo>
                              <a:cubicBezTo>
                                <a:pt x="357261" y="259261"/>
                                <a:pt x="362976" y="245926"/>
                                <a:pt x="362976" y="219256"/>
                              </a:cubicBezTo>
                              <a:cubicBezTo>
                                <a:pt x="362976" y="192586"/>
                                <a:pt x="357261" y="179251"/>
                                <a:pt x="353451" y="152581"/>
                              </a:cubicBezTo>
                              <a:cubicBezTo>
                                <a:pt x="349641" y="125911"/>
                                <a:pt x="359166" y="110671"/>
                                <a:pt x="343926" y="85906"/>
                              </a:cubicBezTo>
                              <a:cubicBezTo>
                                <a:pt x="328686" y="61141"/>
                                <a:pt x="298206" y="45901"/>
                                <a:pt x="277251" y="28756"/>
                              </a:cubicBezTo>
                              <a:cubicBezTo>
                                <a:pt x="256296" y="11611"/>
                                <a:pt x="260106" y="-1724"/>
                                <a:pt x="239151" y="181"/>
                              </a:cubicBezTo>
                              <a:close/>
                            </a:path>
                          </a:pathLst>
                        </a:custGeom>
                        <a:solidFill>
                          <a:schemeClr val="accent2">
                            <a:alpha val="54000"/>
                          </a:schemeClr>
                        </a:solidFill>
                        <a:ln>
                          <a:solidFill>
                            <a:schemeClr val="accent2">
                              <a:shade val="50000"/>
                              <a:alpha val="60000"/>
                            </a:schemeClr>
                          </a:solidFill>
                        </a:ln>
                      </wps:spPr>
                      <wps:style>
                        <a:lnRef idx="2">
                          <a:schemeClr val="accent2">
                            <a:shade val="50000"/>
                          </a:schemeClr>
                        </a:lnRef>
                        <a:fillRef idx="1">
                          <a:schemeClr val="accent2"/>
                        </a:fillRef>
                        <a:effectRef idx="0">
                          <a:schemeClr val="accent2"/>
                        </a:effectRef>
                        <a:fontRef idx="minor">
                          <a:schemeClr val="lt1"/>
                        </a:fontRef>
                      </wps:style>
                      <wps:bodyPr/>
                    </wps:wsp>
                  </a:graphicData>
                </a:graphic>
              </wp:anchor>
            </w:drawing>
          </mc:Choice>
          <mc:Fallback>
            <w:pict>
              <v:shape id="_x0000_s1026" o:spid="_x0000_s1026" o:spt="100" style="position:absolute;left:0pt;margin-left:649.75pt;margin-top:85.9pt;height:44.4pt;width:28.6pt;z-index:251703296;mso-width-relative:page;mso-height-relative:page;" fillcolor="#ED7D31 [3205]" filled="t" stroked="t" coordsize="362976,564016" o:gfxdata="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" path="m239151,181c218196,2086,195336,17326,172476,38281c149616,59236,143901,78286,124851,104956c105801,131626,92466,144961,77226,171631c61986,198301,58176,211636,48651,238306c39126,264976,37221,278311,29601,304981c21981,331651,16266,344986,10551,371656c4836,398326,-2784,411661,1026,438331c4836,465001,10551,489766,29601,505006c48651,520246,69606,506911,96276,514531c122946,522151,136281,533581,162951,543106c189621,552631,202956,560251,229626,562156c256296,564061,273441,567871,296301,552631c319161,537391,334401,512626,343926,485956c353451,459286,343926,445951,343926,419281c343926,392611,342021,379276,343926,352606c345831,325936,349641,312601,353451,285931c357261,259261,362976,245926,362976,219256c362976,192586,357261,179251,353451,152581c349641,125911,359166,110671,343926,85906c328686,61141,298206,45901,277251,28756c256296,11611,260106,-1724,239151,181xe">
                <v:path o:connectlocs="239311,180;172591,38271;124934,104930;77277,171589;48682,238248;29619,304907;10557,371566;1025,438225;29619,504884;96339,514406;163059,542975;229779,562020;296499,552497;344157,485838;344157,419179;344157,352520;353688,285862;363220,219203;353688,152544;344157,85885;277437,28749;239311,180" o:connectangles="0,0,0,0,0,0,0,0,0,0,0,0,0,0,0,0,0,0,0,0,0,0"/>
                <v:fill on="t" opacity="35389f" focussize="0,0"/>
                <v:stroke weight="1pt" color="#AE5A21 [3205]" opacity="39321f" miterlimit="8" joinstyle="miter"/>
                <v:imagedata o:title=""/>
                <o:lock v:ext="edit" aspectratio="f"/>
              </v:shape>
            </w:pict>
          </mc:Fallback>
        </mc:AlternateContent>
      </w:r>
      <w:r>
        <w:drawing>
          <wp:anchor distT="0" distB="0" distL="114300" distR="114300" simplePos="0" relativeHeight="251700224" behindDoc="0" locked="0" layoutInCell="1" allowOverlap="1">
            <wp:simplePos x="0" y="0"/>
            <wp:positionH relativeFrom="column">
              <wp:posOffset>8337550</wp:posOffset>
            </wp:positionH>
            <wp:positionV relativeFrom="paragraph">
              <wp:posOffset>2540</wp:posOffset>
            </wp:positionV>
            <wp:extent cx="516255" cy="451485"/>
            <wp:effectExtent l="0" t="0" r="17145" b="5715"/>
            <wp:wrapNone/>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46" cstate="print"/>
                    <a:stretch>
                      <a:fillRect/>
                    </a:stretch>
                  </pic:blipFill>
                  <pic:spPr>
                    <a:xfrm>
                      <a:off x="0" y="0"/>
                      <a:ext cx="516255" cy="451485"/>
                    </a:xfrm>
                    <a:prstGeom prst="rect">
                      <a:avLst/>
                    </a:prstGeom>
                    <a:noFill/>
                    <a:ln>
                      <a:noFill/>
                    </a:ln>
                  </pic:spPr>
                </pic:pic>
              </a:graphicData>
            </a:graphic>
          </wp:anchor>
        </w:drawing>
      </w:r>
      <w:r>
        <mc:AlternateContent>
          <mc:Choice Requires="wps">
            <w:drawing>
              <wp:anchor distT="0" distB="0" distL="114300" distR="114300" simplePos="0" relativeHeight="251699200" behindDoc="0" locked="0" layoutInCell="1" allowOverlap="1">
                <wp:simplePos x="0" y="0"/>
                <wp:positionH relativeFrom="column">
                  <wp:posOffset>5398135</wp:posOffset>
                </wp:positionH>
                <wp:positionV relativeFrom="paragraph">
                  <wp:posOffset>1671320</wp:posOffset>
                </wp:positionV>
                <wp:extent cx="196215" cy="161290"/>
                <wp:effectExtent l="11430" t="12065" r="20955" b="17145"/>
                <wp:wrapNone/>
                <wp:docPr id="139" name="等腰三角形 139"/>
                <wp:cNvGraphicFramePr/>
                <a:graphic xmlns:a="http://schemas.openxmlformats.org/drawingml/2006/main">
                  <a:graphicData uri="http://schemas.microsoft.com/office/word/2010/wordprocessingShape">
                    <wps:wsp>
                      <wps:cNvSpPr/>
                      <wps:spPr>
                        <a:xfrm>
                          <a:off x="6563360" y="3392805"/>
                          <a:ext cx="196215" cy="161290"/>
                        </a:xfrm>
                        <a:prstGeom prst="triangle">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25.05pt;margin-top:131.6pt;height:12.7pt;width:15.45pt;z-index:251699200;v-text-anchor:middle;mso-width-relative:page;mso-height-relative:page;" fillcolor="#5B9BD5" filled="t" stroked="t" coordsize="21600,21600" o:gfxdata="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X/Yd7XAAAACwEAAA8AAAAAAAAAAQAgAAAAIgAAAGRy&#10;cy9kb3ducmV2LnhtbFBLAQIUABQAAAAIAIdO4kDQ9V+PsQIAAD8FAAAOAAAAAAAAAAEAIAAAACYB&#10;AABkcnMvZTJvRG9jLnhtbFBLBQYAAAAABgAGAFkBAABJBgAAAAA=&#10;" adj="10800">
                <v:fill on="t" focussize="0,0"/>
                <v:stroke weight="1pt" color="#2D5171" miterlimit="8" joinstyle="miter"/>
                <v:imagedata o:title=""/>
                <o:lock v:ext="edit" aspectratio="f"/>
              </v:shape>
            </w:pict>
          </mc:Fallback>
        </mc:AlternateContent>
      </w:r>
    </w:p>
    <w:p>
      <w:pPr>
        <w:pStyle w:val="13"/>
        <w:jc w:val="left"/>
        <w:rPr>
          <w:sz w:val="24"/>
          <w:szCs w:val="32"/>
        </w:rPr>
        <w:sectPr>
          <w:pgSz w:w="11906" w:h="16838"/>
          <w:pgMar w:top="1440" w:right="1800" w:bottom="1440" w:left="1800" w:header="851" w:footer="1077" w:gutter="0"/>
          <w:cols w:space="425" w:num="1"/>
          <w:docGrid w:linePitch="312" w:charSpace="0"/>
        </w:sectPr>
      </w:pPr>
      <w:r>
        <w:rPr>
          <w:sz w:val="24"/>
        </w:rPr>
        <mc:AlternateContent>
          <mc:Choice Requires="wpg">
            <w:drawing>
              <wp:anchor distT="0" distB="0" distL="114300" distR="114300" simplePos="0" relativeHeight="251712512" behindDoc="0" locked="0" layoutInCell="1" allowOverlap="1">
                <wp:simplePos x="0" y="0"/>
                <wp:positionH relativeFrom="column">
                  <wp:posOffset>2358390</wp:posOffset>
                </wp:positionH>
                <wp:positionV relativeFrom="paragraph">
                  <wp:posOffset>1760855</wp:posOffset>
                </wp:positionV>
                <wp:extent cx="518795" cy="501650"/>
                <wp:effectExtent l="6350" t="8890" r="8255" b="22860"/>
                <wp:wrapNone/>
                <wp:docPr id="161" name="组合 161"/>
                <wp:cNvGraphicFramePr/>
                <a:graphic xmlns:a="http://schemas.openxmlformats.org/drawingml/2006/main">
                  <a:graphicData uri="http://schemas.microsoft.com/office/word/2010/wordprocessingGroup">
                    <wpg:wgp>
                      <wpg:cNvGrpSpPr/>
                      <wpg:grpSpPr>
                        <a:xfrm>
                          <a:off x="0" y="0"/>
                          <a:ext cx="518823" cy="501708"/>
                          <a:chOff x="9025" y="1719387"/>
                          <a:chExt cx="3871" cy="3052"/>
                        </a:xfrm>
                      </wpg:grpSpPr>
                      <wps:wsp>
                        <wps:cNvPr id="162" name="自选图形 1096"/>
                        <wps:cNvSpPr/>
                        <wps:spPr>
                          <a:xfrm>
                            <a:off x="9025" y="1719580"/>
                            <a:ext cx="2378" cy="2859"/>
                          </a:xfrm>
                          <a:custGeom>
                            <a:avLst/>
                            <a:gdLst>
                              <a:gd name="A1" fmla="val 0"/>
                              <a:gd name="A2" fmla="val 0"/>
                            </a:gdLst>
                            <a:ahLst/>
                            <a:cxnLst>
                              <a:cxn ang="0">
                                <a:pos x="296652" y="69412"/>
                              </a:cxn>
                              <a:cxn ang="0">
                                <a:pos x="288544" y="338686"/>
                              </a:cxn>
                              <a:cxn ang="0">
                                <a:pos x="0" y="345268"/>
                              </a:cxn>
                              <a:cxn ang="0">
                                <a:pos x="31084" y="1519300"/>
                              </a:cxn>
                              <a:cxn ang="0">
                                <a:pos x="179748" y="1574352"/>
                              </a:cxn>
                              <a:cxn ang="0">
                                <a:pos x="312195" y="1670692"/>
                              </a:cxn>
                              <a:cxn ang="0">
                                <a:pos x="460183" y="1816100"/>
                              </a:cxn>
                              <a:cxn ang="0">
                                <a:pos x="577088" y="1816100"/>
                              </a:cxn>
                              <a:cxn ang="0">
                                <a:pos x="1396093" y="1166851"/>
                              </a:cxn>
                              <a:cxn ang="0">
                                <a:pos x="1442720" y="1008279"/>
                              </a:cxn>
                              <a:cxn ang="0">
                                <a:pos x="1076465" y="62232"/>
                              </a:cxn>
                              <a:cxn ang="0">
                                <a:pos x="966994" y="0"/>
                              </a:cxn>
                              <a:cxn ang="0">
                                <a:pos x="296652" y="69412"/>
                              </a:cxn>
                            </a:cxnLst>
                            <a:pathLst>
                              <a:path w="1355725" h="1927225">
                                <a:moveTo>
                                  <a:pt x="278765" y="73660"/>
                                </a:moveTo>
                                <a:lnTo>
                                  <a:pt x="271145" y="359410"/>
                                </a:lnTo>
                                <a:lnTo>
                                  <a:pt x="0" y="366395"/>
                                </a:lnTo>
                                <a:lnTo>
                                  <a:pt x="29210" y="1612265"/>
                                </a:lnTo>
                                <a:lnTo>
                                  <a:pt x="168910" y="1670685"/>
                                </a:lnTo>
                                <a:lnTo>
                                  <a:pt x="293370" y="1772920"/>
                                </a:lnTo>
                                <a:lnTo>
                                  <a:pt x="432435" y="1927225"/>
                                </a:lnTo>
                                <a:lnTo>
                                  <a:pt x="542290" y="1927225"/>
                                </a:lnTo>
                                <a:lnTo>
                                  <a:pt x="1311910" y="1238250"/>
                                </a:lnTo>
                                <a:lnTo>
                                  <a:pt x="1355725" y="1069975"/>
                                </a:lnTo>
                                <a:lnTo>
                                  <a:pt x="1011555" y="66040"/>
                                </a:lnTo>
                                <a:lnTo>
                                  <a:pt x="908685" y="0"/>
                                </a:lnTo>
                                <a:lnTo>
                                  <a:pt x="278765" y="73660"/>
                                </a:lnTo>
                                <a:close/>
                              </a:path>
                            </a:pathLst>
                          </a:custGeom>
                          <a:pattFill prst="pct25">
                            <a:fgClr>
                              <a:schemeClr val="accent1"/>
                            </a:fgClr>
                            <a:bgClr>
                              <a:schemeClr val="bg1"/>
                            </a:bgClr>
                          </a:pattFill>
                          <a:ln w="12700" cap="flat" cmpd="sng">
                            <a:solidFill>
                              <a:schemeClr val="accent1">
                                <a:alpha val="48000"/>
                              </a:scheme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wps:txbx>
                        <wps:bodyPr vert="horz" anchor="t" anchorCtr="0" upright="1"/>
                      </wps:wsp>
                      <wps:wsp>
                        <wps:cNvPr id="163" name="自选图形 1095"/>
                        <wps:cNvSpPr/>
                        <wps:spPr>
                          <a:xfrm>
                            <a:off x="11266" y="1719756"/>
                            <a:ext cx="1630" cy="1355"/>
                          </a:xfrm>
                          <a:custGeom>
                            <a:avLst/>
                            <a:gdLst>
                              <a:gd name="A1" fmla="val 0"/>
                              <a:gd name="A2" fmla="val 0"/>
                            </a:gdLst>
                            <a:ahLst/>
                            <a:cxnLst>
                              <a:cxn ang="0">
                                <a:pos x="0" y="493774"/>
                              </a:cxn>
                              <a:cxn ang="0">
                                <a:pos x="1058203" y="0"/>
                              </a:cxn>
                              <a:cxn ang="0">
                                <a:pos x="1297305" y="548312"/>
                              </a:cxn>
                              <a:cxn ang="0">
                                <a:pos x="1249366" y="703716"/>
                              </a:cxn>
                              <a:cxn ang="0">
                                <a:pos x="519040" y="1035050"/>
                              </a:cxn>
                              <a:cxn ang="0">
                                <a:pos x="286448" y="1001623"/>
                              </a:cxn>
                              <a:cxn ang="0">
                                <a:pos x="0" y="493774"/>
                              </a:cxn>
                            </a:cxnLst>
                            <a:pathLst>
                              <a:path w="1391920" h="1120775">
                                <a:moveTo>
                                  <a:pt x="0" y="534670"/>
                                </a:moveTo>
                                <a:lnTo>
                                  <a:pt x="1135380" y="0"/>
                                </a:lnTo>
                                <a:lnTo>
                                  <a:pt x="1391920" y="593725"/>
                                </a:lnTo>
                                <a:lnTo>
                                  <a:pt x="1340485" y="762000"/>
                                </a:lnTo>
                                <a:lnTo>
                                  <a:pt x="556895" y="1120775"/>
                                </a:lnTo>
                                <a:lnTo>
                                  <a:pt x="307340" y="1084580"/>
                                </a:lnTo>
                                <a:lnTo>
                                  <a:pt x="0" y="534670"/>
                                </a:lnTo>
                                <a:close/>
                              </a:path>
                            </a:pathLst>
                          </a:custGeom>
                          <a:pattFill prst="pct25">
                            <a:fgClr>
                              <a:schemeClr val="accent1"/>
                            </a:fgClr>
                            <a:bgClr>
                              <a:schemeClr val="bg1"/>
                            </a:bgClr>
                          </a:pattFill>
                          <a:ln w="12700" cap="flat" cmpd="sng">
                            <a:solidFill>
                              <a:schemeClr val="accent1">
                                <a:alpha val="66000"/>
                              </a:scheme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wps:txbx>
                        <wps:bodyPr vert="horz" anchor="t" anchorCtr="0" upright="1"/>
                      </wps:wsp>
                      <wps:wsp>
                        <wps:cNvPr id="164" name="自选图形 1094"/>
                        <wps:cNvSpPr/>
                        <wps:spPr>
                          <a:xfrm>
                            <a:off x="10963" y="1719387"/>
                            <a:ext cx="867" cy="990"/>
                          </a:xfrm>
                          <a:custGeom>
                            <a:avLst/>
                            <a:gdLst>
                              <a:gd name="A1" fmla="val 0"/>
                              <a:gd name="A2" fmla="val 0"/>
                            </a:gdLst>
                            <a:ahLst/>
                            <a:cxnLst>
                              <a:cxn ang="0">
                                <a:pos x="63135" y="136074"/>
                              </a:cxn>
                              <a:cxn ang="0">
                                <a:pos x="0" y="238426"/>
                              </a:cxn>
                              <a:cxn ang="0">
                                <a:pos x="208621" y="675640"/>
                              </a:cxn>
                              <a:cxn ang="0">
                                <a:pos x="664845" y="450229"/>
                              </a:cxn>
                              <a:cxn ang="0">
                                <a:pos x="531985" y="183996"/>
                              </a:cxn>
                              <a:cxn ang="0">
                                <a:pos x="538024" y="20115"/>
                              </a:cxn>
                              <a:cxn ang="0">
                                <a:pos x="531985" y="0"/>
                              </a:cxn>
                              <a:cxn ang="0">
                                <a:pos x="63135" y="136074"/>
                              </a:cxn>
                            </a:cxnLst>
                            <a:pathLst>
                              <a:path w="768985" h="725170">
                                <a:moveTo>
                                  <a:pt x="73025" y="146050"/>
                                </a:moveTo>
                                <a:lnTo>
                                  <a:pt x="0" y="255905"/>
                                </a:lnTo>
                                <a:lnTo>
                                  <a:pt x="241300" y="725170"/>
                                </a:lnTo>
                                <a:lnTo>
                                  <a:pt x="768985" y="483235"/>
                                </a:lnTo>
                                <a:lnTo>
                                  <a:pt x="615315" y="197485"/>
                                </a:lnTo>
                                <a:lnTo>
                                  <a:pt x="622300" y="21590"/>
                                </a:lnTo>
                                <a:lnTo>
                                  <a:pt x="615315" y="0"/>
                                </a:lnTo>
                                <a:lnTo>
                                  <a:pt x="73025" y="146050"/>
                                </a:lnTo>
                                <a:close/>
                              </a:path>
                            </a:pathLst>
                          </a:custGeom>
                          <a:pattFill prst="pct25">
                            <a:fgClr>
                              <a:schemeClr val="accent1"/>
                            </a:fgClr>
                            <a:bgClr>
                              <a:schemeClr val="bg1"/>
                            </a:bgClr>
                          </a:pattFill>
                          <a:ln w="12700" cap="flat" cmpd="sng">
                            <a:solidFill>
                              <a:schemeClr val="accent1">
                                <a:alpha val="43999"/>
                              </a:schemeClr>
                            </a:solidFill>
                            <a:prstDash val="solid"/>
                            <a:miter/>
                            <a:headEnd type="none" w="med" len="med"/>
                            <a:tailEnd type="none" w="med" len="med"/>
                          </a:ln>
                        </wps:spPr>
                        <wps:txb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wps:txbx>
                        <wps:bodyPr vert="horz" anchor="t" anchorCtr="0" upright="1"/>
                      </wps:wsp>
                    </wpg:wgp>
                  </a:graphicData>
                </a:graphic>
              </wp:anchor>
            </w:drawing>
          </mc:Choice>
          <mc:Fallback>
            <w:pict>
              <v:group id="_x0000_s1026" o:spid="_x0000_s1026" o:spt="203" style="position:absolute;left:0pt;margin-left:185.7pt;margin-top:138.65pt;height:39.5pt;width:40.85pt;z-index:251712512;mso-width-relative:page;mso-height-relative:page;" coordorigin="9025,1719387" coordsize="3871,3052" o:gfxdata="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&#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">
                <o:lock v:ext="edit" aspectratio="f"/>
                <v:shape id="自选图形 1096" o:spid="_x0000_s1026" o:spt="100" style="position:absolute;left:9025;top:1719580;height:2859;width:2378;" fillcolor="#5B9BD5 [3204]" filled="t" stroked="t" coordsize="1355725,1927225" o:gfxdata="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Rm+Fa8AAAA&#10;3AAAAA8AAAAAAAAAAQAgAAAAIgAAAGRycy9kb3ducmV2LnhtbFBLAQIUABQAAAAIAIdO4kAzLwWe&#10;OwAAADkAAAAQAAAAAAAAAAEAIAAAAAsBAABkcnMvc2hhcGV4bWwueG1sUEsFBgAAAAAGAAYAWwEA&#10;ALUDAAAAAA==&#10;" path="m278765,73660l271145,359410,0,366395,29210,1612265,168910,1670685,293370,1772920,432435,1927225,542290,1927225,1311910,1238250,1355725,1069975,1011555,66040,908685,0,278765,73660xe">
                  <v:path textboxrect="0,0,1355725,1927225" o:connectlocs="296652,69412;288544,338686;0,345268;31084,1519300;179748,1574352;312195,1670692;460183,1816100;577088,1816100;1396093,1166851;1442720,1008279;1076465,62232;966994,0;296652,69412" o:connectangles="0,0,0,0,0,0,0,0,0,0,0,0,0"/>
                  <v:fill type="pattern" on="t" color2="#FFFFFF [3212]" o:title="25%" focussize="0,0" r:id="rId55"/>
                  <v:stroke weight="1pt" color="#5B9BD5 [3204]" opacity="31457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v:textbox>
                </v:shape>
                <v:shape id="自选图形 1095" o:spid="_x0000_s1026" o:spt="100" style="position:absolute;left:11266;top:1719756;height:1355;width:1630;" fillcolor="#5B9BD5 [3204]" filled="t" stroked="t" coordsize="1391920,1120775" o:gfxdata="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Bg0+8AAAA&#10;3AAAAA8AAAAAAAAAAQAgAAAAIgAAAGRycy9kb3ducmV2LnhtbFBLAQIUABQAAAAIAIdO4kAzLwWe&#10;OwAAADkAAAAQAAAAAAAAAAEAIAAAAAsBAABkcnMvc2hhcGV4bWwueG1sUEsFBgAAAAAGAAYAWwEA&#10;ALUDAAAAAA==&#10;" path="m0,534670l1135380,0,1391920,593725,1340485,762000,556895,1120775,307340,1084580,0,534670xe">
                  <v:path textboxrect="0,0,1391920,1120775" o:connectlocs="0,493774;1058203,0;1297305,548312;1249366,703716;519040,1035050;286448,1001623;0,493774" o:connectangles="0,0,0,0,0,0,0"/>
                  <v:fill type="pattern" on="t" color2="#FFFFFF [3212]" o:title="25%" focussize="0,0" r:id="rId55"/>
                  <v:stroke weight="1pt" color="#5B9BD5 [3204]" opacity="43253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v:textbox>
                </v:shape>
                <v:shape id="自选图形 1094" o:spid="_x0000_s1026" o:spt="100" style="position:absolute;left:10963;top:1719387;height:990;width:867;" fillcolor="#5B9BD5 [3204]" filled="t" stroked="t" coordsize="768985,725170" o:gfxdata="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HmGL4A&#10;AADcAAAADwAAAAAAAAABACAAAAAiAAAAZHJzL2Rvd25yZXYueG1sUEsBAhQAFAAAAAgAh07iQDMv&#10;BZ47AAAAOQAAABAAAAAAAAAAAQAgAAAADQEAAGRycy9zaGFwZXhtbC54bWxQSwUGAAAAAAYABgBb&#10;AQAAtwMAAAAA&#10;" path="m73025,146050l0,255905,241300,725170,768985,483235,615315,197485,622300,21590,615315,0,73025,146050xe">
                  <v:path textboxrect="0,0,768985,725170" o:connectlocs="63135,136074;0,238426;208621,675640;664845,450229;531985,183996;538024,20115;531985,0;63135,136074" o:connectangles="0,0,0,0,0,0,0,0"/>
                  <v:fill type="pattern" on="t" color2="#FFFFFF [3212]" o:title="25%" focussize="0,0" r:id="rId55"/>
                  <v:stroke weight="1pt" color="#5B9BD5 [3204]" opacity="28835f" joinstyle="miter"/>
                  <v:imagedata o:title=""/>
                  <o:lock v:ext="edit" aspectratio="f"/>
                  <v:textbo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v:textbox>
                </v:shape>
              </v:group>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2056765</wp:posOffset>
                </wp:positionH>
                <wp:positionV relativeFrom="paragraph">
                  <wp:posOffset>2486025</wp:posOffset>
                </wp:positionV>
                <wp:extent cx="1157605" cy="374650"/>
                <wp:effectExtent l="6350" t="536575" r="17145" b="22225"/>
                <wp:wrapNone/>
                <wp:docPr id="167" name="圆角矩形标注 130"/>
                <wp:cNvGraphicFramePr/>
                <a:graphic xmlns:a="http://schemas.openxmlformats.org/drawingml/2006/main">
                  <a:graphicData uri="http://schemas.microsoft.com/office/word/2010/wordprocessingShape">
                    <wps:wsp>
                      <wps:cNvSpPr/>
                      <wps:spPr>
                        <a:xfrm flipV="1">
                          <a:off x="1547495" y="2574925"/>
                          <a:ext cx="1157605" cy="374650"/>
                        </a:xfrm>
                        <a:prstGeom prst="wedgeRoundRectCallout">
                          <a:avLst>
                            <a:gd name="adj1" fmla="val -1179"/>
                            <a:gd name="adj2" fmla="val 186440"/>
                            <a:gd name="adj3" fmla="val 16667"/>
                          </a:avLst>
                        </a:prstGeom>
                        <a:noFill/>
                        <a:ln w="12700" cap="flat" cmpd="sng">
                          <a:solidFill>
                            <a:srgbClr val="FF0000"/>
                          </a:solidFill>
                          <a:prstDash val="solid"/>
                          <a:miter/>
                          <a:headEnd type="none" w="med" len="med"/>
                          <a:tailEnd type="none" w="med" len="med"/>
                        </a:ln>
                        <a:effectLst/>
                      </wps:spPr>
                      <wps:txbx>
                        <w:txbxContent>
                          <w:p>
                            <w:pPr>
                              <w:rPr>
                                <w:b/>
                                <w:bCs/>
                                <w:color w:val="000000"/>
                                <w:sz w:val="28"/>
                                <w:szCs w:val="36"/>
                              </w:rPr>
                            </w:pPr>
                            <w:r>
                              <w:rPr>
                                <w:rFonts w:hint="eastAsia"/>
                                <w:b/>
                                <w:bCs/>
                                <w:color w:val="000000"/>
                                <w:sz w:val="28"/>
                                <w:szCs w:val="36"/>
                              </w:rPr>
                              <w:t>项目所在地</w:t>
                            </w:r>
                          </w:p>
                        </w:txbxContent>
                      </wps:txbx>
                      <wps:bodyPr anchor="ctr" anchorCtr="0" upright="1"/>
                    </wps:wsp>
                  </a:graphicData>
                </a:graphic>
              </wp:anchor>
            </w:drawing>
          </mc:Choice>
          <mc:Fallback>
            <w:pict>
              <v:shape id="圆角矩形标注 130" o:spid="_x0000_s1026" o:spt="62" type="#_x0000_t62" style="position:absolute;left:0pt;flip:y;margin-left:161.95pt;margin-top:195.75pt;height:29.5pt;width:91.15pt;z-index:251713536;v-text-anchor:middle;mso-width-relative:page;mso-height-relative:page;" filled="f" stroked="t" coordsize="21600,21600" o:gfxdata="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JIoGU2gAAAAsBAAAPAAAAAAAAAAEAIAAAACIA&#10;AABkcnMvZG93bnJldi54bWxQSwECFAAUAAAACACHTuJAgEatm3kCAADXBAAADgAAAAAAAAABACAA&#10;AAApAQAAZHJzL2Uyb0RvYy54bWxQSwUGAAAAAAYABgBZAQAAFAYAAAAA&#10;" adj="10545,51071,14400">
                <v:fill on="f" focussize="0,0"/>
                <v:stroke weight="1pt" color="#FF0000" joinstyle="miter"/>
                <v:imagedata o:title=""/>
                <o:lock v:ext="edit" aspectratio="f"/>
                <v:textbox>
                  <w:txbxContent>
                    <w:p>
                      <w:pPr>
                        <w:rPr>
                          <w:b/>
                          <w:bCs/>
                          <w:color w:val="000000"/>
                          <w:sz w:val="28"/>
                          <w:szCs w:val="36"/>
                        </w:rPr>
                      </w:pPr>
                      <w:r>
                        <w:rPr>
                          <w:rFonts w:hint="eastAsia"/>
                          <w:b/>
                          <w:bCs/>
                          <w:color w:val="000000"/>
                          <w:sz w:val="28"/>
                          <w:szCs w:val="36"/>
                        </w:rPr>
                        <w:t>项目所在地</w:t>
                      </w:r>
                    </w:p>
                  </w:txbxContent>
                </v:textbox>
              </v:shape>
            </w:pict>
          </mc:Fallback>
        </mc:AlternateContent>
      </w:r>
      <w:r>
        <w:rPr>
          <w:sz w:val="24"/>
          <w:szCs w:val="32"/>
        </w:rPr>
        <w:t>附图</w:t>
      </w:r>
      <w:r>
        <w:rPr>
          <w:sz w:val="24"/>
          <w:szCs w:val="32"/>
          <w:lang w:val="en-US"/>
        </w:rPr>
        <w:t>9</w:t>
      </w:r>
      <w:r>
        <w:rPr>
          <w:sz w:val="24"/>
          <w:szCs w:val="32"/>
        </w:rPr>
        <w:t>项目选址地与控制性规划关系图</w:t>
      </w:r>
      <w:r>
        <w:drawing>
          <wp:inline distT="0" distB="0" distL="114300" distR="114300">
            <wp:extent cx="5212715" cy="8307705"/>
            <wp:effectExtent l="0" t="0" r="6985" b="1714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56"/>
                    <a:stretch>
                      <a:fillRect/>
                    </a:stretch>
                  </pic:blipFill>
                  <pic:spPr>
                    <a:xfrm>
                      <a:off x="0" y="0"/>
                      <a:ext cx="5212715" cy="8307705"/>
                    </a:xfrm>
                    <a:prstGeom prst="rect">
                      <a:avLst/>
                    </a:prstGeom>
                    <a:noFill/>
                    <a:ln>
                      <a:noFill/>
                    </a:ln>
                  </pic:spPr>
                </pic:pic>
              </a:graphicData>
            </a:graphic>
          </wp:inline>
        </w:drawing>
      </w:r>
    </w:p>
    <w:p>
      <w:pPr>
        <w:pStyle w:val="2"/>
        <w:ind w:firstLine="0" w:firstLineChars="0"/>
      </w:pPr>
      <w:r>
        <mc:AlternateContent>
          <mc:Choice Requires="wps">
            <w:drawing>
              <wp:anchor distT="0" distB="0" distL="114300" distR="114300" simplePos="0" relativeHeight="251701248" behindDoc="0" locked="0" layoutInCell="1" allowOverlap="1">
                <wp:simplePos x="0" y="0"/>
                <wp:positionH relativeFrom="column">
                  <wp:posOffset>4443095</wp:posOffset>
                </wp:positionH>
                <wp:positionV relativeFrom="paragraph">
                  <wp:posOffset>196850</wp:posOffset>
                </wp:positionV>
                <wp:extent cx="1285240" cy="412750"/>
                <wp:effectExtent l="362585" t="6350" r="9525" b="304800"/>
                <wp:wrapNone/>
                <wp:docPr id="141" name="圆角矩形标注 141"/>
                <wp:cNvGraphicFramePr/>
                <a:graphic xmlns:a="http://schemas.openxmlformats.org/drawingml/2006/main">
                  <a:graphicData uri="http://schemas.microsoft.com/office/word/2010/wordprocessingShape">
                    <wps:wsp>
                      <wps:cNvSpPr/>
                      <wps:spPr>
                        <a:xfrm>
                          <a:off x="0" y="0"/>
                          <a:ext cx="1285240" cy="412750"/>
                        </a:xfrm>
                        <a:prstGeom prst="wedgeRoundRectCallout">
                          <a:avLst>
                            <a:gd name="adj1" fmla="val -74505"/>
                            <a:gd name="adj2" fmla="val 115986"/>
                            <a:gd name="adj3" fmla="val 16667"/>
                          </a:avLst>
                        </a:prstGeom>
                        <a:noFill/>
                        <a:ln w="12700" cap="flat" cmpd="sng">
                          <a:solidFill>
                            <a:srgbClr val="FF0000"/>
                          </a:solidFill>
                          <a:prstDash val="solid"/>
                          <a:miter/>
                          <a:headEnd type="none" w="med" len="med"/>
                          <a:tailEnd type="none" w="med" len="med"/>
                        </a:ln>
                        <a:effectLst/>
                      </wps:spPr>
                      <wps:txbx>
                        <w:txbxContent>
                          <w:p>
                            <w:pPr>
                              <w:rPr>
                                <w:b/>
                                <w:bCs/>
                                <w:color w:val="000000"/>
                                <w:sz w:val="28"/>
                                <w:szCs w:val="36"/>
                              </w:rPr>
                            </w:pPr>
                            <w:r>
                              <w:rPr>
                                <w:rFonts w:hint="eastAsia"/>
                                <w:b/>
                                <w:bCs/>
                                <w:color w:val="000000"/>
                                <w:sz w:val="28"/>
                                <w:szCs w:val="36"/>
                              </w:rPr>
                              <w:t>项目所在地</w:t>
                            </w:r>
                          </w:p>
                        </w:txbxContent>
                      </wps:txbx>
                      <wps:bodyPr anchor="ctr" anchorCtr="0" upright="1"/>
                    </wps:wsp>
                  </a:graphicData>
                </a:graphic>
              </wp:anchor>
            </w:drawing>
          </mc:Choice>
          <mc:Fallback>
            <w:pict>
              <v:shape id="_x0000_s1026" o:spid="_x0000_s1026" o:spt="62" type="#_x0000_t62" style="position:absolute;left:0pt;margin-left:349.85pt;margin-top:15.5pt;height:32.5pt;width:101.2pt;z-index:251701248;v-text-anchor:middle;mso-width-relative:page;mso-height-relative:page;" filled="f" stroked="t" coordsize="21600,21600" o:gfxdata="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SnK0P1gAAAAkBAAAPAAAAAAAAAAEAIAAAACIAAABkcnMvZG93bnJldi54bWxQSwECFAAUAAAA&#10;CACHTuJAfCUGC2ICAADCBAAADgAAAAAAAAABACAAAAAlAQAAZHJzL2Uyb0RvYy54bWxQSwUGAAAA&#10;AAYABgBZAQAA+QUAAAAA&#10;" adj="-5293,35853,14400">
                <v:fill on="f" focussize="0,0"/>
                <v:stroke weight="1pt" color="#FF0000" joinstyle="miter"/>
                <v:imagedata o:title=""/>
                <o:lock v:ext="edit" aspectratio="f"/>
                <v:textbox>
                  <w:txbxContent>
                    <w:p>
                      <w:pPr>
                        <w:rPr>
                          <w:b/>
                          <w:bCs/>
                          <w:color w:val="000000"/>
                          <w:sz w:val="28"/>
                          <w:szCs w:val="36"/>
                        </w:rPr>
                      </w:pPr>
                      <w:r>
                        <w:rPr>
                          <w:rFonts w:hint="eastAsia"/>
                          <w:b/>
                          <w:bCs/>
                          <w:color w:val="000000"/>
                          <w:sz w:val="28"/>
                          <w:szCs w:val="36"/>
                        </w:rPr>
                        <w:t>项目所在地</w:t>
                      </w:r>
                    </w:p>
                  </w:txbxContent>
                </v:textbox>
              </v:shape>
            </w:pict>
          </mc:Fallback>
        </mc:AlternateContent>
      </w:r>
      <w:r>
        <w:rPr>
          <w:rFonts w:hint="eastAsia"/>
        </w:rPr>
        <w:t>附图10 项目所在地与岳阳楼洞庭湖风景名胜区岳阳楼景区位置关系图</w:t>
      </w:r>
    </w:p>
    <w:p>
      <w:pPr>
        <w:pStyle w:val="23"/>
      </w:pPr>
      <w:r>
        <w:rPr>
          <w:sz w:val="24"/>
        </w:rPr>
        <mc:AlternateContent>
          <mc:Choice Requires="wpg">
            <w:drawing>
              <wp:anchor distT="0" distB="0" distL="114300" distR="114300" simplePos="0" relativeHeight="251714560" behindDoc="0" locked="0" layoutInCell="1" allowOverlap="1">
                <wp:simplePos x="0" y="0"/>
                <wp:positionH relativeFrom="column">
                  <wp:posOffset>3870960</wp:posOffset>
                </wp:positionH>
                <wp:positionV relativeFrom="paragraph">
                  <wp:posOffset>464820</wp:posOffset>
                </wp:positionV>
                <wp:extent cx="467360" cy="391795"/>
                <wp:effectExtent l="6350" t="8255" r="21590" b="19050"/>
                <wp:wrapNone/>
                <wp:docPr id="169" name="组合 169"/>
                <wp:cNvGraphicFramePr/>
                <a:graphic xmlns:a="http://schemas.openxmlformats.org/drawingml/2006/main">
                  <a:graphicData uri="http://schemas.microsoft.com/office/word/2010/wordprocessingGroup">
                    <wpg:wgp>
                      <wpg:cNvGrpSpPr/>
                      <wpg:grpSpPr>
                        <a:xfrm>
                          <a:off x="0" y="0"/>
                          <a:ext cx="467404" cy="391784"/>
                          <a:chOff x="9137" y="1719387"/>
                          <a:chExt cx="3759" cy="3197"/>
                        </a:xfrm>
                        <a:solidFill>
                          <a:schemeClr val="accent2">
                            <a:alpha val="69000"/>
                          </a:schemeClr>
                        </a:solidFill>
                      </wpg:grpSpPr>
                      <wps:wsp>
                        <wps:cNvPr id="170" name="自选图形 1096"/>
                        <wps:cNvSpPr/>
                        <wps:spPr>
                          <a:xfrm>
                            <a:off x="9137" y="1719719"/>
                            <a:ext cx="2267" cy="2865"/>
                          </a:xfrm>
                          <a:custGeom>
                            <a:avLst/>
                            <a:gdLst>
                              <a:gd name="A1" fmla="val 0"/>
                              <a:gd name="A2" fmla="val 0"/>
                            </a:gdLst>
                            <a:ahLst/>
                            <a:cxnLst>
                              <a:cxn ang="0">
                                <a:pos x="296652" y="69412"/>
                              </a:cxn>
                              <a:cxn ang="0">
                                <a:pos x="288544" y="338686"/>
                              </a:cxn>
                              <a:cxn ang="0">
                                <a:pos x="0" y="345268"/>
                              </a:cxn>
                              <a:cxn ang="0">
                                <a:pos x="31084" y="1519300"/>
                              </a:cxn>
                              <a:cxn ang="0">
                                <a:pos x="179748" y="1574352"/>
                              </a:cxn>
                              <a:cxn ang="0">
                                <a:pos x="312195" y="1670692"/>
                              </a:cxn>
                              <a:cxn ang="0">
                                <a:pos x="460183" y="1816100"/>
                              </a:cxn>
                              <a:cxn ang="0">
                                <a:pos x="577088" y="1816100"/>
                              </a:cxn>
                              <a:cxn ang="0">
                                <a:pos x="1396093" y="1166851"/>
                              </a:cxn>
                              <a:cxn ang="0">
                                <a:pos x="1442720" y="1008279"/>
                              </a:cxn>
                              <a:cxn ang="0">
                                <a:pos x="1076465" y="62232"/>
                              </a:cxn>
                              <a:cxn ang="0">
                                <a:pos x="966994" y="0"/>
                              </a:cxn>
                              <a:cxn ang="0">
                                <a:pos x="296652" y="69412"/>
                              </a:cxn>
                            </a:cxnLst>
                            <a:pathLst>
                              <a:path w="1355725" h="1927225">
                                <a:moveTo>
                                  <a:pt x="278765" y="73660"/>
                                </a:moveTo>
                                <a:lnTo>
                                  <a:pt x="271145" y="359410"/>
                                </a:lnTo>
                                <a:lnTo>
                                  <a:pt x="0" y="366395"/>
                                </a:lnTo>
                                <a:lnTo>
                                  <a:pt x="29210" y="1612265"/>
                                </a:lnTo>
                                <a:lnTo>
                                  <a:pt x="168910" y="1670685"/>
                                </a:lnTo>
                                <a:lnTo>
                                  <a:pt x="293370" y="1772920"/>
                                </a:lnTo>
                                <a:lnTo>
                                  <a:pt x="432435" y="1927225"/>
                                </a:lnTo>
                                <a:lnTo>
                                  <a:pt x="542290" y="1927225"/>
                                </a:lnTo>
                                <a:lnTo>
                                  <a:pt x="1311910" y="1238250"/>
                                </a:lnTo>
                                <a:lnTo>
                                  <a:pt x="1355725" y="1069975"/>
                                </a:lnTo>
                                <a:lnTo>
                                  <a:pt x="1011555" y="66040"/>
                                </a:lnTo>
                                <a:lnTo>
                                  <a:pt x="908685" y="0"/>
                                </a:lnTo>
                                <a:lnTo>
                                  <a:pt x="278765" y="73660"/>
                                </a:lnTo>
                                <a:close/>
                              </a:path>
                            </a:pathLst>
                          </a:custGeom>
                          <a:grpFill/>
                          <a:ln w="12700" cap="flat" cmpd="sng">
                            <a:solidFill>
                              <a:srgbClr val="FF0000">
                                <a:alpha val="48000"/>
                              </a:srgb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wps:txbx>
                        <wps:bodyPr vert="horz" anchor="t" anchorCtr="0" upright="1"/>
                      </wps:wsp>
                      <wps:wsp>
                        <wps:cNvPr id="171" name="自选图形 1095"/>
                        <wps:cNvSpPr/>
                        <wps:spPr>
                          <a:xfrm>
                            <a:off x="11266" y="1719756"/>
                            <a:ext cx="1630" cy="1355"/>
                          </a:xfrm>
                          <a:custGeom>
                            <a:avLst/>
                            <a:gdLst>
                              <a:gd name="A1" fmla="val 0"/>
                              <a:gd name="A2" fmla="val 0"/>
                            </a:gdLst>
                            <a:ahLst/>
                            <a:cxnLst>
                              <a:cxn ang="0">
                                <a:pos x="0" y="493774"/>
                              </a:cxn>
                              <a:cxn ang="0">
                                <a:pos x="1058203" y="0"/>
                              </a:cxn>
                              <a:cxn ang="0">
                                <a:pos x="1297305" y="548312"/>
                              </a:cxn>
                              <a:cxn ang="0">
                                <a:pos x="1249366" y="703716"/>
                              </a:cxn>
                              <a:cxn ang="0">
                                <a:pos x="519040" y="1035050"/>
                              </a:cxn>
                              <a:cxn ang="0">
                                <a:pos x="286448" y="1001623"/>
                              </a:cxn>
                              <a:cxn ang="0">
                                <a:pos x="0" y="493774"/>
                              </a:cxn>
                            </a:cxnLst>
                            <a:pathLst>
                              <a:path w="1391920" h="1120775">
                                <a:moveTo>
                                  <a:pt x="0" y="534670"/>
                                </a:moveTo>
                                <a:lnTo>
                                  <a:pt x="1135380" y="0"/>
                                </a:lnTo>
                                <a:lnTo>
                                  <a:pt x="1391920" y="593725"/>
                                </a:lnTo>
                                <a:lnTo>
                                  <a:pt x="1340485" y="762000"/>
                                </a:lnTo>
                                <a:lnTo>
                                  <a:pt x="556895" y="1120775"/>
                                </a:lnTo>
                                <a:lnTo>
                                  <a:pt x="307340" y="1084580"/>
                                </a:lnTo>
                                <a:lnTo>
                                  <a:pt x="0" y="534670"/>
                                </a:lnTo>
                                <a:close/>
                              </a:path>
                            </a:pathLst>
                          </a:custGeom>
                          <a:grpFill/>
                          <a:ln w="12700" cap="flat" cmpd="sng">
                            <a:solidFill>
                              <a:srgbClr val="FF0000">
                                <a:alpha val="66000"/>
                              </a:srgbClr>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wps:txbx>
                        <wps:bodyPr vert="horz" anchor="t" anchorCtr="0" upright="1"/>
                      </wps:wsp>
                      <wps:wsp>
                        <wps:cNvPr id="172" name="自选图形 1094"/>
                        <wps:cNvSpPr/>
                        <wps:spPr>
                          <a:xfrm>
                            <a:off x="10963" y="1719387"/>
                            <a:ext cx="867" cy="990"/>
                          </a:xfrm>
                          <a:custGeom>
                            <a:avLst/>
                            <a:gdLst>
                              <a:gd name="A1" fmla="val 0"/>
                              <a:gd name="A2" fmla="val 0"/>
                            </a:gdLst>
                            <a:ahLst/>
                            <a:cxnLst>
                              <a:cxn ang="0">
                                <a:pos x="63135" y="136074"/>
                              </a:cxn>
                              <a:cxn ang="0">
                                <a:pos x="0" y="238426"/>
                              </a:cxn>
                              <a:cxn ang="0">
                                <a:pos x="208621" y="675640"/>
                              </a:cxn>
                              <a:cxn ang="0">
                                <a:pos x="664845" y="450229"/>
                              </a:cxn>
                              <a:cxn ang="0">
                                <a:pos x="531985" y="183996"/>
                              </a:cxn>
                              <a:cxn ang="0">
                                <a:pos x="538024" y="20115"/>
                              </a:cxn>
                              <a:cxn ang="0">
                                <a:pos x="531985" y="0"/>
                              </a:cxn>
                              <a:cxn ang="0">
                                <a:pos x="63135" y="136074"/>
                              </a:cxn>
                            </a:cxnLst>
                            <a:pathLst>
                              <a:path w="768985" h="725170">
                                <a:moveTo>
                                  <a:pt x="73025" y="146050"/>
                                </a:moveTo>
                                <a:lnTo>
                                  <a:pt x="0" y="255905"/>
                                </a:lnTo>
                                <a:lnTo>
                                  <a:pt x="241300" y="725170"/>
                                </a:lnTo>
                                <a:lnTo>
                                  <a:pt x="768985" y="483235"/>
                                </a:lnTo>
                                <a:lnTo>
                                  <a:pt x="615315" y="197485"/>
                                </a:lnTo>
                                <a:lnTo>
                                  <a:pt x="622300" y="21590"/>
                                </a:lnTo>
                                <a:lnTo>
                                  <a:pt x="615315" y="0"/>
                                </a:lnTo>
                                <a:lnTo>
                                  <a:pt x="73025" y="146050"/>
                                </a:lnTo>
                                <a:close/>
                              </a:path>
                            </a:pathLst>
                          </a:custGeom>
                          <a:grpFill/>
                          <a:ln w="12700" cap="flat" cmpd="sng">
                            <a:solidFill>
                              <a:srgbClr val="FF0000">
                                <a:alpha val="43999"/>
                              </a:srgbClr>
                            </a:solidFill>
                            <a:prstDash val="solid"/>
                            <a:miter/>
                            <a:headEnd type="none" w="med" len="med"/>
                            <a:tailEnd type="none" w="med" len="med"/>
                          </a:ln>
                        </wps:spPr>
                        <wps:txb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wps:txbx>
                        <wps:bodyPr vert="horz" anchor="t" anchorCtr="0" upright="1"/>
                      </wps:wsp>
                    </wpg:wgp>
                  </a:graphicData>
                </a:graphic>
              </wp:anchor>
            </w:drawing>
          </mc:Choice>
          <mc:Fallback>
            <w:pict>
              <v:group id="_x0000_s1026" o:spid="_x0000_s1026" o:spt="203" style="position:absolute;left:0pt;margin-left:304.8pt;margin-top:36.6pt;height:30.85pt;width:36.8pt;z-index:251714560;mso-width-relative:page;mso-height-relative:page;" coordorigin="9137,1719387" coordsize="3759,3197" o:gfxdata="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">
                <o:lock v:ext="edit" aspectratio="f"/>
                <v:shape id="自选图形 1096" o:spid="_x0000_s1026" o:spt="100" style="position:absolute;left:9137;top:1719719;height:2865;width:2267;" filled="t" stroked="t" coordsize="1355725,1927225" o:gfxdata="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CuCm8AAAA&#10;3AAAAA8AAAAAAAAAAQAgAAAAIgAAAGRycy9kb3ducmV2LnhtbFBLAQIUABQAAAAIAIdO4kAzLwWe&#10;OwAAADkAAAAQAAAAAAAAAAEAIAAAAAsBAABkcnMvc2hhcGV4bWwueG1sUEsFBgAAAAAGAAYAWwEA&#10;ALUDAAAAAA==&#10;" path="m278765,73660l271145,359410,0,366395,29210,1612265,168910,1670685,293370,1772920,432435,1927225,542290,1927225,1311910,1238250,1355725,1069975,1011555,66040,908685,0,278765,73660xe">
                  <v:path textboxrect="0,0,1355725,1927225" o:connectlocs="296652,69412;288544,338686;0,345268;31084,1519300;179748,1574352;312195,1670692;460183,1816100;577088,1816100;1396093,1166851;1442720,1008279;1076465,62232;966994,0;296652,69412" o:connectangles="0,0,0,0,0,0,0,0,0,0,0,0,0"/>
                  <v:fill on="t" focussize="0,0"/>
                  <v:stroke weight="1pt" color="#FF0000" opacity="31457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02#地块</w:t>
                        </w:r>
                      </w:p>
                    </w:txbxContent>
                  </v:textbox>
                </v:shape>
                <v:shape id="自选图形 1095" o:spid="_x0000_s1026" o:spt="100" style="position:absolute;left:11266;top:1719756;height:1355;width:1630;" filled="t" stroked="t" coordsize="1391920,1120775" o:gfxdata="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9LsjbsAAADc&#10;AAAADwAAAAAAAAABACAAAAAiAAAAZHJzL2Rvd25yZXYueG1sUEsBAhQAFAAAAAgAh07iQDMvBZ47&#10;AAAAOQAAABAAAAAAAAAAAQAgAAAACgEAAGRycy9zaGFwZXhtbC54bWxQSwUGAAAAAAYABgBbAQAA&#10;tAMAAAAA&#10;" path="m0,534670l1135380,0,1391920,593725,1340485,762000,556895,1120775,307340,1084580,0,534670xe">
                  <v:path textboxrect="0,0,1391920,1120775" o:connectlocs="0,493774;1058203,0;1297305,548312;1249366,703716;519040,1035050;286448,1001623;0,493774" o:connectangles="0,0,0,0,0,0,0"/>
                  <v:fill on="t" focussize="0,0"/>
                  <v:stroke weight="1pt" color="#FF0000" opacity="43253f" joinstyle="miter"/>
                  <v:imagedata o:title=""/>
                  <o:lock v:ext="edit" aspectratio="f"/>
                  <v:textbox>
                    <w:txbxContent>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eastAsia="宋体"/>
                            <w:lang w:val="en-US" w:eastAsia="zh-CN"/>
                          </w:rPr>
                        </w:pPr>
                        <w:r>
                          <w:rPr>
                            <w:rFonts w:hint="eastAsia"/>
                            <w:lang w:val="en-US" w:eastAsia="zh-CN"/>
                          </w:rPr>
                          <w:t>03#地块</w:t>
                        </w:r>
                      </w:p>
                    </w:txbxContent>
                  </v:textbox>
                </v:shape>
                <v:shape id="自选图形 1094" o:spid="_x0000_s1026" o:spt="100" style="position:absolute;left:10963;top:1719387;height:990;width:867;" filled="t" stroked="t" coordsize="768985,725170" o:gfxdata="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TjM9rgAAADcAAAA&#10;DwAAAAAAAAABACAAAAAiAAAAZHJzL2Rvd25yZXYueG1sUEsBAhQAFAAAAAgAh07iQDMvBZ47AAAA&#10;OQAAABAAAAAAAAAAAQAgAAAABwEAAGRycy9zaGFwZXhtbC54bWxQSwUGAAAAAAYABgBbAQAAsQMA&#10;AAAA&#10;" path="m73025,146050l0,255905,241300,725170,768985,483235,615315,197485,622300,21590,615315,0,73025,146050xe">
                  <v:path textboxrect="0,0,768985,725170" o:connectlocs="63135,136074;0,238426;208621,675640;664845,450229;531985,183996;538024,20115;531985,0;63135,136074" o:connectangles="0,0,0,0,0,0,0,0"/>
                  <v:fill on="t" focussize="0,0"/>
                  <v:stroke weight="1pt" color="#FF0000" opacity="28835f" joinstyle="miter"/>
                  <v:imagedata o:title=""/>
                  <o:lock v:ext="edit" aspectratio="f"/>
                  <v:textbox>
                    <w:txbxContent>
                      <w:p>
                        <w:pPr>
                          <w:jc w:val="center"/>
                          <w:rPr>
                            <w:rFonts w:hint="eastAsia"/>
                            <w:lang w:val="en-US" w:eastAsia="zh-CN"/>
                          </w:rPr>
                        </w:pPr>
                      </w:p>
                      <w:p>
                        <w:pPr>
                          <w:jc w:val="center"/>
                          <w:rPr>
                            <w:rFonts w:hint="default" w:eastAsia="宋体"/>
                            <w:lang w:val="en-US" w:eastAsia="zh-CN"/>
                          </w:rPr>
                        </w:pPr>
                        <w:r>
                          <w:rPr>
                            <w:rFonts w:hint="eastAsia"/>
                            <w:lang w:val="en-US" w:eastAsia="zh-CN"/>
                          </w:rPr>
                          <w:t>04地块</w:t>
                        </w:r>
                      </w:p>
                    </w:txbxContent>
                  </v:textbox>
                </v:shape>
              </v:group>
            </w:pict>
          </mc:Fallback>
        </mc:AlternateContent>
      </w:r>
      <w:r>
        <w:rPr>
          <w:rFonts w:hint="eastAsia"/>
        </w:rPr>
        <w:drawing>
          <wp:inline distT="0" distB="0" distL="114300" distR="114300">
            <wp:extent cx="5248910" cy="8133715"/>
            <wp:effectExtent l="0" t="0" r="8890" b="635"/>
            <wp:docPr id="173" name="图片 173" descr="05 风景保护培育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05 风景保护培育规划图"/>
                    <pic:cNvPicPr>
                      <a:picLocks noChangeAspect="1"/>
                    </pic:cNvPicPr>
                  </pic:nvPicPr>
                  <pic:blipFill>
                    <a:blip r:embed="rId57" cstate="print"/>
                    <a:stretch>
                      <a:fillRect/>
                    </a:stretch>
                  </pic:blipFill>
                  <pic:spPr>
                    <a:xfrm>
                      <a:off x="0" y="0"/>
                      <a:ext cx="5248910" cy="8133715"/>
                    </a:xfrm>
                    <a:prstGeom prst="rect">
                      <a:avLst/>
                    </a:prstGeom>
                  </pic:spPr>
                </pic:pic>
              </a:graphicData>
            </a:graphic>
          </wp:inline>
        </w:drawing>
      </w:r>
    </w:p>
    <w:sectPr>
      <w:pgSz w:w="11906" w:h="16838"/>
      <w:pgMar w:top="1440" w:right="1800" w:bottom="1440" w:left="1800" w:header="851" w:footer="1077"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穝灿砰">
    <w:altName w:val="宋体"/>
    <w:panose1 w:val="00000000000000000000"/>
    <w:charset w:val="01"/>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outside" w:y="1"/>
      <w:rPr>
        <w:rStyle w:val="21"/>
      </w:rPr>
    </w:pPr>
    <w:r>
      <w:rPr>
        <w:rStyle w:val="21"/>
      </w:rPr>
      <w:fldChar w:fldCharType="begin"/>
    </w:r>
    <w:r>
      <w:rPr>
        <w:rStyle w:val="21"/>
      </w:rPr>
      <w:instrText xml:space="preserve">PAGE  </w:instrText>
    </w:r>
    <w:r>
      <w:rPr>
        <w:rStyle w:val="21"/>
      </w:rPr>
      <w:fldChar w:fldCharType="end"/>
    </w:r>
  </w:p>
  <w:p>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outside" w:y="1"/>
      <w:rPr>
        <w:rStyle w:val="21"/>
        <w:rFonts w:ascii="宋体" w:hAnsi="宋体"/>
        <w:sz w:val="28"/>
        <w:szCs w:val="28"/>
      </w:rPr>
    </w:pPr>
    <w:r>
      <w:rPr>
        <w:rStyle w:val="21"/>
        <w:rFonts w:hint="eastAsia" w:ascii="宋体" w:hAnsi="宋体"/>
        <w:sz w:val="28"/>
        <w:szCs w:val="28"/>
      </w:rPr>
      <w:t>—</w:t>
    </w:r>
    <w:r>
      <w:rPr>
        <w:rStyle w:val="21"/>
        <w:rFonts w:ascii="宋体" w:hAnsi="宋体"/>
        <w:sz w:val="26"/>
        <w:szCs w:val="26"/>
      </w:rPr>
      <w:fldChar w:fldCharType="begin"/>
    </w:r>
    <w:r>
      <w:rPr>
        <w:rStyle w:val="21"/>
        <w:rFonts w:ascii="宋体" w:hAnsi="宋体"/>
        <w:sz w:val="26"/>
        <w:szCs w:val="26"/>
      </w:rPr>
      <w:instrText xml:space="preserve">PAGE  </w:instrText>
    </w:r>
    <w:r>
      <w:rPr>
        <w:rStyle w:val="21"/>
        <w:rFonts w:ascii="宋体" w:hAnsi="宋体"/>
        <w:sz w:val="26"/>
        <w:szCs w:val="26"/>
      </w:rPr>
      <w:fldChar w:fldCharType="separate"/>
    </w:r>
    <w:r>
      <w:rPr>
        <w:rStyle w:val="21"/>
        <w:rFonts w:ascii="宋体" w:hAnsi="宋体"/>
        <w:sz w:val="26"/>
        <w:szCs w:val="26"/>
      </w:rPr>
      <w:t>17</w:t>
    </w:r>
    <w:r>
      <w:rPr>
        <w:rStyle w:val="21"/>
        <w:rFonts w:ascii="宋体" w:hAnsi="宋体"/>
        <w:sz w:val="26"/>
        <w:szCs w:val="26"/>
      </w:rPr>
      <w:fldChar w:fldCharType="end"/>
    </w:r>
    <w:r>
      <w:rPr>
        <w:rStyle w:val="21"/>
        <w:rFonts w:hint="eastAsia" w:ascii="宋体" w:hAnsi="宋体"/>
        <w:sz w:val="28"/>
        <w:szCs w:val="28"/>
      </w:rPr>
      <w:t>—</w:t>
    </w:r>
  </w:p>
  <w:p>
    <w:pPr>
      <w:pStyle w:val="11"/>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E7BA6CC"/>
    <w:multiLevelType w:val="singleLevel"/>
    <w:tmpl w:val="FE7BA6CC"/>
    <w:lvl w:ilvl="0" w:tentative="0">
      <w:start w:val="1"/>
      <w:numFmt w:val="decimal"/>
      <w:suff w:val="nothing"/>
      <w:lvlText w:val="%1、"/>
      <w:lvlJc w:val="left"/>
    </w:lvl>
  </w:abstractNum>
  <w:abstractNum w:abstractNumId="1">
    <w:nsid w:val="6877E9DB"/>
    <w:multiLevelType w:val="singleLevel"/>
    <w:tmpl w:val="6877E9DB"/>
    <w:lvl w:ilvl="0" w:tentative="0">
      <w:start w:val="3"/>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379452B"/>
    <w:rsid w:val="0017115C"/>
    <w:rsid w:val="00453416"/>
    <w:rsid w:val="005E3F70"/>
    <w:rsid w:val="00676F91"/>
    <w:rsid w:val="009E7137"/>
    <w:rsid w:val="00B70A25"/>
    <w:rsid w:val="00E8356C"/>
    <w:rsid w:val="01512EFC"/>
    <w:rsid w:val="020B61F2"/>
    <w:rsid w:val="033823F0"/>
    <w:rsid w:val="034579D4"/>
    <w:rsid w:val="045A00C9"/>
    <w:rsid w:val="061360C9"/>
    <w:rsid w:val="069E6128"/>
    <w:rsid w:val="06E7473E"/>
    <w:rsid w:val="07C5586A"/>
    <w:rsid w:val="0B8974E0"/>
    <w:rsid w:val="0C4E130B"/>
    <w:rsid w:val="0CCE556E"/>
    <w:rsid w:val="0D282D9E"/>
    <w:rsid w:val="10A33FDF"/>
    <w:rsid w:val="10B35F48"/>
    <w:rsid w:val="10F57B32"/>
    <w:rsid w:val="111C7E79"/>
    <w:rsid w:val="115341E7"/>
    <w:rsid w:val="12B12774"/>
    <w:rsid w:val="12DE61E0"/>
    <w:rsid w:val="137742CA"/>
    <w:rsid w:val="139A1043"/>
    <w:rsid w:val="144310EA"/>
    <w:rsid w:val="14D9391E"/>
    <w:rsid w:val="15F14402"/>
    <w:rsid w:val="16933014"/>
    <w:rsid w:val="16C41960"/>
    <w:rsid w:val="1738725B"/>
    <w:rsid w:val="17542DFF"/>
    <w:rsid w:val="17D8791F"/>
    <w:rsid w:val="18C071C7"/>
    <w:rsid w:val="1A410F31"/>
    <w:rsid w:val="1AE422E5"/>
    <w:rsid w:val="1AFC7118"/>
    <w:rsid w:val="1B2B3184"/>
    <w:rsid w:val="1B564B71"/>
    <w:rsid w:val="1BA234E6"/>
    <w:rsid w:val="1C9E312F"/>
    <w:rsid w:val="1DDA4A38"/>
    <w:rsid w:val="1E3E183A"/>
    <w:rsid w:val="1E50541D"/>
    <w:rsid w:val="1EE53632"/>
    <w:rsid w:val="21642A27"/>
    <w:rsid w:val="22F97FCF"/>
    <w:rsid w:val="24517957"/>
    <w:rsid w:val="24DB5FC2"/>
    <w:rsid w:val="254313AD"/>
    <w:rsid w:val="267004AC"/>
    <w:rsid w:val="27D27FB9"/>
    <w:rsid w:val="291A7E8B"/>
    <w:rsid w:val="2A715731"/>
    <w:rsid w:val="2B7C6CEF"/>
    <w:rsid w:val="2C596E86"/>
    <w:rsid w:val="2C8309C2"/>
    <w:rsid w:val="2CEC7AE4"/>
    <w:rsid w:val="2D1B5811"/>
    <w:rsid w:val="2D225BF9"/>
    <w:rsid w:val="31A76036"/>
    <w:rsid w:val="322039DE"/>
    <w:rsid w:val="32AD5A4B"/>
    <w:rsid w:val="32F8459A"/>
    <w:rsid w:val="33F57BCA"/>
    <w:rsid w:val="34772025"/>
    <w:rsid w:val="34DD3E15"/>
    <w:rsid w:val="35342DA0"/>
    <w:rsid w:val="3615685A"/>
    <w:rsid w:val="36AC4BCB"/>
    <w:rsid w:val="375C5CF0"/>
    <w:rsid w:val="38D43560"/>
    <w:rsid w:val="394007DC"/>
    <w:rsid w:val="3BD563CA"/>
    <w:rsid w:val="3BEE64A1"/>
    <w:rsid w:val="3F5E2ECC"/>
    <w:rsid w:val="3F6E0F70"/>
    <w:rsid w:val="411E67BF"/>
    <w:rsid w:val="41F556BB"/>
    <w:rsid w:val="420C4B1D"/>
    <w:rsid w:val="428069C5"/>
    <w:rsid w:val="44F26557"/>
    <w:rsid w:val="45C84517"/>
    <w:rsid w:val="46D85626"/>
    <w:rsid w:val="47A3662D"/>
    <w:rsid w:val="48D7402B"/>
    <w:rsid w:val="495B6376"/>
    <w:rsid w:val="4C4C2DD8"/>
    <w:rsid w:val="4D4822D7"/>
    <w:rsid w:val="4DF42BCD"/>
    <w:rsid w:val="4E5F2F8F"/>
    <w:rsid w:val="4EAE33DC"/>
    <w:rsid w:val="4F164BDB"/>
    <w:rsid w:val="5255047D"/>
    <w:rsid w:val="535F78CD"/>
    <w:rsid w:val="5373092B"/>
    <w:rsid w:val="5379452B"/>
    <w:rsid w:val="548967AC"/>
    <w:rsid w:val="54C64EC7"/>
    <w:rsid w:val="54CC5AD1"/>
    <w:rsid w:val="56503114"/>
    <w:rsid w:val="565C4731"/>
    <w:rsid w:val="571649D6"/>
    <w:rsid w:val="57A21505"/>
    <w:rsid w:val="58672D87"/>
    <w:rsid w:val="587E138D"/>
    <w:rsid w:val="59500883"/>
    <w:rsid w:val="5A964A51"/>
    <w:rsid w:val="5AB04161"/>
    <w:rsid w:val="5ABC42FF"/>
    <w:rsid w:val="5B5B7DCE"/>
    <w:rsid w:val="5B763F03"/>
    <w:rsid w:val="5D754D02"/>
    <w:rsid w:val="5D787B6F"/>
    <w:rsid w:val="5D962E0E"/>
    <w:rsid w:val="5FCA37B1"/>
    <w:rsid w:val="613714A7"/>
    <w:rsid w:val="617A2E55"/>
    <w:rsid w:val="633B22EF"/>
    <w:rsid w:val="64591649"/>
    <w:rsid w:val="64A02A3D"/>
    <w:rsid w:val="658F0F9A"/>
    <w:rsid w:val="66E46544"/>
    <w:rsid w:val="69166373"/>
    <w:rsid w:val="6B3C31C1"/>
    <w:rsid w:val="6BF451B1"/>
    <w:rsid w:val="6EB149F9"/>
    <w:rsid w:val="6EFC4BFD"/>
    <w:rsid w:val="6F04219F"/>
    <w:rsid w:val="6F2A6D4C"/>
    <w:rsid w:val="6F335965"/>
    <w:rsid w:val="6FD43355"/>
    <w:rsid w:val="70294339"/>
    <w:rsid w:val="71405D3F"/>
    <w:rsid w:val="71D85AB2"/>
    <w:rsid w:val="73A85E83"/>
    <w:rsid w:val="73C932F3"/>
    <w:rsid w:val="751F7628"/>
    <w:rsid w:val="763C2E27"/>
    <w:rsid w:val="78F46AE8"/>
    <w:rsid w:val="797537EE"/>
    <w:rsid w:val="79795E2A"/>
    <w:rsid w:val="799B4085"/>
    <w:rsid w:val="79AD6F02"/>
    <w:rsid w:val="7B550F41"/>
    <w:rsid w:val="7D0A17DA"/>
    <w:rsid w:val="7D8C2155"/>
    <w:rsid w:val="7ED072C9"/>
    <w:rsid w:val="7F0050F4"/>
    <w:rsid w:val="7F680E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38"/>
    <w:qFormat/>
    <w:uiPriority w:val="0"/>
    <w:pPr>
      <w:keepNext/>
      <w:keepLines/>
      <w:spacing w:line="360" w:lineRule="auto"/>
      <w:outlineLvl w:val="0"/>
    </w:pPr>
    <w:rPr>
      <w:b/>
      <w:kern w:val="44"/>
      <w:sz w:val="32"/>
    </w:rPr>
  </w:style>
  <w:style w:type="paragraph" w:styleId="5">
    <w:name w:val="heading 2"/>
    <w:basedOn w:val="1"/>
    <w:next w:val="1"/>
    <w:unhideWhenUsed/>
    <w:qFormat/>
    <w:uiPriority w:val="9"/>
    <w:pPr>
      <w:keepNext/>
      <w:keepLines/>
      <w:spacing w:before="120" w:after="120" w:line="360" w:lineRule="auto"/>
      <w:outlineLvl w:val="1"/>
    </w:pPr>
    <w:rPr>
      <w:rFonts w:ascii="Cambria" w:hAnsi="Cambria"/>
      <w:b/>
      <w:bCs/>
      <w:sz w:val="28"/>
      <w:szCs w:val="32"/>
    </w:rPr>
  </w:style>
  <w:style w:type="paragraph" w:styleId="6">
    <w:name w:val="heading 3"/>
    <w:basedOn w:val="1"/>
    <w:next w:val="1"/>
    <w:link w:val="25"/>
    <w:unhideWhenUsed/>
    <w:qFormat/>
    <w:uiPriority w:val="0"/>
    <w:pPr>
      <w:keepNext/>
      <w:keepLines/>
      <w:spacing w:before="120" w:after="120" w:line="360" w:lineRule="auto"/>
      <w:outlineLvl w:val="2"/>
    </w:pPr>
    <w:rPr>
      <w:rFonts w:ascii="Calibri" w:hAnsi="Calibri"/>
      <w:b/>
      <w:kern w:val="0"/>
      <w:sz w:val="24"/>
    </w:rPr>
  </w:style>
  <w:style w:type="character" w:default="1" w:styleId="19">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29"/>
    <w:qFormat/>
    <w:uiPriority w:val="0"/>
    <w:pPr>
      <w:spacing w:line="360" w:lineRule="auto"/>
      <w:ind w:firstLine="720" w:firstLineChars="200"/>
    </w:pPr>
    <w:rPr>
      <w:sz w:val="24"/>
    </w:rPr>
  </w:style>
  <w:style w:type="paragraph" w:customStyle="1" w:styleId="3">
    <w:name w:val="xl27"/>
    <w:basedOn w:val="1"/>
    <w:qFormat/>
    <w:uiPriority w:val="0"/>
    <w:pPr>
      <w:widowControl/>
      <w:pBdr>
        <w:bottom w:val="single" w:color="auto" w:sz="12" w:space="0"/>
      </w:pBdr>
      <w:jc w:val="center"/>
    </w:pPr>
    <w:rPr>
      <w:rFonts w:ascii="宋体" w:hAnsi="宋体"/>
      <w:kern w:val="0"/>
      <w:szCs w:val="20"/>
    </w:rPr>
  </w:style>
  <w:style w:type="paragraph" w:styleId="7">
    <w:name w:val="Normal Indent"/>
    <w:basedOn w:val="1"/>
    <w:qFormat/>
    <w:uiPriority w:val="0"/>
    <w:pPr>
      <w:adjustRightInd w:val="0"/>
      <w:snapToGrid w:val="0"/>
      <w:spacing w:line="360" w:lineRule="auto"/>
      <w:jc w:val="left"/>
    </w:pPr>
    <w:rPr>
      <w:rFonts w:eastAsia="黑体"/>
      <w:sz w:val="24"/>
    </w:rPr>
  </w:style>
  <w:style w:type="paragraph" w:styleId="8">
    <w:name w:val="annotation text"/>
    <w:basedOn w:val="1"/>
    <w:link w:val="42"/>
    <w:qFormat/>
    <w:uiPriority w:val="0"/>
    <w:pPr>
      <w:jc w:val="left"/>
    </w:pPr>
  </w:style>
  <w:style w:type="paragraph" w:styleId="9">
    <w:name w:val="Body Text Indent"/>
    <w:basedOn w:val="1"/>
    <w:qFormat/>
    <w:uiPriority w:val="0"/>
    <w:pPr>
      <w:spacing w:after="120"/>
      <w:ind w:left="420" w:leftChars="200"/>
    </w:pPr>
    <w:rPr>
      <w:kern w:val="0"/>
      <w:sz w:val="24"/>
      <w:szCs w:val="20"/>
    </w:rPr>
  </w:style>
  <w:style w:type="paragraph" w:styleId="10">
    <w:name w:val="Balloon Text"/>
    <w:basedOn w:val="1"/>
    <w:link w:val="41"/>
    <w:qFormat/>
    <w:uiPriority w:val="0"/>
    <w:rPr>
      <w:sz w:val="18"/>
      <w:szCs w:val="18"/>
    </w:rPr>
  </w:style>
  <w:style w:type="paragraph" w:styleId="11">
    <w:name w:val="footer"/>
    <w:basedOn w:val="1"/>
    <w:qFormat/>
    <w:uiPriority w:val="0"/>
    <w:pPr>
      <w:tabs>
        <w:tab w:val="center" w:pos="4153"/>
        <w:tab w:val="right" w:pos="8306"/>
      </w:tabs>
      <w:snapToGrid w:val="0"/>
      <w:jc w:val="left"/>
    </w:pPr>
    <w:rPr>
      <w:sz w:val="18"/>
      <w:szCs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List"/>
    <w:basedOn w:val="1"/>
    <w:next w:val="1"/>
    <w:qFormat/>
    <w:uiPriority w:val="0"/>
    <w:pPr>
      <w:widowControl/>
      <w:overflowPunct w:val="0"/>
      <w:autoSpaceDE w:val="0"/>
      <w:autoSpaceDN w:val="0"/>
      <w:adjustRightInd w:val="0"/>
      <w:spacing w:line="360" w:lineRule="auto"/>
      <w:jc w:val="center"/>
      <w:textAlignment w:val="baseline"/>
    </w:pPr>
    <w:rPr>
      <w:kern w:val="0"/>
      <w:lang w:val="en-GB"/>
    </w:rPr>
  </w:style>
  <w:style w:type="paragraph" w:styleId="14">
    <w:name w:val="Body Text Indent 3"/>
    <w:basedOn w:val="1"/>
    <w:qFormat/>
    <w:uiPriority w:val="0"/>
    <w:pPr>
      <w:spacing w:after="120"/>
      <w:ind w:left="420" w:leftChars="200"/>
    </w:pPr>
    <w:rPr>
      <w:sz w:val="16"/>
      <w:szCs w:val="16"/>
    </w:rPr>
  </w:style>
  <w:style w:type="paragraph" w:styleId="15">
    <w:name w:val="Normal (Web)"/>
    <w:basedOn w:val="1"/>
    <w:qFormat/>
    <w:uiPriority w:val="0"/>
    <w:pPr>
      <w:widowControl/>
      <w:spacing w:before="100" w:beforeAutospacing="1" w:after="100" w:afterAutospacing="1"/>
      <w:jc w:val="left"/>
    </w:pPr>
    <w:rPr>
      <w:rFonts w:ascii="宋体" w:hAnsi="宋体"/>
      <w:kern w:val="0"/>
      <w:sz w:val="24"/>
    </w:rPr>
  </w:style>
  <w:style w:type="paragraph" w:styleId="16">
    <w:name w:val="annotation subject"/>
    <w:basedOn w:val="8"/>
    <w:next w:val="8"/>
    <w:link w:val="43"/>
    <w:qFormat/>
    <w:uiPriority w:val="0"/>
    <w:rPr>
      <w:b/>
      <w:bCs/>
    </w:rPr>
  </w:style>
  <w:style w:type="paragraph" w:styleId="17">
    <w:name w:val="Body Text First Indent"/>
    <w:basedOn w:val="2"/>
    <w:next w:val="7"/>
    <w:qFormat/>
    <w:uiPriority w:val="0"/>
    <w:pPr>
      <w:adjustRightInd w:val="0"/>
      <w:snapToGrid w:val="0"/>
      <w:spacing w:beforeLines="50"/>
      <w:ind w:firstLine="200"/>
    </w:pPr>
    <w:rPr>
      <w:kern w:val="0"/>
    </w:rPr>
  </w:style>
  <w:style w:type="character" w:styleId="20">
    <w:name w:val="Strong"/>
    <w:basedOn w:val="19"/>
    <w:qFormat/>
    <w:uiPriority w:val="0"/>
    <w:rPr>
      <w:b/>
    </w:rPr>
  </w:style>
  <w:style w:type="character" w:styleId="21">
    <w:name w:val="page number"/>
    <w:basedOn w:val="19"/>
    <w:qFormat/>
    <w:uiPriority w:val="0"/>
  </w:style>
  <w:style w:type="character" w:styleId="22">
    <w:name w:val="annotation reference"/>
    <w:qFormat/>
    <w:uiPriority w:val="0"/>
    <w:rPr>
      <w:sz w:val="21"/>
      <w:szCs w:val="21"/>
    </w:rPr>
  </w:style>
  <w:style w:type="paragraph" w:customStyle="1" w:styleId="23">
    <w:name w:val="Default"/>
    <w:basedOn w:val="24"/>
    <w:next w:val="13"/>
    <w:qFormat/>
    <w:uiPriority w:val="0"/>
    <w:pPr>
      <w:autoSpaceDE w:val="0"/>
      <w:autoSpaceDN w:val="0"/>
    </w:pPr>
    <w:rPr>
      <w:rFonts w:hAnsi="Times New Roman"/>
      <w:color w:val="000000"/>
      <w:sz w:val="24"/>
    </w:rPr>
  </w:style>
  <w:style w:type="paragraph" w:customStyle="1" w:styleId="24">
    <w:name w:val="纯文本1"/>
    <w:basedOn w:val="1"/>
    <w:qFormat/>
    <w:uiPriority w:val="0"/>
    <w:pPr>
      <w:adjustRightInd w:val="0"/>
      <w:textAlignment w:val="baseline"/>
    </w:pPr>
    <w:rPr>
      <w:rFonts w:ascii="宋体" w:hAnsi="Courier New"/>
    </w:rPr>
  </w:style>
  <w:style w:type="character" w:customStyle="1" w:styleId="25">
    <w:name w:val="标题 3 Char"/>
    <w:link w:val="6"/>
    <w:qFormat/>
    <w:uiPriority w:val="0"/>
    <w:rPr>
      <w:rFonts w:ascii="Calibri" w:hAnsi="Calibri" w:eastAsia="宋体"/>
      <w:b/>
      <w:sz w:val="24"/>
      <w:szCs w:val="20"/>
    </w:rPr>
  </w:style>
  <w:style w:type="paragraph" w:customStyle="1" w:styleId="26">
    <w:name w:val="样式1"/>
    <w:basedOn w:val="2"/>
    <w:qFormat/>
    <w:uiPriority w:val="0"/>
    <w:pPr>
      <w:adjustRightInd w:val="0"/>
      <w:snapToGrid w:val="0"/>
    </w:pPr>
    <w:rPr>
      <w:rFonts w:hint="eastAsia" w:ascii="仿宋_GB2312" w:hAnsi="仿宋_GB2312"/>
      <w:szCs w:val="36"/>
      <w:u w:val="single"/>
    </w:rPr>
  </w:style>
  <w:style w:type="paragraph" w:customStyle="1" w:styleId="27">
    <w:name w:val="我的正文"/>
    <w:basedOn w:val="1"/>
    <w:qFormat/>
    <w:uiPriority w:val="0"/>
    <w:pPr>
      <w:widowControl/>
      <w:ind w:firstLine="538"/>
    </w:pPr>
    <w:rPr>
      <w:kern w:val="0"/>
      <w:sz w:val="28"/>
      <w:szCs w:val="20"/>
    </w:rPr>
  </w:style>
  <w:style w:type="paragraph" w:customStyle="1" w:styleId="28">
    <w:name w:val="样式 正文首行缩进:  2 字符 + 首行缩进:  2 字符"/>
    <w:basedOn w:val="1"/>
    <w:qFormat/>
    <w:uiPriority w:val="0"/>
    <w:pPr>
      <w:spacing w:line="360" w:lineRule="auto"/>
      <w:ind w:firstLine="480" w:firstLineChars="200"/>
    </w:pPr>
    <w:rPr>
      <w:rFonts w:cs="宋体"/>
      <w:sz w:val="24"/>
      <w:szCs w:val="20"/>
    </w:rPr>
  </w:style>
  <w:style w:type="character" w:customStyle="1" w:styleId="29">
    <w:name w:val="正文文本 Char"/>
    <w:link w:val="2"/>
    <w:qFormat/>
    <w:uiPriority w:val="0"/>
    <w:rPr>
      <w:rFonts w:ascii="Times New Roman" w:hAnsi="Times New Roman"/>
      <w:sz w:val="24"/>
    </w:rPr>
  </w:style>
  <w:style w:type="paragraph" w:customStyle="1" w:styleId="30">
    <w:name w:val="表标题"/>
    <w:basedOn w:val="1"/>
    <w:qFormat/>
    <w:uiPriority w:val="0"/>
    <w:pPr>
      <w:jc w:val="center"/>
    </w:pPr>
    <w:rPr>
      <w:b/>
      <w:kern w:val="0"/>
      <w:szCs w:val="20"/>
    </w:rPr>
  </w:style>
  <w:style w:type="paragraph" w:customStyle="1" w:styleId="31">
    <w:name w:val="表字体"/>
    <w:basedOn w:val="1"/>
    <w:next w:val="1"/>
    <w:qFormat/>
    <w:uiPriority w:val="0"/>
    <w:pPr>
      <w:jc w:val="center"/>
    </w:pPr>
  </w:style>
  <w:style w:type="paragraph" w:customStyle="1" w:styleId="32">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33">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34">
    <w:name w:val="正文何黎"/>
    <w:basedOn w:val="1"/>
    <w:qFormat/>
    <w:uiPriority w:val="0"/>
    <w:pPr>
      <w:spacing w:line="360" w:lineRule="auto"/>
      <w:ind w:firstLine="480" w:firstLineChars="200"/>
    </w:pPr>
    <w:rPr>
      <w:rFonts w:hAnsi="宋体"/>
      <w:kern w:val="0"/>
      <w:sz w:val="24"/>
    </w:rPr>
  </w:style>
  <w:style w:type="paragraph" w:customStyle="1" w:styleId="35">
    <w:name w:val="正文1"/>
    <w:basedOn w:val="1"/>
    <w:qFormat/>
    <w:uiPriority w:val="0"/>
    <w:pPr>
      <w:spacing w:line="440" w:lineRule="exact"/>
    </w:pPr>
  </w:style>
  <w:style w:type="paragraph" w:customStyle="1" w:styleId="36">
    <w:name w:val="正文_35"/>
    <w:qFormat/>
    <w:uiPriority w:val="0"/>
    <w:pPr>
      <w:widowControl w:val="0"/>
      <w:jc w:val="both"/>
    </w:pPr>
    <w:rPr>
      <w:rFonts w:ascii="Calibri" w:hAnsi="Calibri" w:eastAsia="宋体" w:cs="Times New Roman"/>
      <w:kern w:val="2"/>
      <w:sz w:val="21"/>
      <w:lang w:val="en-US" w:eastAsia="zh-CN" w:bidi="ar-SA"/>
    </w:rPr>
  </w:style>
  <w:style w:type="paragraph" w:customStyle="1" w:styleId="37">
    <w:name w:val="新格式表"/>
    <w:basedOn w:val="1"/>
    <w:qFormat/>
    <w:uiPriority w:val="0"/>
    <w:pPr>
      <w:adjustRightInd w:val="0"/>
      <w:snapToGrid w:val="0"/>
      <w:spacing w:line="0" w:lineRule="atLeast"/>
      <w:jc w:val="center"/>
    </w:pPr>
    <w:rPr>
      <w:color w:val="000000"/>
      <w:kern w:val="0"/>
      <w:szCs w:val="21"/>
    </w:rPr>
  </w:style>
  <w:style w:type="character" w:customStyle="1" w:styleId="38">
    <w:name w:val="标题 1 Char"/>
    <w:link w:val="4"/>
    <w:qFormat/>
    <w:uiPriority w:val="0"/>
    <w:rPr>
      <w:rFonts w:ascii="Times New Roman" w:hAnsi="Times New Roman" w:eastAsia="宋体"/>
      <w:b/>
      <w:kern w:val="44"/>
      <w:sz w:val="32"/>
    </w:rPr>
  </w:style>
  <w:style w:type="paragraph" w:customStyle="1" w:styleId="39">
    <w:name w:val="样式 首行缩进:  2 字符"/>
    <w:basedOn w:val="1"/>
    <w:next w:val="1"/>
    <w:qFormat/>
    <w:uiPriority w:val="0"/>
    <w:pPr>
      <w:snapToGrid w:val="0"/>
      <w:spacing w:line="400" w:lineRule="exact"/>
      <w:ind w:firstLine="459" w:firstLineChars="200"/>
    </w:pPr>
    <w:rPr>
      <w:sz w:val="24"/>
      <w:szCs w:val="20"/>
    </w:rPr>
  </w:style>
  <w:style w:type="paragraph" w:customStyle="1" w:styleId="40">
    <w:name w:val="风评表头"/>
    <w:basedOn w:val="1"/>
    <w:next w:val="1"/>
    <w:qFormat/>
    <w:uiPriority w:val="0"/>
    <w:pPr>
      <w:spacing w:beforeLines="100"/>
      <w:jc w:val="center"/>
    </w:pPr>
    <w:rPr>
      <w:rFonts w:eastAsia="黑体"/>
      <w:b/>
    </w:rPr>
  </w:style>
  <w:style w:type="character" w:customStyle="1" w:styleId="41">
    <w:name w:val="批注框文本 Char"/>
    <w:basedOn w:val="19"/>
    <w:link w:val="10"/>
    <w:qFormat/>
    <w:uiPriority w:val="0"/>
    <w:rPr>
      <w:kern w:val="2"/>
      <w:sz w:val="18"/>
      <w:szCs w:val="18"/>
    </w:rPr>
  </w:style>
  <w:style w:type="character" w:customStyle="1" w:styleId="42">
    <w:name w:val="批注文字 Char"/>
    <w:basedOn w:val="19"/>
    <w:link w:val="8"/>
    <w:qFormat/>
    <w:uiPriority w:val="0"/>
    <w:rPr>
      <w:kern w:val="2"/>
      <w:sz w:val="21"/>
      <w:szCs w:val="24"/>
    </w:rPr>
  </w:style>
  <w:style w:type="character" w:customStyle="1" w:styleId="43">
    <w:name w:val="批注主题 Char"/>
    <w:basedOn w:val="42"/>
    <w:link w:val="16"/>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emf"/><Relationship Id="rId7" Type="http://schemas.openxmlformats.org/officeDocument/2006/relationships/oleObject" Target="embeddings/oleObject1.bin"/><Relationship Id="rId60" Type="http://schemas.openxmlformats.org/officeDocument/2006/relationships/fontTable" Target="fontTable.xml"/><Relationship Id="rId6" Type="http://schemas.openxmlformats.org/officeDocument/2006/relationships/theme" Target="theme/theme1.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50.jpeg"/><Relationship Id="rId56" Type="http://schemas.openxmlformats.org/officeDocument/2006/relationships/image" Target="media/image49.png"/><Relationship Id="rId55" Type="http://schemas.openxmlformats.org/officeDocument/2006/relationships/image" Target="media/image48.bmp"/><Relationship Id="rId54" Type="http://schemas.openxmlformats.org/officeDocument/2006/relationships/image" Target="media/image47.pn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112</Pages>
  <Words>8908</Words>
  <Characters>50776</Characters>
  <Lines>423</Lines>
  <Paragraphs>119</Paragraphs>
  <TotalTime>2</TotalTime>
  <ScaleCrop>false</ScaleCrop>
  <LinksUpToDate>false</LinksUpToDate>
  <CharactersWithSpaces>59565</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2021-01-05T02:42:00Z</dcterms:created>
  <dc:creator>小龙龙30</dc:creator>
  <cp:lastModifiedBy>Edie</cp:lastModifiedBy>
  <dcterms:modified xsi:type="dcterms:W3CDTF">2021-06-30T06:38:18Z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070AC09EE7534D6689972D0D08B8DB06</vt:lpwstr>
  </property>
</Properties>
</file>