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80" w:lineRule="exact"/>
        <w:textAlignment w:val="top"/>
        <w:rPr>
          <w:rFonts w:ascii="仿宋" w:hAnsi="仿宋" w:eastAsia="仿宋"/>
          <w:b/>
          <w:color w:val="000000"/>
          <w:sz w:val="36"/>
        </w:rPr>
      </w:pPr>
      <w:r>
        <w:rPr>
          <w:rFonts w:hint="eastAsia" w:ascii="仿宋" w:hAnsi="仿宋" w:eastAsia="仿宋"/>
          <w:b/>
          <w:color w:val="000000"/>
          <w:kern w:val="2"/>
          <w:sz w:val="36"/>
        </w:rPr>
        <w:t xml:space="preserve">                                               </w:t>
      </w:r>
    </w:p>
    <w:p>
      <w:pPr>
        <w:pStyle w:val="13"/>
        <w:spacing w:line="480" w:lineRule="exact"/>
        <w:textAlignment w:val="top"/>
        <w:rPr>
          <w:rFonts w:ascii="仿宋" w:hAnsi="仿宋" w:eastAsia="仿宋"/>
          <w:b/>
          <w:color w:val="000000"/>
          <w:sz w:val="36"/>
        </w:rPr>
      </w:pPr>
    </w:p>
    <w:p>
      <w:pPr>
        <w:pStyle w:val="13"/>
        <w:spacing w:line="320" w:lineRule="exact"/>
        <w:ind w:firstLine="5250" w:firstLineChars="1750"/>
        <w:textAlignment w:val="top"/>
        <w:rPr>
          <w:rFonts w:ascii="仿宋" w:hAnsi="仿宋" w:eastAsia="仿宋"/>
          <w:color w:val="000000"/>
          <w:sz w:val="30"/>
          <w:szCs w:val="30"/>
        </w:rPr>
      </w:pPr>
    </w:p>
    <w:p>
      <w:pPr>
        <w:pStyle w:val="13"/>
        <w:spacing w:line="320" w:lineRule="exact"/>
        <w:ind w:firstLine="5250" w:firstLineChars="1750"/>
        <w:textAlignment w:val="top"/>
        <w:rPr>
          <w:rFonts w:ascii="仿宋" w:hAnsi="仿宋" w:eastAsia="仿宋"/>
          <w:color w:val="000000"/>
          <w:sz w:val="30"/>
          <w:szCs w:val="30"/>
        </w:rPr>
      </w:pPr>
    </w:p>
    <w:p>
      <w:pPr>
        <w:pStyle w:val="13"/>
        <w:spacing w:line="320" w:lineRule="exact"/>
        <w:ind w:firstLine="5250" w:firstLineChars="1750"/>
        <w:textAlignment w:val="top"/>
        <w:rPr>
          <w:rFonts w:ascii="仿宋" w:hAnsi="仿宋" w:eastAsia="仿宋"/>
          <w:color w:val="000000"/>
          <w:sz w:val="30"/>
          <w:szCs w:val="30"/>
        </w:rPr>
      </w:pPr>
    </w:p>
    <w:p>
      <w:pPr>
        <w:pStyle w:val="13"/>
        <w:spacing w:line="400" w:lineRule="exact"/>
        <w:jc w:val="both"/>
        <w:textAlignment w:val="top"/>
        <w:rPr>
          <w:rFonts w:ascii="仿宋" w:hAnsi="仿宋" w:eastAsia="仿宋"/>
          <w:color w:val="000000"/>
          <w:sz w:val="30"/>
          <w:szCs w:val="30"/>
        </w:rPr>
      </w:pPr>
    </w:p>
    <w:p>
      <w:pPr>
        <w:pStyle w:val="13"/>
        <w:wordWrap w:val="0"/>
        <w:spacing w:after="156" w:afterLines="50" w:line="400" w:lineRule="exact"/>
        <w:jc w:val="right"/>
        <w:textAlignment w:val="top"/>
        <w:rPr>
          <w:rFonts w:ascii="仿宋" w:hAnsi="仿宋" w:eastAsia="仿宋"/>
          <w:sz w:val="32"/>
          <w:szCs w:val="32"/>
        </w:rPr>
      </w:pPr>
      <w:r>
        <w:rPr>
          <w:rFonts w:hint="eastAsia" w:ascii="仿宋" w:hAnsi="仿宋" w:eastAsia="仿宋"/>
          <w:color w:val="000000"/>
          <w:sz w:val="30"/>
          <w:szCs w:val="30"/>
        </w:rPr>
        <w:t xml:space="preserve">                                    </w:t>
      </w:r>
      <w:r>
        <w:rPr>
          <w:rFonts w:hint="eastAsia" w:ascii="仿宋" w:hAnsi="仿宋" w:eastAsia="仿宋"/>
          <w:color w:val="FF0000"/>
          <w:sz w:val="30"/>
          <w:szCs w:val="30"/>
        </w:rPr>
        <w:t xml:space="preserve"> </w:t>
      </w:r>
      <w:r>
        <w:rPr>
          <w:rFonts w:hint="eastAsia" w:ascii="仿宋" w:hAnsi="仿宋" w:eastAsia="仿宋"/>
          <w:sz w:val="32"/>
          <w:szCs w:val="32"/>
        </w:rPr>
        <w:t>岳环评[2021]</w:t>
      </w:r>
      <w:r>
        <w:rPr>
          <w:rFonts w:hint="eastAsia" w:ascii="仿宋" w:hAnsi="仿宋" w:eastAsia="仿宋"/>
          <w:sz w:val="32"/>
          <w:szCs w:val="32"/>
          <w:lang w:val="en-US" w:eastAsia="zh-CN"/>
        </w:rPr>
        <w:t>28</w:t>
      </w:r>
      <w:r>
        <w:rPr>
          <w:rFonts w:hint="eastAsia" w:ascii="仿宋" w:hAnsi="仿宋" w:eastAsia="仿宋"/>
          <w:sz w:val="32"/>
          <w:szCs w:val="32"/>
        </w:rPr>
        <w:t>号</w:t>
      </w:r>
    </w:p>
    <w:p>
      <w:pPr>
        <w:autoSpaceDE w:val="0"/>
        <w:autoSpaceDN w:val="0"/>
        <w:adjustRightInd w:val="0"/>
        <w:ind w:left="177" w:hanging="177" w:firstLineChars="0"/>
        <w:jc w:val="center"/>
        <w:rPr>
          <w:rFonts w:hint="eastAsia" w:ascii="宋体" w:hAnsi="宋体"/>
          <w:b/>
          <w:bCs/>
          <w:sz w:val="36"/>
          <w:szCs w:val="36"/>
        </w:rPr>
      </w:pPr>
      <w:r>
        <w:rPr>
          <w:rFonts w:hint="eastAsia" w:ascii="宋体" w:hAnsi="宋体"/>
          <w:b/>
          <w:bCs/>
          <w:sz w:val="36"/>
          <w:szCs w:val="36"/>
        </w:rPr>
        <w:t>关于中国石化集团资产经营管理有限公司巴陵石化</w:t>
      </w:r>
    </w:p>
    <w:p>
      <w:pPr>
        <w:autoSpaceDE w:val="0"/>
        <w:autoSpaceDN w:val="0"/>
        <w:adjustRightInd w:val="0"/>
        <w:ind w:left="177" w:hanging="177" w:firstLineChars="0"/>
        <w:jc w:val="center"/>
        <w:rPr>
          <w:rFonts w:hint="eastAsia" w:ascii="宋体" w:hAnsi="宋体"/>
          <w:b/>
          <w:bCs/>
          <w:sz w:val="36"/>
          <w:szCs w:val="36"/>
        </w:rPr>
      </w:pPr>
      <w:r>
        <w:rPr>
          <w:rFonts w:hint="eastAsia" w:ascii="宋体" w:hAnsi="宋体"/>
          <w:b/>
          <w:bCs/>
          <w:sz w:val="36"/>
          <w:szCs w:val="36"/>
        </w:rPr>
        <w:t>分公司树脂部离子膜烧碱装置优化升级改造项目</w:t>
      </w:r>
    </w:p>
    <w:p>
      <w:pPr>
        <w:autoSpaceDE w:val="0"/>
        <w:autoSpaceDN w:val="0"/>
        <w:adjustRightInd w:val="0"/>
        <w:ind w:left="177" w:hanging="177" w:firstLineChars="0"/>
        <w:jc w:val="center"/>
        <w:rPr>
          <w:rFonts w:ascii="宋体" w:hAnsi="宋体" w:cs="黑体"/>
          <w:b/>
          <w:color w:val="000000"/>
          <w:sz w:val="36"/>
          <w:szCs w:val="36"/>
        </w:rPr>
      </w:pPr>
      <w:r>
        <w:rPr>
          <w:rFonts w:ascii="宋体" w:hAnsi="宋体"/>
          <w:b/>
          <w:sz w:val="36"/>
          <w:szCs w:val="36"/>
        </w:rPr>
        <w:t>环境影响报告书</w:t>
      </w:r>
      <w:r>
        <w:rPr>
          <w:rFonts w:hint="eastAsia" w:ascii="宋体" w:hAnsi="宋体"/>
          <w:b/>
          <w:sz w:val="36"/>
          <w:szCs w:val="36"/>
        </w:rPr>
        <w:t>的批复</w:t>
      </w:r>
    </w:p>
    <w:p>
      <w:pPr>
        <w:pStyle w:val="13"/>
        <w:spacing w:line="480" w:lineRule="exact"/>
        <w:ind w:left="177" w:hanging="177" w:hangingChars="49"/>
        <w:jc w:val="center"/>
        <w:textAlignment w:val="top"/>
        <w:rPr>
          <w:rFonts w:ascii="仿宋" w:hAnsi="仿宋" w:eastAsia="仿宋" w:cs="黑体"/>
          <w:b/>
          <w:color w:val="FF0000"/>
          <w:sz w:val="36"/>
          <w:szCs w:val="36"/>
        </w:rPr>
      </w:pPr>
    </w:p>
    <w:p>
      <w:pPr>
        <w:spacing w:line="480" w:lineRule="exact"/>
        <w:ind w:firstLine="0" w:firstLineChars="0"/>
        <w:jc w:val="both"/>
        <w:rPr>
          <w:rFonts w:ascii="仿宋" w:hAnsi="仿宋" w:eastAsia="仿宋"/>
          <w:sz w:val="32"/>
          <w:szCs w:val="32"/>
        </w:rPr>
      </w:pPr>
      <w:r>
        <w:rPr>
          <w:rFonts w:hint="eastAsia" w:ascii="仿宋" w:hAnsi="仿宋" w:eastAsia="仿宋"/>
          <w:sz w:val="32"/>
          <w:szCs w:val="32"/>
        </w:rPr>
        <w:t>中国石化集团资产经营管理有限公司巴陵石化分公司</w:t>
      </w:r>
      <w:r>
        <w:rPr>
          <w:rFonts w:hint="eastAsia" w:ascii="仿宋" w:hAnsi="仿宋"/>
          <w:sz w:val="32"/>
          <w:szCs w:val="32"/>
        </w:rPr>
        <w:t>：</w:t>
      </w:r>
    </w:p>
    <w:p>
      <w:pPr>
        <w:spacing w:line="480" w:lineRule="exact"/>
        <w:ind w:firstLine="640"/>
        <w:jc w:val="both"/>
        <w:rPr>
          <w:rFonts w:ascii="仿宋" w:hAnsi="仿宋" w:eastAsia="仿宋"/>
          <w:sz w:val="32"/>
          <w:szCs w:val="32"/>
        </w:rPr>
      </w:pPr>
      <w:r>
        <w:rPr>
          <w:rFonts w:hint="eastAsia" w:ascii="仿宋" w:hAnsi="仿宋" w:eastAsia="仿宋"/>
          <w:sz w:val="32"/>
          <w:szCs w:val="32"/>
        </w:rPr>
        <w:t>你公司《关于</w:t>
      </w:r>
      <w:r>
        <w:rPr>
          <w:rFonts w:hint="eastAsia" w:ascii="仿宋" w:hAnsi="仿宋" w:eastAsia="仿宋"/>
          <w:sz w:val="32"/>
          <w:szCs w:val="32"/>
          <w:lang w:val="en-US" w:eastAsia="zh-CN"/>
        </w:rPr>
        <w:t>请求对</w:t>
      </w:r>
      <w:r>
        <w:rPr>
          <w:rFonts w:hint="eastAsia" w:ascii="仿宋" w:hAnsi="仿宋" w:eastAsia="仿宋"/>
          <w:sz w:val="32"/>
          <w:szCs w:val="32"/>
        </w:rPr>
        <w:t>&lt;中国石化集团资产经营管理有限公司巴陵石化分公司树脂部离子膜烧碱装置优化升级改造项目环境影响报告书&gt;</w:t>
      </w:r>
      <w:r>
        <w:rPr>
          <w:rFonts w:hint="eastAsia" w:ascii="仿宋" w:hAnsi="仿宋" w:eastAsia="仿宋"/>
          <w:sz w:val="32"/>
          <w:szCs w:val="32"/>
          <w:lang w:val="en-US" w:eastAsia="zh-CN"/>
        </w:rPr>
        <w:t>进行</w:t>
      </w:r>
      <w:r>
        <w:rPr>
          <w:rFonts w:hint="eastAsia" w:ascii="仿宋" w:hAnsi="仿宋" w:eastAsia="仿宋"/>
          <w:sz w:val="32"/>
          <w:szCs w:val="32"/>
        </w:rPr>
        <w:t>批复的报告》、岳阳市生态环境局云溪分局的预审意见及有关附件悉收。经研究，批复如下：</w:t>
      </w:r>
    </w:p>
    <w:p>
      <w:pPr>
        <w:spacing w:line="480" w:lineRule="exact"/>
        <w:ind w:firstLine="640"/>
        <w:jc w:val="both"/>
        <w:rPr>
          <w:rFonts w:ascii="仿宋" w:hAnsi="仿宋" w:eastAsia="仿宋"/>
          <w:sz w:val="32"/>
          <w:szCs w:val="32"/>
        </w:rPr>
      </w:pPr>
      <w:r>
        <w:rPr>
          <w:rFonts w:hint="eastAsia" w:ascii="仿宋" w:hAnsi="仿宋" w:eastAsia="仿宋"/>
          <w:sz w:val="32"/>
          <w:szCs w:val="32"/>
        </w:rPr>
        <w:t>一、中国石化集团资产经营管理有限公司巴陵石化分公司拟投资2351.72万元对现有自然循环技术离子膜烧碱装置进行升级改造</w:t>
      </w:r>
      <w:r>
        <w:rPr>
          <w:rFonts w:hint="eastAsia" w:ascii="仿宋" w:hAnsi="仿宋" w:eastAsia="仿宋"/>
          <w:sz w:val="32"/>
          <w:szCs w:val="32"/>
          <w:lang w:eastAsia="zh-CN"/>
        </w:rPr>
        <w:t>，根据你公司提供的环评文件</w:t>
      </w:r>
      <w:r>
        <w:rPr>
          <w:rFonts w:hint="default" w:ascii="仿宋" w:hAnsi="仿宋" w:eastAsia="仿宋"/>
          <w:sz w:val="32"/>
          <w:szCs w:val="32"/>
          <w:lang w:val="en-US" w:eastAsia="zh-CN"/>
        </w:rPr>
        <w:t>及</w:t>
      </w:r>
      <w:r>
        <w:rPr>
          <w:rFonts w:hint="eastAsia" w:ascii="仿宋" w:hAnsi="仿宋" w:eastAsia="仿宋"/>
          <w:sz w:val="32"/>
          <w:szCs w:val="32"/>
          <w:lang w:val="en-US" w:eastAsia="zh-CN"/>
        </w:rPr>
        <w:t>其他资料，将</w:t>
      </w:r>
      <w:r>
        <w:rPr>
          <w:rFonts w:hint="eastAsia" w:ascii="仿宋" w:hAnsi="仿宋" w:eastAsia="仿宋"/>
          <w:sz w:val="32"/>
          <w:szCs w:val="32"/>
        </w:rPr>
        <w:t>于装置预留地再增加1台电密电解槽G槽（设计产能15kt/a），使离子膜烧碱装置总产能提升至105kt/a，以基本满足下游装置及周边地区的氯气使用需求，除新增电解槽配套工程外，其余辅助工程、公用工程及环保工程均依托树脂部现有。根据湖南志远环境咨询服务有限公司编制的《中国石化集团资产经营管理有限公司巴陵石化分公司树脂部离子膜烧碱装置优化升级改造项目环境影响报告书（报批稿）》基本内容、结论、专家评审意见及岳阳市生态环境局云溪分局预审意见，从环境保护角度考虑，我局原则同意你公司环境影响报告书中</w:t>
      </w:r>
      <w:r>
        <w:rPr>
          <w:rFonts w:hint="eastAsia" w:ascii="仿宋" w:hAnsi="仿宋" w:eastAsia="仿宋"/>
          <w:sz w:val="32"/>
          <w:szCs w:val="32"/>
          <w:lang w:eastAsia="zh-CN"/>
        </w:rPr>
        <w:t>所列建设</w:t>
      </w:r>
      <w:r>
        <w:rPr>
          <w:rFonts w:hint="default" w:ascii="仿宋" w:hAnsi="仿宋" w:eastAsia="仿宋"/>
          <w:sz w:val="32"/>
          <w:szCs w:val="32"/>
          <w:lang w:val="en-US" w:eastAsia="zh-CN"/>
        </w:rPr>
        <w:t>内</w:t>
      </w:r>
      <w:r>
        <w:rPr>
          <w:rFonts w:hint="eastAsia" w:ascii="仿宋" w:hAnsi="仿宋" w:eastAsia="仿宋"/>
          <w:sz w:val="32"/>
          <w:szCs w:val="32"/>
          <w:lang w:val="en-US" w:eastAsia="zh-CN"/>
        </w:rPr>
        <w:t>容</w:t>
      </w:r>
      <w:r>
        <w:rPr>
          <w:rFonts w:hint="eastAsia" w:ascii="仿宋" w:hAnsi="仿宋" w:eastAsia="仿宋"/>
          <w:sz w:val="32"/>
          <w:szCs w:val="32"/>
        </w:rPr>
        <w:t>的环境影响评价结论和环境保护对策措施。</w:t>
      </w:r>
    </w:p>
    <w:p>
      <w:pPr>
        <w:spacing w:line="48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spacing w:line="480" w:lineRule="exact"/>
        <w:ind w:firstLine="640"/>
        <w:jc w:val="both"/>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、废水污染防治工作。严格按照“雨污分流、清污分流”的原则规范厂区雨水及污水管网</w:t>
      </w:r>
      <w:r>
        <w:rPr>
          <w:rFonts w:hint="eastAsia" w:ascii="仿宋" w:hAnsi="仿宋" w:eastAsia="仿宋"/>
          <w:sz w:val="32"/>
          <w:szCs w:val="32"/>
        </w:rPr>
        <w:t>。项目废酸碱液经企业酸碱污水中和处理设施处理，与</w:t>
      </w:r>
      <w:r>
        <w:rPr>
          <w:rFonts w:hint="eastAsia" w:ascii="仿宋" w:hAnsi="仿宋" w:eastAsia="仿宋"/>
          <w:sz w:val="32"/>
          <w:szCs w:val="32"/>
          <w:lang w:val="en-US" w:eastAsia="zh-CN"/>
        </w:rPr>
        <w:t>清洗废水</w:t>
      </w:r>
      <w:r>
        <w:rPr>
          <w:rFonts w:hint="eastAsia" w:ascii="仿宋" w:hAnsi="仿宋" w:eastAsia="仿宋"/>
          <w:sz w:val="32"/>
          <w:szCs w:val="32"/>
        </w:rPr>
        <w:t>、生活废水、初期雨水一起满足树脂部内控水质标准后，排入巴陵石化云溪污水处理厂进一步处理。</w:t>
      </w:r>
    </w:p>
    <w:p>
      <w:pPr>
        <w:spacing w:line="480" w:lineRule="exact"/>
        <w:ind w:firstLine="640"/>
        <w:jc w:val="both"/>
        <w:rPr>
          <w:rFonts w:ascii="仿宋" w:hAnsi="仿宋" w:eastAsia="仿宋"/>
          <w:sz w:val="32"/>
          <w:szCs w:val="32"/>
        </w:rPr>
      </w:pPr>
      <w:r>
        <w:rPr>
          <w:rFonts w:hint="eastAsia" w:ascii="仿宋" w:hAnsi="仿宋" w:eastAsia="仿宋"/>
          <w:sz w:val="32"/>
          <w:szCs w:val="32"/>
        </w:rPr>
        <w:t>按照分区防控的原则落实报告书提出地下水污染防治措施，做好</w:t>
      </w:r>
      <w:r>
        <w:rPr>
          <w:rFonts w:hint="eastAsia" w:ascii="仿宋" w:hAnsi="仿宋" w:eastAsia="仿宋"/>
          <w:sz w:val="32"/>
          <w:szCs w:val="32"/>
          <w:lang w:val="en-US" w:eastAsia="zh-CN"/>
        </w:rPr>
        <w:t>装置区</w:t>
      </w:r>
      <w:r>
        <w:rPr>
          <w:rFonts w:hint="eastAsia" w:ascii="仿宋" w:hAnsi="仿宋" w:eastAsia="仿宋"/>
          <w:sz w:val="32"/>
          <w:szCs w:val="32"/>
        </w:rPr>
        <w:t>等区域的防渗工作，强化管理，避免由于泄漏等造成污染物下渗污染地下水；根据《环境影响评价技术导则地下水环境》（HJ610-2016）要求，跟踪监测地下水质情况，确保地下水安全。</w:t>
      </w:r>
    </w:p>
    <w:p>
      <w:pPr>
        <w:pStyle w:val="14"/>
        <w:widowControl w:val="0"/>
        <w:adjustRightInd w:val="0"/>
        <w:spacing w:line="480" w:lineRule="exact"/>
        <w:ind w:left="0" w:firstLine="640"/>
        <w:jc w:val="both"/>
        <w:rPr>
          <w:rFonts w:ascii="仿宋" w:hAnsi="仿宋" w:eastAsia="仿宋" w:cs="仿宋_GB2312"/>
          <w:color w:val="000000"/>
          <w:sz w:val="32"/>
          <w:szCs w:val="32"/>
        </w:rPr>
      </w:pPr>
      <w:r>
        <w:rPr>
          <w:rFonts w:hint="eastAsia" w:ascii="仿宋" w:hAnsi="仿宋" w:eastAsia="仿宋" w:cs="仿宋_GB2312"/>
          <w:sz w:val="32"/>
          <w:szCs w:val="32"/>
        </w:rPr>
        <w:t>2</w:t>
      </w:r>
      <w:r>
        <w:rPr>
          <w:rFonts w:ascii="仿宋" w:hAnsi="仿宋" w:eastAsia="仿宋" w:cs="仿宋_GB2312"/>
          <w:sz w:val="32"/>
          <w:szCs w:val="32"/>
        </w:rPr>
        <w:t>、废气污染防治工作。</w:t>
      </w:r>
      <w:r>
        <w:rPr>
          <w:rFonts w:hint="eastAsia" w:eastAsia="仿宋"/>
          <w:sz w:val="32"/>
          <w:szCs w:val="32"/>
        </w:rPr>
        <w:t>严格控制项目废气污染，加强日常监管，定期对设备、管道、阀门、法兰等进行维护和管理，杜绝生产过程中的跑、冒、滴、漏，最大限度减少生产过程中的废气无组织排放，</w:t>
      </w:r>
      <w:r>
        <w:rPr>
          <w:rFonts w:hint="eastAsia" w:ascii="仿宋" w:hAnsi="仿宋" w:eastAsia="仿宋" w:cs="仿宋_GB2312"/>
          <w:color w:val="000000"/>
          <w:sz w:val="32"/>
          <w:szCs w:val="32"/>
        </w:rPr>
        <w:t>项目企业边界氯、氯化氢执行《烧碱、聚氯乙烯工业污染物排放标准》（GB 15581-2016）表5 企业边界大气污染物浓度限值</w:t>
      </w:r>
      <w:r>
        <w:rPr>
          <w:rFonts w:hint="eastAsia" w:ascii="仿宋" w:hAnsi="仿宋" w:eastAsia="仿宋"/>
          <w:color w:val="000000"/>
          <w:sz w:val="32"/>
          <w:szCs w:val="32"/>
        </w:rPr>
        <w:t>。</w:t>
      </w:r>
    </w:p>
    <w:p>
      <w:pPr>
        <w:spacing w:line="480" w:lineRule="exact"/>
        <w:ind w:firstLine="64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ascii="仿宋" w:hAnsi="仿宋" w:eastAsia="仿宋" w:cs="仿宋_GB2312"/>
          <w:color w:val="000000"/>
          <w:sz w:val="32"/>
          <w:szCs w:val="32"/>
        </w:rPr>
        <w:t>噪声污染防治工作。采用低噪声设备，合理安排工作时间，</w:t>
      </w:r>
      <w:r>
        <w:rPr>
          <w:rFonts w:hint="eastAsia" w:ascii="仿宋" w:hAnsi="仿宋" w:eastAsia="仿宋" w:cs="仿宋_GB2312"/>
          <w:color w:val="000000"/>
          <w:sz w:val="32"/>
          <w:szCs w:val="32"/>
        </w:rPr>
        <w:t>采取隔声、减振措施</w:t>
      </w:r>
      <w:r>
        <w:rPr>
          <w:rFonts w:ascii="仿宋" w:hAnsi="仿宋" w:eastAsia="仿宋" w:cs="仿宋_GB2312"/>
          <w:color w:val="000000"/>
          <w:sz w:val="32"/>
          <w:szCs w:val="32"/>
        </w:rPr>
        <w:t>，确保厂界噪声达到《工业企业厂界环境噪声排放标准》(GB12348-2008)中的3类标准要求。</w:t>
      </w:r>
    </w:p>
    <w:p>
      <w:pPr>
        <w:spacing w:line="492" w:lineRule="exact"/>
        <w:ind w:firstLine="640"/>
        <w:jc w:val="both"/>
        <w:rPr>
          <w:rFonts w:ascii="仿宋" w:hAnsi="仿宋" w:eastAsia="仿宋"/>
          <w:color w:val="000000"/>
          <w:sz w:val="32"/>
          <w:szCs w:val="32"/>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、固体废物防治工作。</w:t>
      </w:r>
      <w:r>
        <w:rPr>
          <w:rFonts w:hint="eastAsia" w:hAnsi="仿宋" w:eastAsia="仿宋"/>
          <w:sz w:val="32"/>
          <w:szCs w:val="32"/>
        </w:rPr>
        <w:t>按</w:t>
      </w:r>
      <w:r>
        <w:rPr>
          <w:rFonts w:eastAsia="仿宋"/>
          <w:sz w:val="32"/>
          <w:szCs w:val="32"/>
        </w:rPr>
        <w:t>“</w:t>
      </w:r>
      <w:r>
        <w:rPr>
          <w:rFonts w:hint="eastAsia" w:hAnsi="仿宋" w:eastAsia="仿宋"/>
          <w:sz w:val="32"/>
          <w:szCs w:val="32"/>
        </w:rPr>
        <w:t>无害化、减量化、资源化</w:t>
      </w:r>
      <w:r>
        <w:rPr>
          <w:rFonts w:eastAsia="仿宋"/>
          <w:sz w:val="32"/>
          <w:szCs w:val="32"/>
        </w:rPr>
        <w:t>”</w:t>
      </w:r>
      <w:r>
        <w:rPr>
          <w:rFonts w:hint="eastAsia" w:hAnsi="仿宋" w:eastAsia="仿宋"/>
          <w:sz w:val="32"/>
          <w:szCs w:val="32"/>
        </w:rPr>
        <w:t>原则，做好固体分类收集、暂存工作，建立健全固体废物产生、转运、处置管理台帐。按《一般工业固体废物贮存、处置场污染控制标准》（</w:t>
      </w:r>
      <w:r>
        <w:rPr>
          <w:rFonts w:hAnsi="仿宋" w:eastAsia="仿宋"/>
          <w:sz w:val="32"/>
          <w:szCs w:val="32"/>
        </w:rPr>
        <w:t>GB18599-2001</w:t>
      </w:r>
      <w:r>
        <w:rPr>
          <w:rFonts w:hint="eastAsia" w:hAnsi="仿宋" w:eastAsia="仿宋"/>
          <w:sz w:val="32"/>
          <w:szCs w:val="32"/>
        </w:rPr>
        <w:t>）及</w:t>
      </w:r>
      <w:r>
        <w:rPr>
          <w:rFonts w:hAnsi="仿宋" w:eastAsia="仿宋"/>
          <w:sz w:val="32"/>
          <w:szCs w:val="32"/>
        </w:rPr>
        <w:t>2013</w:t>
      </w:r>
      <w:r>
        <w:rPr>
          <w:rFonts w:hint="eastAsia" w:hAnsi="仿宋" w:eastAsia="仿宋"/>
          <w:sz w:val="32"/>
          <w:szCs w:val="32"/>
        </w:rPr>
        <w:t>年修改单要求收集、贮存和运输一般固体废物；</w:t>
      </w:r>
      <w:r>
        <w:rPr>
          <w:rFonts w:hint="eastAsia" w:ascii="仿宋" w:hAnsi="仿宋" w:eastAsia="仿宋"/>
          <w:color w:val="000000"/>
          <w:sz w:val="32"/>
          <w:szCs w:val="32"/>
        </w:rPr>
        <w:t>生活垃圾定期交环卫部门处理。</w:t>
      </w:r>
    </w:p>
    <w:p>
      <w:pPr>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w:t>
      </w:r>
      <w:r>
        <w:rPr>
          <w:rFonts w:ascii="仿宋" w:hAnsi="仿宋" w:eastAsia="仿宋" w:cs="仿宋_GB2312"/>
          <w:color w:val="000000"/>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pPr>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color w:val="000000"/>
          <w:sz w:val="32"/>
          <w:szCs w:val="32"/>
        </w:rPr>
        <w:t>、加强环境管理，建立健全污染防治设施运行管理台帐，设专门的环保机构，配备专人负责环保工作，确保各项污染防治设施正常运行，各类污染物稳定达标排放。</w:t>
      </w:r>
    </w:p>
    <w:p>
      <w:pPr>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7</w:t>
      </w:r>
      <w:r>
        <w:rPr>
          <w:rFonts w:ascii="仿宋" w:hAnsi="仿宋" w:eastAsia="仿宋" w:cs="仿宋_GB2312"/>
          <w:color w:val="000000"/>
          <w:sz w:val="32"/>
          <w:szCs w:val="32"/>
        </w:rPr>
        <w:t>、本项目总量控制指标： COD</w:t>
      </w:r>
      <w:r>
        <w:rPr>
          <w:rFonts w:ascii="仿宋" w:hAnsi="仿宋" w:eastAsia="仿宋" w:cs="仿宋_GB2312"/>
          <w:color w:val="000000"/>
          <w:sz w:val="32"/>
          <w:szCs w:val="32"/>
          <w:vertAlign w:val="subscript"/>
        </w:rPr>
        <w:t>Cr</w:t>
      </w:r>
      <w:r>
        <w:rPr>
          <w:rFonts w:hint="eastAsia" w:ascii="仿宋" w:hAnsi="仿宋" w:eastAsia="仿宋" w:cs="仿宋_GB2312"/>
          <w:color w:val="000000"/>
          <w:sz w:val="32"/>
          <w:szCs w:val="32"/>
        </w:rPr>
        <w:t>≤0.5</w:t>
      </w:r>
      <w:r>
        <w:rPr>
          <w:rFonts w:ascii="仿宋" w:hAnsi="仿宋" w:eastAsia="仿宋" w:cs="仿宋_GB2312"/>
          <w:color w:val="000000"/>
          <w:sz w:val="32"/>
          <w:szCs w:val="32"/>
        </w:rPr>
        <w:t>t/a</w:t>
      </w:r>
      <w:r>
        <w:rPr>
          <w:rFonts w:hint="eastAsia" w:ascii="仿宋" w:hAnsi="仿宋" w:eastAsia="仿宋" w:cs="仿宋_GB2312"/>
          <w:color w:val="000000"/>
          <w:sz w:val="32"/>
          <w:szCs w:val="32"/>
        </w:rPr>
        <w:t>，</w:t>
      </w:r>
      <w:r>
        <w:rPr>
          <w:rFonts w:ascii="仿宋" w:hAnsi="仿宋" w:eastAsia="仿宋" w:cs="仿宋_GB2312"/>
          <w:color w:val="000000"/>
          <w:sz w:val="32"/>
          <w:szCs w:val="32"/>
        </w:rPr>
        <w:t>NH</w:t>
      </w:r>
      <w:r>
        <w:rPr>
          <w:rFonts w:ascii="仿宋" w:hAnsi="仿宋" w:eastAsia="仿宋" w:cs="仿宋_GB2312"/>
          <w:color w:val="000000"/>
          <w:sz w:val="32"/>
          <w:szCs w:val="32"/>
          <w:vertAlign w:val="subscript"/>
        </w:rPr>
        <w:t>3</w:t>
      </w:r>
      <w:r>
        <w:rPr>
          <w:rFonts w:ascii="仿宋" w:hAnsi="仿宋" w:eastAsia="仿宋" w:cs="仿宋_GB2312"/>
          <w:color w:val="000000"/>
          <w:sz w:val="32"/>
          <w:szCs w:val="32"/>
        </w:rPr>
        <w:t>-N</w:t>
      </w:r>
      <w:r>
        <w:rPr>
          <w:rFonts w:hint="eastAsia" w:ascii="仿宋" w:hAnsi="仿宋" w:eastAsia="仿宋" w:cs="仿宋_GB2312"/>
          <w:color w:val="000000"/>
          <w:sz w:val="32"/>
          <w:szCs w:val="32"/>
        </w:rPr>
        <w:t>≤0.1</w:t>
      </w:r>
      <w:r>
        <w:rPr>
          <w:rFonts w:ascii="仿宋" w:hAnsi="仿宋" w:eastAsia="仿宋" w:cs="仿宋_GB2312"/>
          <w:color w:val="000000"/>
          <w:sz w:val="32"/>
          <w:szCs w:val="32"/>
        </w:rPr>
        <w:t>t/a</w:t>
      </w:r>
      <w:r>
        <w:rPr>
          <w:rFonts w:hint="eastAsia" w:ascii="仿宋" w:hAnsi="仿宋" w:eastAsia="仿宋" w:cs="仿宋_GB2312"/>
          <w:color w:val="000000"/>
          <w:sz w:val="32"/>
          <w:szCs w:val="32"/>
        </w:rPr>
        <w:t>，由巴陵石化内部调控。</w:t>
      </w:r>
    </w:p>
    <w:p>
      <w:pPr>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三、你公司应收到本批复后15个工作日内，将批复及批准的环评报告文件送岳阳市生态环境局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w:t>
      </w:r>
      <w:r>
        <w:rPr>
          <w:rFonts w:hint="eastAsia" w:ascii="仿宋" w:hAnsi="仿宋" w:eastAsia="仿宋"/>
          <w:sz w:val="32"/>
          <w:szCs w:val="32"/>
        </w:rPr>
        <w:t>湖南志远环境咨询服务有限公司</w:t>
      </w:r>
      <w:r>
        <w:rPr>
          <w:rFonts w:ascii="仿宋" w:hAnsi="仿宋" w:eastAsia="仿宋" w:cs="仿宋_GB2312"/>
          <w:color w:val="000000"/>
          <w:sz w:val="32"/>
          <w:szCs w:val="32"/>
        </w:rPr>
        <w:t>。</w:t>
      </w:r>
    </w:p>
    <w:p>
      <w:pPr>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四、请岳阳市生态环境局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分局负责项目建设和运营期的日常环境监管。</w:t>
      </w:r>
      <w:bookmarkStart w:id="0" w:name="_GoBack"/>
      <w:bookmarkEnd w:id="0"/>
    </w:p>
    <w:p>
      <w:pPr>
        <w:spacing w:line="480" w:lineRule="exact"/>
        <w:ind w:firstLine="0" w:firstLineChars="0"/>
        <w:rPr>
          <w:rFonts w:ascii="仿宋" w:hAnsi="仿宋" w:eastAsia="仿宋"/>
          <w:color w:val="000000"/>
          <w:sz w:val="32"/>
          <w:szCs w:val="32"/>
        </w:rPr>
      </w:pPr>
    </w:p>
    <w:p>
      <w:pPr>
        <w:spacing w:line="480" w:lineRule="exact"/>
        <w:ind w:firstLine="0" w:firstLineChars="0"/>
        <w:rPr>
          <w:rFonts w:ascii="仿宋" w:hAnsi="仿宋" w:eastAsia="仿宋"/>
          <w:color w:val="000000"/>
          <w:sz w:val="32"/>
          <w:szCs w:val="32"/>
        </w:rPr>
      </w:pPr>
    </w:p>
    <w:p>
      <w:pPr>
        <w:spacing w:line="480" w:lineRule="exact"/>
        <w:ind w:firstLine="0" w:firstLineChars="0"/>
        <w:rPr>
          <w:rFonts w:ascii="仿宋" w:hAnsi="仿宋" w:eastAsia="仿宋"/>
          <w:color w:val="000000"/>
          <w:sz w:val="32"/>
          <w:szCs w:val="32"/>
        </w:rPr>
      </w:pPr>
    </w:p>
    <w:p>
      <w:pPr>
        <w:spacing w:line="480" w:lineRule="exact"/>
        <w:ind w:firstLine="0" w:firstLineChars="0"/>
        <w:rPr>
          <w:rFonts w:ascii="仿宋" w:hAnsi="仿宋" w:eastAsia="仿宋"/>
          <w:color w:val="000000"/>
          <w:sz w:val="32"/>
          <w:szCs w:val="32"/>
        </w:rPr>
      </w:pPr>
      <w:r>
        <w:rPr>
          <w:rFonts w:hint="eastAsia" w:ascii="仿宋" w:hAnsi="仿宋" w:eastAsia="仿宋"/>
          <w:color w:val="000000"/>
          <w:sz w:val="32"/>
          <w:szCs w:val="32"/>
        </w:rPr>
        <w:t xml:space="preserve">                                岳阳市生态环境局</w:t>
      </w:r>
    </w:p>
    <w:p>
      <w:pPr>
        <w:spacing w:line="480" w:lineRule="exact"/>
        <w:ind w:firstLine="64" w:firstLineChars="2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ascii="仿宋" w:hAnsi="仿宋" w:eastAsia="仿宋"/>
          <w:color w:val="000000"/>
          <w:sz w:val="32"/>
          <w:szCs w:val="32"/>
        </w:rPr>
        <w:t>202</w:t>
      </w:r>
      <w:r>
        <w:rPr>
          <w:rFonts w:hint="eastAsia" w:ascii="仿宋" w:hAnsi="仿宋" w:eastAsia="仿宋"/>
          <w:color w:val="000000"/>
          <w:sz w:val="32"/>
          <w:szCs w:val="32"/>
        </w:rPr>
        <w:t>1年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日</w:t>
      </w:r>
    </w:p>
    <w:p>
      <w:pPr>
        <w:pStyle w:val="14"/>
        <w:spacing w:line="500" w:lineRule="exact"/>
        <w:ind w:left="0" w:firstLine="0" w:firstLineChars="0"/>
        <w:jc w:val="both"/>
        <w:rPr>
          <w:rFonts w:ascii="仿宋" w:hAnsi="仿宋" w:eastAsia="仿宋"/>
          <w:color w:val="FF0000"/>
          <w:sz w:val="32"/>
          <w:szCs w:val="32"/>
        </w:rPr>
      </w:pPr>
    </w:p>
    <w:p>
      <w:pPr>
        <w:ind w:firstLine="400"/>
      </w:pPr>
    </w:p>
    <w:sectPr>
      <w:headerReference r:id="rId7" w:type="first"/>
      <w:headerReference r:id="rId5" w:type="default"/>
      <w:footerReference r:id="rId8" w:type="default"/>
      <w:headerReference r:id="rId6" w:type="even"/>
      <w:footerReference r:id="rId9" w:type="even"/>
      <w:pgSz w:w="11906" w:h="16838"/>
      <w:pgMar w:top="1440" w:right="1588" w:bottom="1418"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rPr>
        <w:lang w:val="zh-CN"/>
      </w:rPr>
      <w:t>3</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0EEC"/>
    <w:rsid w:val="26E6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kern w:val="0"/>
      <w:sz w:val="20"/>
      <w:szCs w:val="20"/>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First Indent 2"/>
    <w:basedOn w:val="3"/>
    <w:next w:val="4"/>
    <w:link w:val="16"/>
    <w:qFormat/>
    <w:uiPriority w:val="99"/>
    <w:pPr>
      <w:ind w:firstLine="420"/>
    </w:pPr>
  </w:style>
  <w:style w:type="paragraph" w:styleId="3">
    <w:name w:val="Body Text Indent"/>
    <w:basedOn w:val="1"/>
    <w:next w:val="2"/>
    <w:link w:val="15"/>
    <w:qFormat/>
    <w:uiPriority w:val="99"/>
    <w:pPr>
      <w:spacing w:after="120"/>
      <w:ind w:left="420" w:leftChars="200"/>
    </w:pPr>
  </w:style>
  <w:style w:type="paragraph" w:styleId="4">
    <w:name w:val="Body Text First Indent"/>
    <w:basedOn w:val="5"/>
    <w:qFormat/>
    <w:uiPriority w:val="0"/>
    <w:pPr>
      <w:adjustRightInd w:val="0"/>
      <w:snapToGrid w:val="0"/>
      <w:spacing w:after="0" w:line="360" w:lineRule="auto"/>
      <w:ind w:firstLine="200"/>
      <w:jc w:val="both"/>
    </w:pPr>
    <w:rPr>
      <w:kern w:val="2"/>
      <w:sz w:val="24"/>
    </w:rPr>
  </w:style>
  <w:style w:type="paragraph" w:styleId="5">
    <w:name w:val="Body Text"/>
    <w:basedOn w:val="1"/>
    <w:next w:val="6"/>
    <w:qFormat/>
    <w:uiPriority w:val="0"/>
    <w:pPr>
      <w:spacing w:after="120"/>
    </w:pPr>
  </w:style>
  <w:style w:type="paragraph" w:customStyle="1" w:styleId="6">
    <w:name w:val="Date1"/>
    <w:basedOn w:val="1"/>
    <w:next w:val="1"/>
    <w:qFormat/>
    <w:uiPriority w:val="0"/>
    <w:pPr>
      <w:adjustRightInd w:val="0"/>
      <w:jc w:val="both"/>
      <w:textAlignment w:val="baseline"/>
    </w:pPr>
    <w:rPr>
      <w:sz w:val="21"/>
      <w:szCs w:val="21"/>
    </w:rPr>
  </w:style>
  <w:style w:type="paragraph" w:styleId="7">
    <w:name w:val="footer"/>
    <w:basedOn w:val="1"/>
    <w:link w:val="11"/>
    <w:qFormat/>
    <w:uiPriority w:val="99"/>
    <w:pPr>
      <w:tabs>
        <w:tab w:val="center" w:pos="4153"/>
        <w:tab w:val="right" w:pos="8306"/>
      </w:tabs>
      <w:snapToGrid w:val="0"/>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basedOn w:val="10"/>
    <w:link w:val="7"/>
    <w:qFormat/>
    <w:uiPriority w:val="99"/>
    <w:rPr>
      <w:rFonts w:ascii="Times New Roman" w:hAnsi="Times New Roman" w:eastAsia="宋体" w:cs="Times New Roman"/>
      <w:kern w:val="0"/>
      <w:sz w:val="18"/>
      <w:szCs w:val="18"/>
    </w:rPr>
  </w:style>
  <w:style w:type="character" w:customStyle="1" w:styleId="12">
    <w:name w:val="页眉 Char"/>
    <w:basedOn w:val="10"/>
    <w:link w:val="8"/>
    <w:qFormat/>
    <w:uiPriority w:val="0"/>
    <w:rPr>
      <w:rFonts w:ascii="Times New Roman" w:hAnsi="Times New Roman" w:eastAsia="宋体" w:cs="Times New Roman"/>
      <w:kern w:val="0"/>
      <w:sz w:val="18"/>
      <w:szCs w:val="18"/>
    </w:rPr>
  </w:style>
  <w:style w:type="paragraph" w:customStyle="1" w:styleId="13">
    <w:name w:val="WPS Plain"/>
    <w:qFormat/>
    <w:uiPriority w:val="0"/>
    <w:rPr>
      <w:rFonts w:ascii="Times New Roman" w:hAnsi="Times New Roman" w:eastAsia="宋体" w:cs="Times New Roman"/>
      <w:kern w:val="0"/>
      <w:sz w:val="20"/>
      <w:szCs w:val="20"/>
      <w:lang w:val="en-US" w:eastAsia="zh-CN" w:bidi="ar-SA"/>
    </w:rPr>
  </w:style>
  <w:style w:type="paragraph" w:customStyle="1" w:styleId="14">
    <w:name w:val="0"/>
    <w:basedOn w:val="1"/>
    <w:qFormat/>
    <w:uiPriority w:val="0"/>
    <w:pPr>
      <w:widowControl/>
      <w:snapToGrid w:val="0"/>
      <w:spacing w:line="365" w:lineRule="atLeast"/>
      <w:ind w:left="1"/>
      <w:textAlignment w:val="bottom"/>
    </w:pPr>
  </w:style>
  <w:style w:type="character" w:customStyle="1" w:styleId="15">
    <w:name w:val="正文文本缩进 Char"/>
    <w:basedOn w:val="10"/>
    <w:link w:val="3"/>
    <w:qFormat/>
    <w:uiPriority w:val="99"/>
    <w:rPr>
      <w:rFonts w:ascii="Times New Roman" w:hAnsi="Times New Roman" w:eastAsia="宋体" w:cs="Times New Roman"/>
      <w:kern w:val="0"/>
      <w:sz w:val="20"/>
      <w:szCs w:val="20"/>
    </w:rPr>
  </w:style>
  <w:style w:type="character" w:customStyle="1" w:styleId="16">
    <w:name w:val="正文首行缩进 2 Char"/>
    <w:basedOn w:val="15"/>
    <w:link w:val="2"/>
    <w:qFormat/>
    <w:uiPriority w:val="99"/>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1419</Words>
  <Characters>1509</Characters>
  <Paragraphs>42</Paragraphs>
  <TotalTime>25</TotalTime>
  <ScaleCrop>false</ScaleCrop>
  <LinksUpToDate>false</LinksUpToDate>
  <CharactersWithSpaces>1666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2021-04-16T06:47:00Z</dcterms:created>
  <dc:creator>lenovo</dc:creator>
  <cp:lastModifiedBy>王志勤</cp:lastModifiedBy>
  <cp:lastPrinted>2021-05-08T03:51:08Z</cp:lastPrinted>
  <dcterms:modified xsi:type="dcterms:W3CDTF">2021-05-08T05:59:58Z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6CCF7870F8F04E75BD8A5D3D92C39518</vt:lpwstr>
  </property>
</Properties>
</file>