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spacing w:line="320" w:lineRule="exact"/>
        <w:ind w:firstLine="5250" w:firstLineChars="1750"/>
        <w:textAlignment w:val="top"/>
        <w:rPr>
          <w:rFonts w:ascii="仿宋" w:hAnsi="仿宋" w:eastAsia="仿宋"/>
          <w:color w:val="000000"/>
          <w:sz w:val="30"/>
          <w:szCs w:val="30"/>
        </w:rPr>
      </w:pPr>
      <w:bookmarkStart w:id="0" w:name="_GoBack"/>
      <w:bookmarkEnd w:id="0"/>
    </w:p>
    <w:p>
      <w:pPr>
        <w:pStyle w:val="50"/>
        <w:spacing w:line="320" w:lineRule="exact"/>
        <w:ind w:firstLine="5250" w:firstLineChars="1750"/>
        <w:textAlignment w:val="top"/>
        <w:rPr>
          <w:rFonts w:ascii="仿宋" w:hAnsi="仿宋" w:eastAsia="仿宋"/>
          <w:color w:val="000000"/>
          <w:sz w:val="30"/>
          <w:szCs w:val="30"/>
        </w:rPr>
      </w:pPr>
    </w:p>
    <w:p>
      <w:pPr>
        <w:pStyle w:val="50"/>
        <w:spacing w:line="320" w:lineRule="exact"/>
        <w:ind w:firstLine="5250" w:firstLineChars="1750"/>
        <w:textAlignment w:val="top"/>
        <w:rPr>
          <w:rFonts w:ascii="仿宋" w:hAnsi="仿宋" w:eastAsia="仿宋"/>
          <w:color w:val="000000"/>
          <w:sz w:val="30"/>
          <w:szCs w:val="30"/>
        </w:rPr>
      </w:pPr>
    </w:p>
    <w:p>
      <w:pPr>
        <w:pStyle w:val="50"/>
        <w:spacing w:line="320" w:lineRule="exact"/>
        <w:ind w:firstLine="5250" w:firstLineChars="1750"/>
        <w:textAlignment w:val="top"/>
        <w:rPr>
          <w:rFonts w:ascii="仿宋" w:hAnsi="仿宋" w:eastAsia="仿宋"/>
          <w:color w:val="000000"/>
          <w:sz w:val="30"/>
          <w:szCs w:val="30"/>
        </w:rPr>
      </w:pPr>
    </w:p>
    <w:p>
      <w:pPr>
        <w:pStyle w:val="50"/>
        <w:spacing w:line="320" w:lineRule="exact"/>
        <w:ind w:firstLine="5250" w:firstLineChars="1750"/>
        <w:textAlignment w:val="top"/>
        <w:rPr>
          <w:rFonts w:ascii="仿宋" w:hAnsi="仿宋" w:eastAsia="仿宋"/>
          <w:color w:val="000000"/>
          <w:sz w:val="30"/>
          <w:szCs w:val="30"/>
        </w:rPr>
      </w:pPr>
    </w:p>
    <w:p>
      <w:pPr>
        <w:pStyle w:val="50"/>
        <w:spacing w:line="400" w:lineRule="exact"/>
        <w:ind w:firstLine="602"/>
        <w:jc w:val="both"/>
        <w:textAlignment w:val="top"/>
        <w:rPr>
          <w:rFonts w:ascii="仿宋" w:hAnsi="仿宋" w:eastAsia="仿宋"/>
          <w:color w:val="000000"/>
          <w:sz w:val="30"/>
          <w:szCs w:val="30"/>
        </w:rPr>
      </w:pPr>
    </w:p>
    <w:p>
      <w:pPr>
        <w:pStyle w:val="50"/>
        <w:spacing w:after="156" w:afterLines="50" w:line="400" w:lineRule="exact"/>
        <w:ind w:firstLine="602"/>
        <w:jc w:val="right"/>
        <w:textAlignment w:val="top"/>
        <w:rPr>
          <w:rFonts w:ascii="仿宋" w:hAnsi="仿宋" w:eastAsia="仿宋"/>
          <w:sz w:val="32"/>
          <w:szCs w:val="32"/>
        </w:rPr>
      </w:pPr>
      <w:r>
        <w:rPr>
          <w:rFonts w:hint="eastAsia" w:ascii="仿宋" w:hAnsi="仿宋" w:eastAsia="仿宋"/>
          <w:color w:val="000000"/>
          <w:sz w:val="30"/>
          <w:szCs w:val="30"/>
        </w:rPr>
        <w:t xml:space="preserve">                                </w:t>
      </w:r>
      <w:r>
        <w:rPr>
          <w:rFonts w:hint="eastAsia" w:ascii="仿宋" w:hAnsi="仿宋" w:eastAsia="仿宋"/>
          <w:color w:val="FF0000"/>
          <w:sz w:val="30"/>
          <w:szCs w:val="30"/>
        </w:rPr>
        <w:t xml:space="preserve"> </w:t>
      </w:r>
      <w:r>
        <w:rPr>
          <w:rFonts w:hint="eastAsia" w:ascii="仿宋" w:hAnsi="仿宋" w:eastAsia="仿宋"/>
          <w:sz w:val="32"/>
          <w:szCs w:val="32"/>
        </w:rPr>
        <w:t>岳环评[202</w:t>
      </w:r>
      <w:r>
        <w:rPr>
          <w:rFonts w:hint="eastAsia" w:ascii="仿宋" w:hAnsi="仿宋" w:eastAsia="仿宋"/>
          <w:color w:val="000000"/>
          <w:sz w:val="32"/>
          <w:szCs w:val="32"/>
        </w:rPr>
        <w:t>1</w:t>
      </w:r>
      <w:r>
        <w:rPr>
          <w:rFonts w:hint="eastAsia" w:ascii="仿宋" w:hAnsi="仿宋" w:eastAsia="仿宋"/>
          <w:color w:val="000000"/>
          <w:sz w:val="32"/>
          <w:szCs w:val="32"/>
        </w:rPr>
        <w:t>]</w:t>
      </w:r>
      <w:r>
        <w:rPr>
          <w:rFonts w:hint="eastAsia" w:ascii="仿宋" w:hAnsi="仿宋" w:eastAsia="仿宋"/>
          <w:color w:val="FF0000"/>
          <w:sz w:val="32"/>
          <w:szCs w:val="32"/>
          <w:lang w:val="en-US" w:eastAsia="zh-CN"/>
        </w:rPr>
        <w:t>29</w:t>
      </w:r>
      <w:r>
        <w:rPr>
          <w:rFonts w:hint="eastAsia" w:ascii="仿宋" w:hAnsi="仿宋" w:eastAsia="仿宋"/>
          <w:sz w:val="32"/>
          <w:szCs w:val="32"/>
        </w:rPr>
        <w:t>号</w:t>
      </w:r>
    </w:p>
    <w:p>
      <w:pPr>
        <w:autoSpaceDE w:val="0"/>
        <w:autoSpaceDN w:val="0"/>
        <w:adjustRightInd w:val="0"/>
        <w:ind w:left="177" w:hanging="177" w:firstLineChars="0"/>
        <w:jc w:val="center"/>
        <w:rPr>
          <w:rFonts w:hint="eastAsia" w:ascii="宋体" w:hAnsi="宋体"/>
          <w:b/>
          <w:sz w:val="36"/>
          <w:szCs w:val="36"/>
        </w:rPr>
      </w:pPr>
      <w:r>
        <w:rPr>
          <w:rFonts w:hint="eastAsia" w:ascii="宋体" w:hAnsi="宋体"/>
          <w:b/>
          <w:bCs/>
          <w:sz w:val="36"/>
          <w:szCs w:val="36"/>
        </w:rPr>
        <w:t>关于中国石化集团资产经营管理有限公司巴陵石化分公司3万吨/年液体环氧树脂生产线挖潜改造项目</w:t>
      </w:r>
      <w:r>
        <w:rPr>
          <w:rFonts w:ascii="宋体" w:hAnsi="宋体"/>
          <w:b/>
          <w:sz w:val="36"/>
          <w:szCs w:val="36"/>
        </w:rPr>
        <w:t>环境影响报告书</w:t>
      </w:r>
      <w:r>
        <w:rPr>
          <w:rFonts w:hint="eastAsia" w:ascii="宋体" w:hAnsi="宋体"/>
          <w:b/>
          <w:sz w:val="36"/>
          <w:szCs w:val="36"/>
        </w:rPr>
        <w:t>的批复</w:t>
      </w:r>
    </w:p>
    <w:p>
      <w:pPr>
        <w:pStyle w:val="50"/>
        <w:spacing w:line="480" w:lineRule="exact"/>
        <w:ind w:left="177" w:hanging="177" w:hangingChars="49"/>
        <w:jc w:val="center"/>
        <w:textAlignment w:val="top"/>
        <w:rPr>
          <w:rFonts w:ascii="仿宋" w:hAnsi="仿宋" w:eastAsia="仿宋" w:cs="黑体"/>
          <w:b/>
          <w:color w:val="FF0000"/>
          <w:sz w:val="36"/>
          <w:szCs w:val="36"/>
        </w:rPr>
      </w:pPr>
    </w:p>
    <w:p>
      <w:pPr>
        <w:spacing w:line="480" w:lineRule="exact"/>
        <w:ind w:firstLine="0" w:firstLineChars="0"/>
        <w:jc w:val="both"/>
        <w:rPr>
          <w:rFonts w:ascii="仿宋" w:hAnsi="仿宋" w:eastAsia="仿宋"/>
          <w:sz w:val="32"/>
          <w:szCs w:val="32"/>
        </w:rPr>
      </w:pPr>
      <w:r>
        <w:rPr>
          <w:rFonts w:hint="eastAsia" w:ascii="仿宋" w:hAnsi="仿宋" w:eastAsia="仿宋"/>
          <w:sz w:val="32"/>
          <w:szCs w:val="32"/>
        </w:rPr>
        <w:t>中国石化集团资产经营管理有限公司巴陵石化分公司</w:t>
      </w:r>
      <w:r>
        <w:rPr>
          <w:rFonts w:hint="eastAsia" w:ascii="仿宋" w:hAnsi="仿宋"/>
          <w:sz w:val="32"/>
          <w:szCs w:val="32"/>
        </w:rPr>
        <w:t>：</w:t>
      </w:r>
    </w:p>
    <w:p>
      <w:pPr>
        <w:spacing w:line="480" w:lineRule="exact"/>
        <w:ind w:firstLine="640"/>
        <w:jc w:val="both"/>
        <w:rPr>
          <w:rFonts w:ascii="仿宋" w:hAnsi="仿宋" w:eastAsia="仿宋"/>
          <w:sz w:val="32"/>
          <w:szCs w:val="32"/>
        </w:rPr>
      </w:pPr>
      <w:r>
        <w:rPr>
          <w:rFonts w:hint="eastAsia" w:ascii="仿宋" w:hAnsi="仿宋" w:eastAsia="仿宋"/>
          <w:sz w:val="32"/>
          <w:szCs w:val="32"/>
        </w:rPr>
        <w:t>你公司《关于请求对&lt;中国石化集团资产经营管理有限公司巴陵石化分公司3万吨/年液体环氧树脂生产线挖潜改造项目环境影响报告书&gt;进行批复的报告》、岳阳市生态环境局云溪分局的预审意见及有关附件悉收。经研究，批复如下：</w:t>
      </w:r>
    </w:p>
    <w:p>
      <w:pPr>
        <w:spacing w:line="480" w:lineRule="exact"/>
        <w:ind w:firstLine="640"/>
        <w:jc w:val="both"/>
        <w:rPr>
          <w:rFonts w:ascii="仿宋" w:hAnsi="仿宋" w:eastAsia="仿宋"/>
          <w:sz w:val="32"/>
          <w:szCs w:val="32"/>
        </w:rPr>
      </w:pPr>
      <w:r>
        <w:rPr>
          <w:rFonts w:hint="eastAsia" w:ascii="仿宋" w:hAnsi="仿宋" w:eastAsia="仿宋"/>
          <w:sz w:val="32"/>
          <w:szCs w:val="32"/>
        </w:rPr>
        <w:t>一、中国石化集团资产经营管理有限公司巴陵石化分公司3万吨/年液体环氧树脂生产线挖潜改造项目位于湖南省岳阳市云溪区中国石化集团资产经营管理有限公司巴陵石化分公司树脂部厂区内，</w:t>
      </w:r>
      <w:r>
        <w:rPr>
          <w:rFonts w:hint="eastAsia" w:ascii="仿宋" w:hAnsi="仿宋" w:eastAsia="仿宋"/>
          <w:sz w:val="32"/>
          <w:szCs w:val="32"/>
          <w:lang w:eastAsia="zh-CN"/>
        </w:rPr>
        <w:t>根据你公司提供的环评文件</w:t>
      </w:r>
      <w:r>
        <w:rPr>
          <w:rFonts w:hint="default" w:ascii="仿宋" w:hAnsi="仿宋" w:eastAsia="仿宋"/>
          <w:sz w:val="32"/>
          <w:szCs w:val="32"/>
          <w:lang w:val="en-US" w:eastAsia="zh-CN"/>
        </w:rPr>
        <w:t>及</w:t>
      </w:r>
      <w:r>
        <w:rPr>
          <w:rFonts w:hint="eastAsia" w:ascii="仿宋" w:hAnsi="仿宋" w:eastAsia="仿宋"/>
          <w:sz w:val="32"/>
          <w:szCs w:val="32"/>
          <w:lang w:val="en-US" w:eastAsia="zh-CN"/>
        </w:rPr>
        <w:t>其他</w:t>
      </w:r>
      <w:r>
        <w:rPr>
          <w:rFonts w:hint="default" w:ascii="仿宋" w:hAnsi="仿宋" w:eastAsia="仿宋"/>
          <w:sz w:val="32"/>
          <w:szCs w:val="32"/>
          <w:lang w:val="en-US" w:eastAsia="zh-CN"/>
        </w:rPr>
        <w:t>资</w:t>
      </w:r>
      <w:r>
        <w:rPr>
          <w:rFonts w:hint="eastAsia" w:ascii="仿宋" w:hAnsi="仿宋" w:eastAsia="仿宋"/>
          <w:sz w:val="32"/>
          <w:szCs w:val="32"/>
          <w:lang w:val="en-US" w:eastAsia="zh-CN"/>
        </w:rPr>
        <w:t>料，</w:t>
      </w:r>
      <w:r>
        <w:rPr>
          <w:rFonts w:hint="eastAsia" w:ascii="仿宋" w:hAnsi="仿宋" w:eastAsia="仿宋"/>
          <w:sz w:val="32"/>
          <w:szCs w:val="32"/>
        </w:rPr>
        <w:t>本项目</w:t>
      </w:r>
      <w:r>
        <w:rPr>
          <w:rFonts w:hint="eastAsia" w:ascii="仿宋" w:hAnsi="仿宋" w:eastAsia="仿宋"/>
          <w:sz w:val="32"/>
          <w:szCs w:val="32"/>
          <w:lang w:eastAsia="zh-CN"/>
        </w:rPr>
        <w:t>拟</w:t>
      </w:r>
      <w:r>
        <w:rPr>
          <w:rFonts w:hint="eastAsia" w:ascii="仿宋" w:hAnsi="仿宋" w:eastAsia="仿宋"/>
          <w:sz w:val="32"/>
          <w:szCs w:val="32"/>
        </w:rPr>
        <w:t>对现有生产线进行挖潜改造，不新增用地。项目总投资2931万元，其中环保投资</w:t>
      </w:r>
      <w:r>
        <w:rPr>
          <w:rFonts w:ascii="仿宋" w:hAnsi="仿宋" w:eastAsia="仿宋"/>
          <w:sz w:val="32"/>
          <w:szCs w:val="32"/>
        </w:rPr>
        <w:t>163.82</w:t>
      </w:r>
      <w:r>
        <w:rPr>
          <w:rFonts w:hint="eastAsia" w:ascii="仿宋" w:hAnsi="仿宋" w:eastAsia="仿宋"/>
          <w:sz w:val="32"/>
          <w:szCs w:val="32"/>
        </w:rPr>
        <w:t>万，占总投资的5.59%。项目主要将预反应工序和脱水工序改为双线生产，现有溶解釜改造为第二预反应釜，新增脱水釜并配套真空、冷凝等系统；对反应工序的相关设备设施进行改造；精制工序增加搅拌变频调节，更新精制分液调节系统和废聚物输送泵，树脂母液储罐增加氮封；液体树脂二单元新增废水罐2个，配套增加废水泵；装置液体环氧树脂生产能力由3万吨/年扩能到5万吨/年等。项目升级改造前后主要原辅材料类型保持不变，产品类型保持不变，生产能力由3万吨/年扩能为5万吨/年。根据湖南志远环境咨询服务有限公司编制的《中国石化集团资产经营管理有限公司巴陵石化分公司3万吨/年液体环氧树脂生产线挖潜改造项目环境影响报告书（报批稿）》基本内容、结论、专家评审意见及岳阳市生态环境局云溪分局预审意见，从环境保护角度考虑，我局原则同意你公司环境影响报告书中</w:t>
      </w:r>
      <w:r>
        <w:rPr>
          <w:rFonts w:hint="eastAsia" w:ascii="仿宋" w:hAnsi="仿宋" w:eastAsia="仿宋"/>
          <w:sz w:val="32"/>
          <w:szCs w:val="32"/>
          <w:lang w:eastAsia="zh-CN"/>
        </w:rPr>
        <w:t>所列建设</w:t>
      </w:r>
      <w:r>
        <w:rPr>
          <w:rFonts w:hint="default" w:ascii="仿宋" w:hAnsi="仿宋" w:eastAsia="仿宋"/>
          <w:sz w:val="32"/>
          <w:szCs w:val="32"/>
          <w:lang w:val="en-US" w:eastAsia="zh-CN"/>
        </w:rPr>
        <w:t>内</w:t>
      </w:r>
      <w:r>
        <w:rPr>
          <w:rFonts w:hint="eastAsia" w:ascii="仿宋" w:hAnsi="仿宋" w:eastAsia="仿宋"/>
          <w:sz w:val="32"/>
          <w:szCs w:val="32"/>
          <w:lang w:val="en-US" w:eastAsia="zh-CN"/>
        </w:rPr>
        <w:t>容</w:t>
      </w:r>
      <w:r>
        <w:rPr>
          <w:rFonts w:hint="eastAsia" w:ascii="仿宋" w:hAnsi="仿宋" w:eastAsia="仿宋"/>
          <w:sz w:val="32"/>
          <w:szCs w:val="32"/>
        </w:rPr>
        <w:t>的环境影响评价结论和环境保护对策措施。</w:t>
      </w:r>
    </w:p>
    <w:p>
      <w:pPr>
        <w:spacing w:line="480" w:lineRule="exact"/>
        <w:ind w:firstLine="640"/>
        <w:jc w:val="both"/>
        <w:rPr>
          <w:rFonts w:ascii="仿宋" w:hAnsi="仿宋" w:eastAsia="仿宋"/>
          <w:sz w:val="32"/>
          <w:szCs w:val="32"/>
        </w:rPr>
      </w:pPr>
      <w:r>
        <w:rPr>
          <w:rFonts w:hint="eastAsia" w:ascii="仿宋" w:hAnsi="仿宋" w:eastAsia="仿宋"/>
          <w:sz w:val="32"/>
          <w:szCs w:val="32"/>
        </w:rPr>
        <w:t>二、认真落实专家及环境影响报告书中提出的各项污染防治措施，并应着重注意以下问题：</w:t>
      </w:r>
    </w:p>
    <w:p>
      <w:pPr>
        <w:spacing w:line="480" w:lineRule="exact"/>
        <w:ind w:firstLine="640"/>
        <w:jc w:val="both"/>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、废水污染防治工作。严格按照“雨污分流、清污分流”的原则规范厂区雨水及污水管网。</w:t>
      </w:r>
      <w:r>
        <w:rPr>
          <w:rFonts w:hint="eastAsia" w:ascii="仿宋" w:hAnsi="仿宋" w:eastAsia="仿宋"/>
          <w:sz w:val="32"/>
          <w:szCs w:val="32"/>
        </w:rPr>
        <w:t>项目生产废水经装置预处理后，与生活</w:t>
      </w:r>
      <w:r>
        <w:rPr>
          <w:rFonts w:hint="eastAsia" w:ascii="仿宋" w:hAnsi="仿宋" w:eastAsia="仿宋"/>
          <w:sz w:val="32"/>
          <w:szCs w:val="32"/>
          <w:lang w:val="en-US" w:eastAsia="zh-CN"/>
        </w:rPr>
        <w:t>污水</w:t>
      </w:r>
      <w:r>
        <w:rPr>
          <w:rFonts w:hint="eastAsia" w:ascii="仿宋" w:hAnsi="仿宋" w:eastAsia="仿宋"/>
          <w:sz w:val="32"/>
          <w:szCs w:val="32"/>
        </w:rPr>
        <w:t>、初期雨水一起满足树脂部内控水质标准后，排入巴陵石化云溪污水处理厂进一步处理。</w:t>
      </w:r>
    </w:p>
    <w:p>
      <w:pPr>
        <w:pStyle w:val="51"/>
        <w:widowControl w:val="0"/>
        <w:adjustRightInd w:val="0"/>
        <w:spacing w:line="276" w:lineRule="auto"/>
        <w:ind w:left="0" w:firstLine="640"/>
        <w:jc w:val="both"/>
        <w:rPr>
          <w:rFonts w:hint="eastAsia" w:ascii="仿宋" w:hAnsi="仿宋" w:eastAsia="仿宋"/>
          <w:sz w:val="32"/>
          <w:szCs w:val="32"/>
        </w:rPr>
      </w:pPr>
      <w:r>
        <w:rPr>
          <w:rFonts w:hint="eastAsia" w:ascii="仿宋" w:hAnsi="仿宋" w:eastAsia="仿宋"/>
          <w:sz w:val="32"/>
          <w:szCs w:val="32"/>
        </w:rPr>
        <w:t>按照分区防控的原则落实报告书提出地下水污染防治措施，做好</w:t>
      </w:r>
      <w:r>
        <w:rPr>
          <w:rFonts w:hint="eastAsia" w:ascii="仿宋" w:hAnsi="仿宋" w:eastAsia="仿宋"/>
          <w:sz w:val="32"/>
          <w:szCs w:val="32"/>
          <w:lang w:val="en-US" w:eastAsia="zh-CN"/>
        </w:rPr>
        <w:t>装置区</w:t>
      </w:r>
      <w:r>
        <w:rPr>
          <w:rFonts w:hint="eastAsia" w:ascii="仿宋" w:hAnsi="仿宋" w:eastAsia="仿宋"/>
          <w:sz w:val="32"/>
          <w:szCs w:val="32"/>
        </w:rPr>
        <w:t>等区域的防渗工作，强化管理，避免由于泄漏等造成污染物下渗污染地下水；根据《环境影响评价技术导则地下水环境》（HJ610-2016）要求，跟踪监测地下水质情况，确保地下水安全。</w:t>
      </w:r>
    </w:p>
    <w:p>
      <w:pPr>
        <w:pStyle w:val="51"/>
        <w:widowControl w:val="0"/>
        <w:numPr>
          <w:ilvl w:val="0"/>
          <w:numId w:val="1"/>
        </w:numPr>
        <w:adjustRightInd w:val="0"/>
        <w:spacing w:line="276" w:lineRule="auto"/>
        <w:ind w:left="0" w:firstLine="640"/>
        <w:jc w:val="both"/>
        <w:rPr>
          <w:rFonts w:hint="eastAsia" w:eastAsia="仿宋"/>
          <w:sz w:val="32"/>
          <w:szCs w:val="32"/>
        </w:rPr>
      </w:pPr>
      <w:r>
        <w:rPr>
          <w:rFonts w:ascii="仿宋" w:hAnsi="仿宋" w:eastAsia="仿宋" w:cs="仿宋_GB2312"/>
          <w:sz w:val="32"/>
          <w:szCs w:val="32"/>
        </w:rPr>
        <w:t>废气污染防治工作。</w:t>
      </w:r>
      <w:r>
        <w:rPr>
          <w:rFonts w:hint="eastAsia" w:eastAsia="仿宋"/>
          <w:sz w:val="32"/>
          <w:szCs w:val="32"/>
        </w:rPr>
        <w:t>严格控制项目废气污染，加强日常监管，定期对设备、管道、阀门、法兰等进行维护和管理，杜绝生产过程中的跑、冒、滴、漏，最大限度减少生产过程中的废气无组织排放，企业</w:t>
      </w:r>
      <w:r>
        <w:rPr>
          <w:rFonts w:hint="eastAsia" w:eastAsia="仿宋"/>
          <w:sz w:val="32"/>
          <w:szCs w:val="32"/>
          <w:lang w:val="en-US" w:eastAsia="zh-CN"/>
        </w:rPr>
        <w:t>厂界</w:t>
      </w:r>
      <w:r>
        <w:rPr>
          <w:rFonts w:hint="eastAsia" w:eastAsia="仿宋"/>
          <w:sz w:val="32"/>
          <w:szCs w:val="32"/>
        </w:rPr>
        <w:t>非甲烷总烃、甲苯、颗粒物执行《合成树脂工业污染物排放标准》（GB31572-2015）中表9的标准排放限值要求，厂区内非甲烷总烃执行《挥发性有机物无组织排放控制标准》（GB 37822—2019）附录A的标准排放限值要求；</w:t>
      </w:r>
      <w:r>
        <w:rPr>
          <w:rFonts w:hint="eastAsia" w:eastAsia="仿宋"/>
          <w:sz w:val="32"/>
          <w:szCs w:val="32"/>
          <w:lang w:val="en-US" w:eastAsia="zh-CN"/>
        </w:rPr>
        <w:t>真空泵机组尾气、精制釜尾气、溶解釜废气、ECH回收真空排气经收集处理后，</w:t>
      </w:r>
      <w:r>
        <w:rPr>
          <w:rFonts w:hint="eastAsia" w:eastAsia="仿宋"/>
          <w:sz w:val="32"/>
          <w:szCs w:val="32"/>
        </w:rPr>
        <w:t>非甲烷总烃、甲苯、环氧氯丙烷、酚类执行《合成树脂工业污染物排放标准》（GB31572-2015）中的标准排放限值要求，二氧化硫、颗粒物需执行特别排放限值</w:t>
      </w:r>
      <w:r>
        <w:rPr>
          <w:rFonts w:hint="eastAsia" w:eastAsia="仿宋"/>
          <w:sz w:val="32"/>
          <w:szCs w:val="32"/>
          <w:lang w:eastAsia="zh-CN"/>
        </w:rPr>
        <w:t>。</w:t>
      </w:r>
    </w:p>
    <w:p>
      <w:pPr>
        <w:spacing w:line="480" w:lineRule="exact"/>
        <w:ind w:firstLine="640"/>
        <w:rPr>
          <w:rFonts w:ascii="仿宋" w:hAnsi="仿宋" w:eastAsia="仿宋" w:cs="仿宋_GB2312"/>
          <w:color w:val="000000"/>
          <w:sz w:val="32"/>
          <w:szCs w:val="32"/>
        </w:rPr>
      </w:pPr>
      <w:r>
        <w:rPr>
          <w:rFonts w:hint="eastAsia" w:ascii="仿宋" w:hAnsi="仿宋" w:eastAsia="仿宋"/>
          <w:sz w:val="32"/>
          <w:szCs w:val="32"/>
        </w:rPr>
        <w:t>3</w:t>
      </w:r>
      <w:r>
        <w:rPr>
          <w:rFonts w:ascii="仿宋" w:hAnsi="仿宋" w:eastAsia="仿宋"/>
          <w:sz w:val="32"/>
          <w:szCs w:val="32"/>
        </w:rPr>
        <w:t>、</w:t>
      </w:r>
      <w:r>
        <w:rPr>
          <w:rFonts w:ascii="仿宋" w:hAnsi="仿宋" w:eastAsia="仿宋" w:cs="仿宋_GB2312"/>
          <w:color w:val="000000"/>
          <w:sz w:val="32"/>
          <w:szCs w:val="32"/>
        </w:rPr>
        <w:t>噪声污染防治工作。采用低噪声设备，合理安排工作时间，</w:t>
      </w:r>
      <w:r>
        <w:rPr>
          <w:rFonts w:hint="eastAsia" w:ascii="仿宋" w:hAnsi="仿宋" w:eastAsia="仿宋" w:cs="仿宋_GB2312"/>
          <w:color w:val="000000"/>
          <w:sz w:val="32"/>
          <w:szCs w:val="32"/>
        </w:rPr>
        <w:t>采取隔声、减振措施</w:t>
      </w:r>
      <w:r>
        <w:rPr>
          <w:rFonts w:ascii="仿宋" w:hAnsi="仿宋" w:eastAsia="仿宋" w:cs="仿宋_GB2312"/>
          <w:color w:val="000000"/>
          <w:sz w:val="32"/>
          <w:szCs w:val="32"/>
        </w:rPr>
        <w:t>，确保厂界噪声达到《工业企业厂界环境噪声排放标准》(GB12348-2008)中的3类标准要求。</w:t>
      </w:r>
    </w:p>
    <w:p>
      <w:pPr>
        <w:spacing w:line="480" w:lineRule="exact"/>
        <w:ind w:firstLine="64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固体废物防治工作。按“无害化、减量化、资源化”原则，做好固体分类收集、暂存工作，建立健全固体废物产生、转运、处置管理台帐。严格按《危险废物贮存污染控制标准（GB18597-2001）》及2013年修改单相关规定管理危险废物暂存间，50%废聚物用于焚烧处置，50%废聚物外委有资质单位处置或回收利用，在危废焚烧装置</w:t>
      </w:r>
      <w:r>
        <w:rPr>
          <w:rFonts w:hint="eastAsia" w:ascii="仿宋" w:hAnsi="仿宋" w:eastAsia="仿宋"/>
          <w:sz w:val="32"/>
          <w:szCs w:val="32"/>
          <w:lang w:val="en-US" w:eastAsia="zh-CN"/>
        </w:rPr>
        <w:t>停运</w:t>
      </w:r>
      <w:r>
        <w:rPr>
          <w:rFonts w:hint="eastAsia" w:ascii="仿宋" w:hAnsi="仿宋" w:eastAsia="仿宋"/>
          <w:sz w:val="32"/>
          <w:szCs w:val="32"/>
        </w:rPr>
        <w:t xml:space="preserve">时，由有资质单位处置，并执行转移联单制度。 </w:t>
      </w:r>
    </w:p>
    <w:p>
      <w:pPr>
        <w:spacing w:line="48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5、加强营运期风险防范。落实各项风险防范措施，加强设施设备的维护和管理，严格按照《突发环境事件应急预案管理暂行办法》要求制定事故环境应急预案，储备风险救助物资并组织演练，杜绝环境风险事故发生。</w:t>
      </w:r>
    </w:p>
    <w:p>
      <w:pPr>
        <w:spacing w:line="48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6、加强环境管理，建立健全污染防治设施运行管理台帐，设专门的环保机构，配备专人负责环保工作，确保各项污染防治设施正常运行，各类污染物稳定达标排放。</w:t>
      </w:r>
    </w:p>
    <w:p>
      <w:pPr>
        <w:spacing w:line="48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7、本项目总量控制指标： VOCs≤1.7t/a，CODCr≤4.7t/a，NH3-N≤0.5t/a。</w:t>
      </w:r>
    </w:p>
    <w:p>
      <w:pPr>
        <w:spacing w:line="48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三、你公司应收到本批复后15个工作日内，将批复及批准的环评报告文件送岳阳市生态环境局云溪分局、湖南志远环境咨询服务有限公司。</w:t>
      </w:r>
    </w:p>
    <w:p>
      <w:pPr>
        <w:spacing w:line="48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四、请岳阳市生态环境局云溪分局负责项目建设和运营期的日常环境监管。</w:t>
      </w:r>
    </w:p>
    <w:p>
      <w:pPr>
        <w:spacing w:line="480" w:lineRule="exact"/>
        <w:ind w:firstLine="0" w:firstLineChars="0"/>
        <w:rPr>
          <w:rFonts w:ascii="仿宋" w:hAnsi="仿宋" w:eastAsia="仿宋"/>
          <w:color w:val="000000"/>
          <w:sz w:val="32"/>
          <w:szCs w:val="32"/>
        </w:rPr>
      </w:pPr>
    </w:p>
    <w:p>
      <w:pPr>
        <w:spacing w:line="480" w:lineRule="exact"/>
        <w:ind w:firstLine="0" w:firstLineChars="0"/>
        <w:rPr>
          <w:rFonts w:ascii="仿宋" w:hAnsi="仿宋" w:eastAsia="仿宋"/>
          <w:color w:val="000000"/>
          <w:sz w:val="32"/>
          <w:szCs w:val="32"/>
        </w:rPr>
      </w:pPr>
    </w:p>
    <w:p>
      <w:pPr>
        <w:pStyle w:val="2"/>
      </w:pPr>
    </w:p>
    <w:p>
      <w:pPr>
        <w:spacing w:line="480" w:lineRule="exact"/>
        <w:ind w:firstLine="0" w:firstLineChars="0"/>
        <w:rPr>
          <w:rFonts w:ascii="仿宋" w:hAnsi="仿宋" w:eastAsia="仿宋"/>
          <w:color w:val="000000"/>
          <w:sz w:val="32"/>
          <w:szCs w:val="32"/>
        </w:rPr>
      </w:pPr>
      <w:r>
        <w:rPr>
          <w:rFonts w:hint="eastAsia" w:ascii="仿宋" w:hAnsi="仿宋" w:eastAsia="仿宋"/>
          <w:color w:val="000000"/>
          <w:sz w:val="32"/>
          <w:szCs w:val="32"/>
        </w:rPr>
        <w:t xml:space="preserve">                                岳阳市生态环境局</w:t>
      </w:r>
    </w:p>
    <w:p>
      <w:pPr>
        <w:spacing w:line="480" w:lineRule="exact"/>
        <w:ind w:firstLine="64" w:firstLineChars="20"/>
      </w:pPr>
      <w:r>
        <w:rPr>
          <w:rFonts w:hint="eastAsia" w:ascii="仿宋" w:hAnsi="仿宋" w:eastAsia="仿宋"/>
          <w:color w:val="000000"/>
          <w:sz w:val="32"/>
          <w:szCs w:val="32"/>
        </w:rPr>
        <w:t xml:space="preserve">                    </w:t>
      </w:r>
      <w:r>
        <w:rPr>
          <w:rFonts w:hint="eastAsia" w:ascii="仿宋" w:hAnsi="仿宋" w:eastAsia="仿宋"/>
          <w:color w:val="FF0000"/>
          <w:sz w:val="32"/>
          <w:szCs w:val="32"/>
        </w:rPr>
        <w:t xml:space="preserve">            </w:t>
      </w:r>
      <w:r>
        <w:rPr>
          <w:rFonts w:ascii="仿宋" w:hAnsi="仿宋" w:eastAsia="仿宋"/>
          <w:color w:val="000000"/>
          <w:sz w:val="32"/>
          <w:szCs w:val="32"/>
        </w:rPr>
        <w:t>2021年</w:t>
      </w:r>
      <w:r>
        <w:rPr>
          <w:rFonts w:hint="eastAsia" w:ascii="仿宋" w:hAnsi="仿宋" w:eastAsia="仿宋"/>
          <w:color w:val="000000"/>
          <w:sz w:val="32"/>
          <w:szCs w:val="32"/>
          <w:lang w:val="en-US" w:eastAsia="zh-CN"/>
        </w:rPr>
        <w:t>5</w:t>
      </w:r>
      <w:r>
        <w:rPr>
          <w:rFonts w:ascii="仿宋" w:hAnsi="仿宋" w:eastAsia="仿宋"/>
          <w:color w:val="000000"/>
          <w:sz w:val="32"/>
          <w:szCs w:val="32"/>
        </w:rPr>
        <w:t>月</w:t>
      </w:r>
      <w:r>
        <w:rPr>
          <w:rFonts w:hint="eastAsia" w:ascii="仿宋" w:hAnsi="仿宋" w:eastAsia="仿宋"/>
          <w:color w:val="000000"/>
          <w:sz w:val="32"/>
          <w:szCs w:val="32"/>
          <w:lang w:val="en-US" w:eastAsia="zh-CN"/>
        </w:rPr>
        <w:t>7</w:t>
      </w:r>
      <w:r>
        <w:rPr>
          <w:rFonts w:ascii="仿宋" w:hAnsi="仿宋" w:eastAsia="仿宋"/>
          <w:color w:val="000000"/>
          <w:sz w:val="32"/>
          <w:szCs w:val="32"/>
        </w:rPr>
        <w:t xml:space="preserve">日 </w:t>
      </w:r>
    </w:p>
    <w:sectPr>
      <w:headerReference r:id="rId7" w:type="first"/>
      <w:headerReference r:id="rId5" w:type="default"/>
      <w:footerReference r:id="rId8" w:type="default"/>
      <w:headerReference r:id="rId6" w:type="even"/>
      <w:footerReference r:id="rId9" w:type="even"/>
      <w:pgSz w:w="11906" w:h="16838"/>
      <w:pgMar w:top="1440" w:right="1588" w:bottom="1418"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fldChar w:fldCharType="begin"/>
    </w:r>
    <w:r>
      <w:instrText xml:space="preserve"> PAGE   \* MERGEFORMAT </w:instrText>
    </w:r>
    <w:r>
      <w:fldChar w:fldCharType="separate"/>
    </w:r>
    <w:r>
      <w:rPr>
        <w:lang w:val="zh-CN"/>
      </w:rPr>
      <w:t>2</w:t>
    </w:r>
    <w:r>
      <w:fldChar w:fldCharType="end"/>
    </w: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00"/>
      </w:pPr>
      <w:r>
        <w:separator/>
      </w:r>
    </w:p>
  </w:footnote>
  <w:footnote w:type="continuationSeparator" w:id="1">
    <w:p>
      <w:pPr>
        <w:spacing w:before="0" w:after="0"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86129"/>
    <w:rsid w:val="40751504"/>
    <w:rsid w:val="549F389F"/>
    <w:rsid w:val="5B2341AA"/>
    <w:rsid w:val="77644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ind w:firstLine="21" w:firstLineChars="200"/>
    </w:pPr>
    <w:rPr>
      <w:rFonts w:ascii="Times New Roman" w:hAnsi="Times New Roman" w:eastAsia="宋体" w:cs="Times New Roman"/>
      <w:sz w:val="20"/>
      <w:szCs w:val="20"/>
      <w:lang w:val="en-US" w:eastAsia="zh-CN" w:bidi="ar-SA"/>
    </w:rPr>
  </w:style>
  <w:style w:type="paragraph" w:styleId="4">
    <w:name w:val="heading 1"/>
    <w:basedOn w:val="1"/>
    <w:next w:val="1"/>
    <w:link w:val="23"/>
    <w:qFormat/>
    <w:uiPriority w:val="9"/>
    <w:pPr>
      <w:keepNext/>
      <w:keepLines/>
      <w:widowControl/>
      <w:spacing w:before="480" w:line="276" w:lineRule="auto"/>
      <w:ind w:firstLine="200"/>
      <w:outlineLvl w:val="0"/>
    </w:pPr>
    <w:rPr>
      <w:rFonts w:ascii="Cambria" w:hAnsi="Cambria" w:eastAsia="宋体" w:cs="宋体"/>
      <w:b/>
      <w:bCs/>
      <w:color w:val="376092"/>
      <w:sz w:val="28"/>
      <w:szCs w:val="28"/>
    </w:rPr>
  </w:style>
  <w:style w:type="paragraph" w:styleId="5">
    <w:name w:val="heading 2"/>
    <w:basedOn w:val="1"/>
    <w:next w:val="1"/>
    <w:link w:val="24"/>
    <w:qFormat/>
    <w:uiPriority w:val="9"/>
    <w:pPr>
      <w:keepNext/>
      <w:keepLines/>
      <w:widowControl/>
      <w:spacing w:before="200" w:line="276" w:lineRule="auto"/>
      <w:ind w:firstLine="200"/>
      <w:outlineLvl w:val="1"/>
    </w:pPr>
    <w:rPr>
      <w:rFonts w:ascii="Cambria" w:hAnsi="Cambria" w:eastAsia="宋体" w:cs="宋体"/>
      <w:b/>
      <w:bCs/>
      <w:color w:val="4F81BD"/>
      <w:sz w:val="26"/>
      <w:szCs w:val="26"/>
    </w:rPr>
  </w:style>
  <w:style w:type="paragraph" w:styleId="6">
    <w:name w:val="heading 3"/>
    <w:basedOn w:val="1"/>
    <w:next w:val="1"/>
    <w:link w:val="25"/>
    <w:qFormat/>
    <w:uiPriority w:val="9"/>
    <w:pPr>
      <w:keepNext/>
      <w:keepLines/>
      <w:widowControl/>
      <w:spacing w:before="200" w:line="276" w:lineRule="auto"/>
      <w:ind w:firstLine="200"/>
      <w:outlineLvl w:val="2"/>
    </w:pPr>
    <w:rPr>
      <w:rFonts w:ascii="Cambria" w:hAnsi="Cambria" w:eastAsia="宋体" w:cs="宋体"/>
      <w:b/>
      <w:bCs/>
      <w:color w:val="4F81BD"/>
      <w:sz w:val="24"/>
      <w:szCs w:val="22"/>
    </w:rPr>
  </w:style>
  <w:style w:type="paragraph" w:styleId="7">
    <w:name w:val="heading 4"/>
    <w:basedOn w:val="1"/>
    <w:next w:val="1"/>
    <w:link w:val="26"/>
    <w:qFormat/>
    <w:uiPriority w:val="9"/>
    <w:pPr>
      <w:keepNext/>
      <w:keepLines/>
      <w:widowControl/>
      <w:spacing w:before="200" w:line="276" w:lineRule="auto"/>
      <w:ind w:firstLine="200"/>
      <w:outlineLvl w:val="3"/>
    </w:pPr>
    <w:rPr>
      <w:rFonts w:ascii="Cambria" w:hAnsi="Cambria" w:eastAsia="宋体" w:cs="宋体"/>
      <w:b/>
      <w:bCs/>
      <w:i/>
      <w:iCs/>
      <w:color w:val="4F81BD"/>
      <w:sz w:val="24"/>
      <w:szCs w:val="22"/>
    </w:rPr>
  </w:style>
  <w:style w:type="paragraph" w:styleId="8">
    <w:name w:val="heading 5"/>
    <w:basedOn w:val="1"/>
    <w:next w:val="1"/>
    <w:link w:val="27"/>
    <w:qFormat/>
    <w:uiPriority w:val="9"/>
    <w:pPr>
      <w:keepNext/>
      <w:keepLines/>
      <w:widowControl/>
      <w:spacing w:before="200" w:line="276" w:lineRule="auto"/>
      <w:ind w:firstLine="200"/>
      <w:outlineLvl w:val="4"/>
    </w:pPr>
    <w:rPr>
      <w:rFonts w:ascii="Cambria" w:hAnsi="Cambria" w:eastAsia="宋体" w:cs="宋体"/>
      <w:color w:val="254061"/>
      <w:sz w:val="24"/>
      <w:szCs w:val="22"/>
    </w:rPr>
  </w:style>
  <w:style w:type="paragraph" w:styleId="9">
    <w:name w:val="heading 6"/>
    <w:basedOn w:val="1"/>
    <w:next w:val="1"/>
    <w:link w:val="28"/>
    <w:qFormat/>
    <w:uiPriority w:val="9"/>
    <w:pPr>
      <w:keepNext/>
      <w:keepLines/>
      <w:widowControl/>
      <w:spacing w:before="200" w:line="276" w:lineRule="auto"/>
      <w:ind w:firstLine="200"/>
      <w:outlineLvl w:val="5"/>
    </w:pPr>
    <w:rPr>
      <w:rFonts w:ascii="Cambria" w:hAnsi="Cambria" w:eastAsia="宋体" w:cs="宋体"/>
      <w:i/>
      <w:iCs/>
      <w:color w:val="254061"/>
      <w:sz w:val="24"/>
      <w:szCs w:val="22"/>
    </w:rPr>
  </w:style>
  <w:style w:type="paragraph" w:styleId="10">
    <w:name w:val="heading 7"/>
    <w:basedOn w:val="1"/>
    <w:next w:val="1"/>
    <w:link w:val="29"/>
    <w:qFormat/>
    <w:uiPriority w:val="9"/>
    <w:pPr>
      <w:keepNext/>
      <w:keepLines/>
      <w:widowControl/>
      <w:spacing w:before="200" w:line="276" w:lineRule="auto"/>
      <w:ind w:firstLine="200"/>
      <w:outlineLvl w:val="6"/>
    </w:pPr>
    <w:rPr>
      <w:rFonts w:ascii="Cambria" w:hAnsi="Cambria" w:eastAsia="宋体" w:cs="宋体"/>
      <w:i/>
      <w:iCs/>
      <w:color w:val="3F3F3F"/>
      <w:sz w:val="24"/>
      <w:szCs w:val="22"/>
    </w:rPr>
  </w:style>
  <w:style w:type="paragraph" w:styleId="11">
    <w:name w:val="heading 8"/>
    <w:basedOn w:val="1"/>
    <w:next w:val="1"/>
    <w:link w:val="30"/>
    <w:qFormat/>
    <w:uiPriority w:val="9"/>
    <w:pPr>
      <w:keepNext/>
      <w:keepLines/>
      <w:widowControl/>
      <w:spacing w:before="200" w:line="276" w:lineRule="auto"/>
      <w:ind w:firstLine="200"/>
      <w:outlineLvl w:val="7"/>
    </w:pPr>
    <w:rPr>
      <w:rFonts w:ascii="Cambria" w:hAnsi="Cambria" w:eastAsia="宋体" w:cs="宋体"/>
      <w:color w:val="4F81BD"/>
    </w:rPr>
  </w:style>
  <w:style w:type="paragraph" w:styleId="12">
    <w:name w:val="heading 9"/>
    <w:basedOn w:val="1"/>
    <w:next w:val="1"/>
    <w:link w:val="31"/>
    <w:qFormat/>
    <w:uiPriority w:val="9"/>
    <w:pPr>
      <w:keepNext/>
      <w:keepLines/>
      <w:widowControl/>
      <w:spacing w:before="200" w:line="276" w:lineRule="auto"/>
      <w:ind w:firstLine="200"/>
      <w:outlineLvl w:val="8"/>
    </w:pPr>
    <w:rPr>
      <w:rFonts w:ascii="Cambria" w:hAnsi="Cambria" w:eastAsia="宋体" w:cs="宋体"/>
      <w:i/>
      <w:iCs/>
      <w:color w:val="3F3F3F"/>
    </w:rPr>
  </w:style>
  <w:style w:type="character" w:default="1" w:styleId="20">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2">
    <w:name w:val="Body Text First Indent 2"/>
    <w:basedOn w:val="3"/>
    <w:link w:val="53"/>
    <w:qFormat/>
    <w:uiPriority w:val="99"/>
    <w:pPr>
      <w:ind w:firstLine="420"/>
    </w:pPr>
  </w:style>
  <w:style w:type="paragraph" w:styleId="3">
    <w:name w:val="Body Text Indent"/>
    <w:basedOn w:val="1"/>
    <w:link w:val="52"/>
    <w:qFormat/>
    <w:uiPriority w:val="99"/>
    <w:pPr>
      <w:spacing w:after="120"/>
      <w:ind w:left="420" w:leftChars="200"/>
    </w:pPr>
  </w:style>
  <w:style w:type="paragraph" w:styleId="13">
    <w:name w:val="caption"/>
    <w:basedOn w:val="1"/>
    <w:next w:val="1"/>
    <w:qFormat/>
    <w:uiPriority w:val="35"/>
    <w:pPr>
      <w:widowControl/>
      <w:spacing w:after="200"/>
      <w:ind w:firstLine="200"/>
    </w:pPr>
    <w:rPr>
      <w:rFonts w:eastAsia="宋体" w:cs="宋体"/>
      <w:b/>
      <w:bCs/>
      <w:color w:val="4F81BD"/>
      <w:sz w:val="18"/>
      <w:szCs w:val="18"/>
    </w:rPr>
  </w:style>
  <w:style w:type="paragraph" w:styleId="14">
    <w:name w:val="Body Text"/>
    <w:basedOn w:val="1"/>
    <w:link w:val="54"/>
    <w:qFormat/>
    <w:uiPriority w:val="99"/>
    <w:pPr>
      <w:spacing w:after="120"/>
    </w:pPr>
  </w:style>
  <w:style w:type="paragraph" w:styleId="15">
    <w:name w:val="footer"/>
    <w:basedOn w:val="1"/>
    <w:link w:val="48"/>
    <w:qFormat/>
    <w:uiPriority w:val="99"/>
    <w:pPr>
      <w:tabs>
        <w:tab w:val="center" w:pos="4153"/>
        <w:tab w:val="right" w:pos="8306"/>
      </w:tabs>
      <w:snapToGrid w:val="0"/>
    </w:pPr>
    <w:rPr>
      <w:sz w:val="18"/>
      <w:szCs w:val="18"/>
    </w:rPr>
  </w:style>
  <w:style w:type="paragraph" w:styleId="16">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11"/>
    <w:pPr>
      <w:widowControl/>
      <w:spacing w:after="200" w:line="276" w:lineRule="auto"/>
      <w:ind w:firstLine="200" w:firstLineChars="200"/>
    </w:pPr>
    <w:rPr>
      <w:rFonts w:ascii="Cambria" w:hAnsi="Cambria" w:eastAsia="宋体" w:cs="宋体"/>
      <w:i/>
      <w:iCs/>
      <w:color w:val="4F81BD"/>
      <w:spacing w:val="15"/>
      <w:sz w:val="24"/>
      <w:szCs w:val="24"/>
    </w:rPr>
  </w:style>
  <w:style w:type="paragraph" w:styleId="18">
    <w:name w:val="Title"/>
    <w:basedOn w:val="1"/>
    <w:next w:val="1"/>
    <w:link w:val="32"/>
    <w:qFormat/>
    <w:uiPriority w:val="10"/>
    <w:pPr>
      <w:widowControl/>
      <w:pBdr>
        <w:bottom w:val="single" w:color="4F81BD" w:sz="8" w:space="4"/>
      </w:pBdr>
      <w:spacing w:after="300"/>
      <w:ind w:firstLine="200"/>
      <w:contextualSpacing/>
    </w:pPr>
    <w:rPr>
      <w:rFonts w:ascii="Cambria" w:hAnsi="Cambria" w:eastAsia="宋体" w:cs="宋体"/>
      <w:color w:val="17375E"/>
      <w:spacing w:val="5"/>
      <w:kern w:val="28"/>
      <w:sz w:val="52"/>
      <w:szCs w:val="52"/>
    </w:rPr>
  </w:style>
  <w:style w:type="character" w:styleId="21">
    <w:name w:val="Strong"/>
    <w:basedOn w:val="20"/>
    <w:qFormat/>
    <w:uiPriority w:val="22"/>
    <w:rPr>
      <w:b/>
      <w:bCs/>
    </w:rPr>
  </w:style>
  <w:style w:type="character" w:styleId="22">
    <w:name w:val="Emphasis"/>
    <w:basedOn w:val="20"/>
    <w:qFormat/>
    <w:uiPriority w:val="20"/>
    <w:rPr>
      <w:i/>
      <w:iCs/>
    </w:rPr>
  </w:style>
  <w:style w:type="character" w:customStyle="1" w:styleId="23">
    <w:name w:val="标题 1 Char"/>
    <w:basedOn w:val="20"/>
    <w:link w:val="4"/>
    <w:qFormat/>
    <w:uiPriority w:val="9"/>
    <w:rPr>
      <w:rFonts w:ascii="Cambria" w:hAnsi="Cambria" w:eastAsia="宋体" w:cs="宋体"/>
      <w:b/>
      <w:bCs/>
      <w:color w:val="376092"/>
      <w:sz w:val="28"/>
      <w:szCs w:val="28"/>
    </w:rPr>
  </w:style>
  <w:style w:type="character" w:customStyle="1" w:styleId="24">
    <w:name w:val="标题 2 Char"/>
    <w:basedOn w:val="20"/>
    <w:link w:val="5"/>
    <w:qFormat/>
    <w:uiPriority w:val="9"/>
    <w:rPr>
      <w:rFonts w:ascii="Cambria" w:hAnsi="Cambria" w:eastAsia="宋体" w:cs="宋体"/>
      <w:b/>
      <w:bCs/>
      <w:color w:val="4F81BD"/>
      <w:sz w:val="26"/>
      <w:szCs w:val="26"/>
    </w:rPr>
  </w:style>
  <w:style w:type="character" w:customStyle="1" w:styleId="25">
    <w:name w:val="标题 3 Char"/>
    <w:basedOn w:val="20"/>
    <w:link w:val="6"/>
    <w:qFormat/>
    <w:uiPriority w:val="9"/>
    <w:rPr>
      <w:rFonts w:ascii="Cambria" w:hAnsi="Cambria" w:eastAsia="宋体" w:cs="宋体"/>
      <w:b/>
      <w:bCs/>
      <w:color w:val="4F81BD"/>
    </w:rPr>
  </w:style>
  <w:style w:type="character" w:customStyle="1" w:styleId="26">
    <w:name w:val="标题 4 Char"/>
    <w:basedOn w:val="20"/>
    <w:link w:val="7"/>
    <w:qFormat/>
    <w:uiPriority w:val="9"/>
    <w:rPr>
      <w:rFonts w:ascii="Cambria" w:hAnsi="Cambria" w:eastAsia="宋体" w:cs="宋体"/>
      <w:b/>
      <w:bCs/>
      <w:i/>
      <w:iCs/>
      <w:color w:val="4F81BD"/>
    </w:rPr>
  </w:style>
  <w:style w:type="character" w:customStyle="1" w:styleId="27">
    <w:name w:val="标题 5 Char"/>
    <w:basedOn w:val="20"/>
    <w:link w:val="8"/>
    <w:qFormat/>
    <w:uiPriority w:val="9"/>
    <w:rPr>
      <w:rFonts w:ascii="Cambria" w:hAnsi="Cambria" w:eastAsia="宋体" w:cs="宋体"/>
      <w:color w:val="254061"/>
    </w:rPr>
  </w:style>
  <w:style w:type="character" w:customStyle="1" w:styleId="28">
    <w:name w:val="标题 6 Char"/>
    <w:basedOn w:val="20"/>
    <w:link w:val="9"/>
    <w:qFormat/>
    <w:uiPriority w:val="9"/>
    <w:rPr>
      <w:rFonts w:ascii="Cambria" w:hAnsi="Cambria" w:eastAsia="宋体" w:cs="宋体"/>
      <w:i/>
      <w:iCs/>
      <w:color w:val="254061"/>
    </w:rPr>
  </w:style>
  <w:style w:type="character" w:customStyle="1" w:styleId="29">
    <w:name w:val="标题 7 Char"/>
    <w:basedOn w:val="20"/>
    <w:link w:val="10"/>
    <w:qFormat/>
    <w:uiPriority w:val="9"/>
    <w:rPr>
      <w:rFonts w:ascii="Cambria" w:hAnsi="Cambria" w:eastAsia="宋体" w:cs="宋体"/>
      <w:i/>
      <w:iCs/>
      <w:color w:val="3F3F3F"/>
    </w:rPr>
  </w:style>
  <w:style w:type="character" w:customStyle="1" w:styleId="30">
    <w:name w:val="标题 8 Char"/>
    <w:basedOn w:val="20"/>
    <w:link w:val="11"/>
    <w:qFormat/>
    <w:uiPriority w:val="9"/>
    <w:rPr>
      <w:rFonts w:ascii="Cambria" w:hAnsi="Cambria" w:eastAsia="宋体" w:cs="宋体"/>
      <w:color w:val="4F81BD"/>
      <w:sz w:val="20"/>
      <w:szCs w:val="20"/>
    </w:rPr>
  </w:style>
  <w:style w:type="character" w:customStyle="1" w:styleId="31">
    <w:name w:val="标题 9 Char"/>
    <w:basedOn w:val="20"/>
    <w:link w:val="12"/>
    <w:qFormat/>
    <w:uiPriority w:val="9"/>
    <w:rPr>
      <w:rFonts w:ascii="Cambria" w:hAnsi="Cambria" w:eastAsia="宋体" w:cs="宋体"/>
      <w:i/>
      <w:iCs/>
      <w:color w:val="3F3F3F"/>
      <w:sz w:val="20"/>
      <w:szCs w:val="20"/>
    </w:rPr>
  </w:style>
  <w:style w:type="character" w:customStyle="1" w:styleId="32">
    <w:name w:val="标题 Char"/>
    <w:basedOn w:val="20"/>
    <w:link w:val="18"/>
    <w:qFormat/>
    <w:uiPriority w:val="10"/>
    <w:rPr>
      <w:rFonts w:ascii="Cambria" w:hAnsi="Cambria" w:eastAsia="宋体" w:cs="宋体"/>
      <w:color w:val="17375E"/>
      <w:spacing w:val="5"/>
      <w:kern w:val="28"/>
      <w:sz w:val="52"/>
      <w:szCs w:val="52"/>
    </w:rPr>
  </w:style>
  <w:style w:type="character" w:customStyle="1" w:styleId="33">
    <w:name w:val="副标题 Char"/>
    <w:basedOn w:val="20"/>
    <w:link w:val="17"/>
    <w:qFormat/>
    <w:uiPriority w:val="11"/>
    <w:rPr>
      <w:rFonts w:ascii="Cambria" w:hAnsi="Cambria" w:eastAsia="宋体" w:cs="宋体"/>
      <w:i/>
      <w:iCs/>
      <w:color w:val="4F81BD"/>
      <w:spacing w:val="15"/>
      <w:sz w:val="24"/>
      <w:szCs w:val="24"/>
    </w:rPr>
  </w:style>
  <w:style w:type="paragraph" w:styleId="34">
    <w:name w:val="No Spacing"/>
    <w:qFormat/>
    <w:uiPriority w:val="1"/>
    <w:pPr>
      <w:spacing w:after="0" w:line="240" w:lineRule="auto"/>
    </w:pPr>
    <w:rPr>
      <w:rFonts w:ascii="Calibri" w:hAnsi="Calibri" w:eastAsia="宋体" w:cs="宋体"/>
      <w:sz w:val="22"/>
      <w:szCs w:val="22"/>
      <w:lang w:val="en-US" w:eastAsia="zh-CN" w:bidi="ar-SA"/>
    </w:rPr>
  </w:style>
  <w:style w:type="paragraph" w:styleId="35">
    <w:name w:val="List Paragraph"/>
    <w:basedOn w:val="34"/>
    <w:next w:val="34"/>
    <w:qFormat/>
    <w:uiPriority w:val="34"/>
    <w:pPr>
      <w:ind w:left="720"/>
      <w:contextualSpacing/>
    </w:pPr>
    <w:rPr>
      <w:sz w:val="32"/>
    </w:rPr>
  </w:style>
  <w:style w:type="paragraph" w:styleId="36">
    <w:name w:val="Quote"/>
    <w:basedOn w:val="1"/>
    <w:next w:val="1"/>
    <w:link w:val="37"/>
    <w:qFormat/>
    <w:uiPriority w:val="29"/>
    <w:pPr>
      <w:widowControl/>
      <w:spacing w:after="200" w:line="276" w:lineRule="auto"/>
      <w:ind w:firstLine="200"/>
    </w:pPr>
    <w:rPr>
      <w:rFonts w:eastAsia="宋体" w:cs="宋体"/>
      <w:i/>
      <w:iCs/>
      <w:color w:val="000000"/>
      <w:sz w:val="24"/>
      <w:szCs w:val="22"/>
    </w:rPr>
  </w:style>
  <w:style w:type="character" w:customStyle="1" w:styleId="37">
    <w:name w:val="引用 Char"/>
    <w:basedOn w:val="20"/>
    <w:link w:val="36"/>
    <w:qFormat/>
    <w:uiPriority w:val="29"/>
    <w:rPr>
      <w:i/>
      <w:iCs/>
      <w:color w:val="000000"/>
    </w:rPr>
  </w:style>
  <w:style w:type="paragraph" w:styleId="38">
    <w:name w:val="Intense Quote"/>
    <w:basedOn w:val="1"/>
    <w:next w:val="1"/>
    <w:link w:val="39"/>
    <w:qFormat/>
    <w:uiPriority w:val="30"/>
    <w:pPr>
      <w:widowControl/>
      <w:pBdr>
        <w:bottom w:val="single" w:color="4F81BD" w:sz="4" w:space="4"/>
      </w:pBdr>
      <w:spacing w:before="200" w:after="280" w:line="276" w:lineRule="auto"/>
      <w:ind w:left="936" w:right="936" w:firstLine="200"/>
    </w:pPr>
    <w:rPr>
      <w:rFonts w:eastAsia="宋体" w:cs="宋体"/>
      <w:b/>
      <w:bCs/>
      <w:i/>
      <w:iCs/>
      <w:color w:val="4F81BD"/>
      <w:sz w:val="24"/>
      <w:szCs w:val="22"/>
    </w:rPr>
  </w:style>
  <w:style w:type="character" w:customStyle="1" w:styleId="39">
    <w:name w:val="明显引用 Char"/>
    <w:basedOn w:val="20"/>
    <w:link w:val="38"/>
    <w:qFormat/>
    <w:uiPriority w:val="30"/>
    <w:rPr>
      <w:b/>
      <w:bCs/>
      <w:i/>
      <w:iCs/>
      <w:color w:val="4F81BD"/>
    </w:rPr>
  </w:style>
  <w:style w:type="character" w:customStyle="1" w:styleId="40">
    <w:name w:val="Subtle Emphasis_7a606aa2-35b9-4fcb-aa93-e169312d9f03"/>
    <w:basedOn w:val="20"/>
    <w:qFormat/>
    <w:uiPriority w:val="19"/>
    <w:rPr>
      <w:i/>
      <w:iCs/>
      <w:color w:val="7F7F7F"/>
    </w:rPr>
  </w:style>
  <w:style w:type="character" w:customStyle="1" w:styleId="41">
    <w:name w:val="Intense Emphasis_0c447372-8fba-435e-aad2-7d0b1f5c77a6"/>
    <w:basedOn w:val="20"/>
    <w:qFormat/>
    <w:uiPriority w:val="21"/>
    <w:rPr>
      <w:b/>
      <w:bCs/>
      <w:i/>
      <w:iCs/>
      <w:color w:val="4F81BD"/>
    </w:rPr>
  </w:style>
  <w:style w:type="character" w:customStyle="1" w:styleId="42">
    <w:name w:val="Subtle Reference_b7fcd11f-ca1d-4b16-8c8e-1658245df94c"/>
    <w:basedOn w:val="20"/>
    <w:qFormat/>
    <w:uiPriority w:val="31"/>
    <w:rPr>
      <w:smallCaps/>
      <w:color w:val="C0504D"/>
      <w:u w:val="single"/>
    </w:rPr>
  </w:style>
  <w:style w:type="character" w:customStyle="1" w:styleId="43">
    <w:name w:val="Intense Reference_13e2be97-36b3-4e09-8c43-db2b5dc472ad"/>
    <w:basedOn w:val="20"/>
    <w:qFormat/>
    <w:uiPriority w:val="32"/>
    <w:rPr>
      <w:b/>
      <w:bCs/>
      <w:smallCaps/>
      <w:color w:val="C0504D"/>
      <w:spacing w:val="5"/>
      <w:u w:val="single"/>
    </w:rPr>
  </w:style>
  <w:style w:type="character" w:customStyle="1" w:styleId="44">
    <w:name w:val="Book Title_d7387991-febf-4eaa-bd3f-473e2f12dd9d"/>
    <w:basedOn w:val="20"/>
    <w:qFormat/>
    <w:uiPriority w:val="33"/>
    <w:rPr>
      <w:b/>
      <w:bCs/>
      <w:smallCaps/>
      <w:spacing w:val="5"/>
    </w:rPr>
  </w:style>
  <w:style w:type="paragraph" w:customStyle="1" w:styleId="45">
    <w:name w:val="TOC Heading_9ce9b716-6c2f-4e87-b2b4-377a47e87a5b"/>
    <w:basedOn w:val="4"/>
    <w:next w:val="1"/>
    <w:qFormat/>
    <w:uiPriority w:val="39"/>
    <w:pPr>
      <w:outlineLvl w:val="9"/>
    </w:pPr>
  </w:style>
  <w:style w:type="paragraph" w:customStyle="1" w:styleId="46">
    <w:name w:val="二级标题"/>
    <w:basedOn w:val="34"/>
    <w:next w:val="34"/>
    <w:qFormat/>
    <w:uiPriority w:val="0"/>
    <w:rPr>
      <w:color w:val="000000"/>
      <w:sz w:val="28"/>
    </w:rPr>
  </w:style>
  <w:style w:type="paragraph" w:customStyle="1" w:styleId="47">
    <w:name w:val="_正文"/>
    <w:qFormat/>
    <w:uiPriority w:val="0"/>
    <w:pPr>
      <w:spacing w:after="0" w:line="360" w:lineRule="auto"/>
      <w:ind w:firstLine="200" w:firstLineChars="200"/>
      <w:jc w:val="both"/>
    </w:pPr>
    <w:rPr>
      <w:rFonts w:ascii="Times New Roman" w:hAnsi="Times New Roman" w:eastAsia="宋体" w:cs="Times New Roman"/>
      <w:bCs/>
      <w:iCs/>
      <w:snapToGrid w:val="0"/>
      <w:color w:val="000000"/>
      <w:kern w:val="2"/>
      <w:sz w:val="24"/>
      <w:szCs w:val="28"/>
      <w:lang w:val="en-US" w:eastAsia="zh-CN" w:bidi="ar-SA"/>
    </w:rPr>
  </w:style>
  <w:style w:type="character" w:customStyle="1" w:styleId="48">
    <w:name w:val="页脚 Char"/>
    <w:basedOn w:val="20"/>
    <w:link w:val="15"/>
    <w:qFormat/>
    <w:uiPriority w:val="99"/>
    <w:rPr>
      <w:rFonts w:ascii="Times New Roman" w:hAnsi="Times New Roman" w:eastAsia="宋体" w:cs="Times New Roman"/>
      <w:sz w:val="18"/>
      <w:szCs w:val="18"/>
    </w:rPr>
  </w:style>
  <w:style w:type="character" w:customStyle="1" w:styleId="49">
    <w:name w:val="页眉 Char"/>
    <w:basedOn w:val="20"/>
    <w:link w:val="16"/>
    <w:qFormat/>
    <w:uiPriority w:val="0"/>
    <w:rPr>
      <w:rFonts w:ascii="Times New Roman" w:hAnsi="Times New Roman" w:eastAsia="宋体" w:cs="Times New Roman"/>
      <w:sz w:val="18"/>
      <w:szCs w:val="18"/>
    </w:rPr>
  </w:style>
  <w:style w:type="paragraph" w:customStyle="1" w:styleId="50">
    <w:name w:val="WPS Plain"/>
    <w:qFormat/>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51">
    <w:name w:val="0"/>
    <w:basedOn w:val="1"/>
    <w:qFormat/>
    <w:uiPriority w:val="0"/>
    <w:pPr>
      <w:widowControl/>
      <w:snapToGrid w:val="0"/>
      <w:spacing w:line="365" w:lineRule="atLeast"/>
      <w:ind w:left="1"/>
      <w:textAlignment w:val="bottom"/>
    </w:pPr>
  </w:style>
  <w:style w:type="character" w:customStyle="1" w:styleId="52">
    <w:name w:val="正文文本缩进 Char"/>
    <w:basedOn w:val="20"/>
    <w:link w:val="3"/>
    <w:qFormat/>
    <w:uiPriority w:val="99"/>
    <w:rPr>
      <w:rFonts w:ascii="Times New Roman" w:hAnsi="Times New Roman" w:eastAsia="宋体" w:cs="Times New Roman"/>
      <w:sz w:val="20"/>
      <w:szCs w:val="20"/>
    </w:rPr>
  </w:style>
  <w:style w:type="character" w:customStyle="1" w:styleId="53">
    <w:name w:val="正文首行缩进 2 Char"/>
    <w:basedOn w:val="52"/>
    <w:link w:val="2"/>
    <w:qFormat/>
    <w:uiPriority w:val="99"/>
    <w:rPr>
      <w:rFonts w:ascii="Times New Roman" w:hAnsi="Times New Roman" w:eastAsia="宋体" w:cs="Times New Roman"/>
      <w:sz w:val="20"/>
      <w:szCs w:val="20"/>
    </w:rPr>
  </w:style>
  <w:style w:type="character" w:customStyle="1" w:styleId="54">
    <w:name w:val="正文文本 Char"/>
    <w:basedOn w:val="20"/>
    <w:link w:val="14"/>
    <w:qFormat/>
    <w:uiPriority w:val="99"/>
    <w:rPr>
      <w:rFonts w:ascii="Times New Roman" w:hAnsi="Times New Roman" w:eastAsia="宋体" w:cs="Times New Roman"/>
      <w:sz w:val="20"/>
      <w:szCs w:val="20"/>
    </w:rPr>
  </w:style>
  <w:style w:type="paragraph" w:customStyle="1" w:styleId="55">
    <w:name w:val="表格标题文字"/>
    <w:basedOn w:val="1"/>
    <w:qFormat/>
    <w:uiPriority w:val="0"/>
    <w:pPr>
      <w:topLinePunct/>
      <w:spacing w:beforeLines="50" w:after="100" w:afterAutospacing="1"/>
      <w:ind w:firstLine="0" w:firstLineChars="0"/>
      <w:jc w:val="center"/>
    </w:pPr>
    <w:rPr>
      <w:b/>
      <w:kern w:val="2"/>
      <w:sz w:val="24"/>
      <w:szCs w:val="24"/>
    </w:rPr>
  </w:style>
  <w:style w:type="paragraph" w:customStyle="1" w:styleId="56">
    <w:name w:val="表格文字"/>
    <w:basedOn w:val="1"/>
    <w:qFormat/>
    <w:uiPriority w:val="0"/>
    <w:pPr>
      <w:spacing w:line="0" w:lineRule="atLeast"/>
      <w:ind w:firstLine="0" w:firstLineChars="0"/>
      <w:jc w:val="center"/>
    </w:pPr>
    <w:rPr>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1776</Words>
  <Characters>1897</Characters>
  <Paragraphs>36</Paragraphs>
  <TotalTime>160</TotalTime>
  <ScaleCrop>false</ScaleCrop>
  <LinksUpToDate>false</LinksUpToDate>
  <CharactersWithSpaces>2004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2021-04-16T07:23:00Z</dcterms:created>
  <dc:creator>lenovo</dc:creator>
  <cp:lastModifiedBy>王志勤</cp:lastModifiedBy>
  <cp:lastPrinted>2021-05-08T03:52:00Z</cp:lastPrinted>
  <dcterms:modified xsi:type="dcterms:W3CDTF">2021-06-17T08:39:28Z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73808F076C4D4C5D87491A4FDD4F3F6F</vt:lpwstr>
  </property>
</Properties>
</file>