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right"/>
        <w:rPr>
          <w:rFonts w:ascii="仿宋" w:hAnsi="仿宋" w:eastAsia="仿宋"/>
          <w:sz w:val="32"/>
          <w:szCs w:val="32"/>
        </w:rPr>
      </w:pPr>
      <w:bookmarkStart w:id="2" w:name="_GoBack"/>
      <w:r>
        <w:rPr>
          <w:rFonts w:hint="eastAsia" w:ascii="仿宋" w:hAnsi="仿宋" w:eastAsia="仿宋"/>
          <w:sz w:val="32"/>
          <w:szCs w:val="32"/>
        </w:rPr>
        <w:t>岳环评 [2021]</w:t>
      </w:r>
      <w:del w:id="0" w:author="王志勤" w:date="2021-04-10T13:36:03Z">
        <w:r>
          <w:rPr>
            <w:rFonts w:hint="default" w:ascii="仿宋" w:hAnsi="仿宋" w:eastAsia="仿宋"/>
            <w:sz w:val="32"/>
            <w:szCs w:val="32"/>
            <w:lang w:val="en-US"/>
          </w:rPr>
          <w:delText xml:space="preserve">  </w:delText>
        </w:r>
      </w:del>
      <w:ins w:id="1" w:author="王志勤" w:date="2021-04-10T13:36:03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2</w:t>
        </w:r>
      </w:ins>
      <w:ins w:id="2" w:author="王志勤" w:date="2021-04-10T13:36:04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2</w:t>
        </w:r>
      </w:ins>
      <w:r>
        <w:rPr>
          <w:rFonts w:hint="eastAsia" w:ascii="仿宋" w:hAnsi="仿宋" w:eastAsia="仿宋"/>
          <w:sz w:val="32"/>
          <w:szCs w:val="32"/>
        </w:rPr>
        <w:t>号</w:t>
      </w:r>
    </w:p>
    <w:bookmarkEnd w:id="2"/>
    <w:p>
      <w:pPr>
        <w:widowControl/>
        <w:shd w:val="clear" w:color="auto" w:fill="FFFFFF"/>
        <w:spacing w:line="440" w:lineRule="exact"/>
        <w:jc w:val="center"/>
        <w:rPr>
          <w:rFonts w:ascii="_9ed1_4f53" w:hAnsi="_9ed1_4f53" w:eastAsia="宋体" w:cs="_9ed1_4f53"/>
          <w:b/>
          <w:bCs/>
          <w:kern w:val="0"/>
          <w:sz w:val="36"/>
          <w:szCs w:val="36"/>
        </w:rPr>
      </w:pPr>
      <w:r>
        <w:rPr>
          <w:rFonts w:ascii="_9ed1_4f53" w:hAnsi="_9ed1_4f53" w:eastAsia="宋体" w:cs="_9ed1_4f53"/>
          <w:b/>
          <w:bCs/>
          <w:kern w:val="0"/>
          <w:sz w:val="36"/>
          <w:szCs w:val="36"/>
        </w:rPr>
        <w:t>关于</w:t>
      </w:r>
      <w:r>
        <w:rPr>
          <w:rFonts w:hint="eastAsia" w:ascii="_9ed1_4f53" w:hAnsi="_9ed1_4f53" w:eastAsia="宋体" w:cs="_9ed1_4f53"/>
          <w:b/>
          <w:bCs/>
          <w:kern w:val="0"/>
          <w:sz w:val="36"/>
          <w:szCs w:val="36"/>
        </w:rPr>
        <w:t>湖南东为化工新材料有限公司5500吨/年交联剂系列产品及3500吨/年氰酸钠项目</w:t>
      </w:r>
      <w:r>
        <w:rPr>
          <w:rFonts w:ascii="_9ed1_4f53" w:hAnsi="_9ed1_4f53" w:eastAsia="宋体" w:cs="_9ed1_4f53"/>
          <w:b/>
          <w:bCs/>
          <w:kern w:val="0"/>
          <w:sz w:val="36"/>
          <w:szCs w:val="36"/>
        </w:rPr>
        <w:t>环境影响报告书的</w:t>
      </w:r>
      <w:r>
        <w:rPr>
          <w:rFonts w:hint="eastAsia" w:ascii="_9ed1_4f53" w:hAnsi="_9ed1_4f53" w:eastAsia="宋体" w:cs="_9ed1_4f53"/>
          <w:b/>
          <w:bCs/>
          <w:kern w:val="0"/>
          <w:sz w:val="36"/>
          <w:szCs w:val="36"/>
        </w:rPr>
        <w:t>批  复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仿宋" w:hAnsi="仿宋" w:eastAsia="仿宋"/>
          <w:kern w:val="0"/>
          <w:sz w:val="32"/>
          <w:szCs w:val="32"/>
          <w:lang w:bidi="en-US"/>
        </w:rPr>
      </w:pPr>
      <w:r>
        <w:rPr>
          <w:rFonts w:hint="eastAsia" w:ascii="仿宋" w:hAnsi="仿宋" w:eastAsia="仿宋"/>
          <w:kern w:val="0"/>
          <w:sz w:val="32"/>
          <w:szCs w:val="32"/>
          <w:lang w:bidi="en-US"/>
        </w:rPr>
        <w:t>湖南东为化工新材料有限公司：</w:t>
      </w:r>
    </w:p>
    <w:p>
      <w:pPr>
        <w:spacing w:line="44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bidi="en-US"/>
        </w:rPr>
      </w:pPr>
      <w:r>
        <w:rPr>
          <w:rFonts w:hint="eastAsia" w:ascii="仿宋" w:hAnsi="仿宋" w:eastAsia="仿宋"/>
          <w:kern w:val="0"/>
          <w:sz w:val="32"/>
          <w:szCs w:val="32"/>
          <w:lang w:bidi="en-US"/>
        </w:rPr>
        <w:t>你公司《关于请求对&lt;湖南东为化工新材料有限公司5500吨/年交联剂系列产品及3500吨/年氰酸钠项目</w:t>
      </w:r>
      <w:r>
        <w:rPr>
          <w:rFonts w:ascii="仿宋" w:hAnsi="仿宋" w:eastAsia="仿宋"/>
          <w:kern w:val="0"/>
          <w:sz w:val="32"/>
          <w:szCs w:val="32"/>
          <w:lang w:bidi="en-US"/>
        </w:rPr>
        <w:t>环境影响报告书</w:t>
      </w:r>
      <w:r>
        <w:rPr>
          <w:rFonts w:hint="eastAsia" w:ascii="仿宋" w:hAnsi="仿宋" w:eastAsia="仿宋"/>
          <w:kern w:val="0"/>
          <w:sz w:val="32"/>
          <w:szCs w:val="32"/>
          <w:lang w:bidi="en-US"/>
        </w:rPr>
        <w:t>&gt;进行批复的报告》、</w:t>
      </w:r>
      <w:r>
        <w:rPr>
          <w:rFonts w:hint="eastAsia" w:ascii="仿宋" w:hAnsi="仿宋" w:eastAsia="仿宋"/>
          <w:sz w:val="32"/>
          <w:szCs w:val="32"/>
        </w:rPr>
        <w:t>岳阳市生态环境局云溪分局</w:t>
      </w:r>
      <w:r>
        <w:rPr>
          <w:rFonts w:hint="eastAsia" w:ascii="仿宋" w:hAnsi="仿宋" w:eastAsia="仿宋"/>
          <w:kern w:val="0"/>
          <w:sz w:val="32"/>
          <w:szCs w:val="32"/>
          <w:lang w:bidi="en-US"/>
        </w:rPr>
        <w:t>的预审意见及有关附件收悉。经研究，批复如下：</w:t>
      </w:r>
    </w:p>
    <w:p>
      <w:pPr>
        <w:spacing w:line="44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bidi="en-US"/>
        </w:rPr>
      </w:pPr>
      <w:r>
        <w:rPr>
          <w:rFonts w:hint="eastAsia" w:ascii="仿宋" w:hAnsi="仿宋" w:eastAsia="仿宋"/>
          <w:kern w:val="0"/>
          <w:sz w:val="32"/>
          <w:szCs w:val="32"/>
          <w:lang w:bidi="en-US"/>
        </w:rPr>
        <w:t>一、</w:t>
      </w:r>
      <w:r>
        <w:rPr>
          <w:rFonts w:hint="eastAsia" w:ascii="仿宋" w:hAnsi="仿宋" w:eastAsia="仿宋"/>
          <w:sz w:val="32"/>
          <w:szCs w:val="32"/>
        </w:rPr>
        <w:t>湖南</w:t>
      </w:r>
      <w:r>
        <w:rPr>
          <w:rFonts w:hint="eastAsia" w:ascii="仿宋" w:hAnsi="仿宋" w:eastAsia="仿宋"/>
          <w:color w:val="000000"/>
          <w:sz w:val="32"/>
          <w:szCs w:val="32"/>
        </w:rPr>
        <w:t>东为化工新材料有限公司位于</w:t>
      </w:r>
      <w:r>
        <w:rPr>
          <w:rFonts w:ascii="仿宋" w:hAnsi="仿宋" w:eastAsia="仿宋"/>
          <w:color w:val="000000"/>
          <w:sz w:val="32"/>
          <w:szCs w:val="32"/>
        </w:rPr>
        <w:t>岳阳市云溪区绿色化工产业园</w:t>
      </w:r>
      <w:r>
        <w:rPr>
          <w:rFonts w:hint="eastAsia" w:ascii="仿宋" w:hAnsi="仿宋" w:eastAsia="仿宋"/>
          <w:color w:val="000000"/>
          <w:sz w:val="32"/>
          <w:szCs w:val="32"/>
        </w:rPr>
        <w:t>，拟在现有厂区车间内投资7000</w:t>
      </w:r>
      <w:r>
        <w:rPr>
          <w:rFonts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</w:rPr>
        <w:t>建设5500吨/年交联剂系列产品及3500吨/年氰酸钠项目，其中环保投资180万元，项目以氰酸钠、氯丙烯、二甲基甲酰胺（DMF）、乙酸乙酯、三羟甲基丙烷（TMP）、季戊四醇等为主要原辅材料，通过合成、脱溶等工序生产TAIC（三烯丙基异氰尿酸酯）、</w:t>
      </w:r>
      <w:r>
        <w:rPr>
          <w:rFonts w:ascii="仿宋" w:hAnsi="仿宋" w:eastAsia="仿宋"/>
          <w:color w:val="000000"/>
          <w:sz w:val="32"/>
          <w:szCs w:val="32"/>
        </w:rPr>
        <w:t>TMPDE</w:t>
      </w:r>
      <w:r>
        <w:rPr>
          <w:rFonts w:hint="eastAsia" w:ascii="仿宋" w:hAnsi="仿宋" w:eastAsia="仿宋"/>
          <w:color w:val="000000"/>
          <w:sz w:val="32"/>
          <w:szCs w:val="32"/>
        </w:rPr>
        <w:t>（三羟甲基丙烷二烯丙基醚）、APE（季戊四醇三烯丙基醚）、氰酸钠及相关副产品；</w:t>
      </w:r>
      <w:r>
        <w:rPr>
          <w:rFonts w:hint="eastAsia" w:ascii="仿宋" w:hAnsi="仿宋" w:eastAsia="仿宋"/>
          <w:kern w:val="0"/>
          <w:sz w:val="32"/>
          <w:szCs w:val="32"/>
          <w:lang w:bidi="en-US"/>
        </w:rPr>
        <w:t>主要建设内容为：利用现有生产车间新建交联剂装置、</w:t>
      </w:r>
      <w:r>
        <w:rPr>
          <w:rFonts w:hint="eastAsia" w:ascii="仿宋" w:hAnsi="仿宋" w:eastAsia="仿宋"/>
          <w:color w:val="000000"/>
          <w:sz w:val="32"/>
          <w:szCs w:val="32"/>
        </w:rPr>
        <w:t>氰酸钠装置各一套，新增10t/h天然气锅炉1台，</w:t>
      </w:r>
      <w:r>
        <w:rPr>
          <w:rFonts w:hint="eastAsia" w:ascii="仿宋" w:hAnsi="仿宋" w:eastAsia="仿宋"/>
          <w:kern w:val="0"/>
          <w:sz w:val="32"/>
          <w:szCs w:val="32"/>
          <w:lang w:bidi="en-US"/>
        </w:rPr>
        <w:t>配套建设相关环保工程，其他公用、辅助工程依托现有。</w:t>
      </w:r>
      <w:r>
        <w:rPr>
          <w:rFonts w:hint="eastAsia" w:ascii="仿宋" w:hAnsi="仿宋" w:eastAsia="仿宋"/>
          <w:color w:val="000000"/>
          <w:sz w:val="32"/>
          <w:szCs w:val="32"/>
        </w:rPr>
        <w:t>根据湖南志远环境咨询服务有限公司编制的《湖南东为化工新材料有限公司5500吨/年交联剂系列产品及3500吨/年氰酸钠项目环境影响报</w:t>
      </w:r>
      <w:r>
        <w:rPr>
          <w:rFonts w:hint="eastAsia" w:ascii="仿宋" w:hAnsi="仿宋" w:eastAsia="仿宋"/>
          <w:sz w:val="32"/>
          <w:szCs w:val="32"/>
        </w:rPr>
        <w:t>告书（报批稿）》基本内容、结论、专家评审意见及岳阳市生态环境局云溪分局预审意见，综合考虑，我局原则同意你公司环境影响报告书中所列建设项目的环境</w:t>
      </w:r>
      <w:r>
        <w:rPr>
          <w:rFonts w:ascii="仿宋" w:hAnsi="仿宋" w:eastAsia="仿宋"/>
          <w:sz w:val="32"/>
          <w:szCs w:val="32"/>
        </w:rPr>
        <w:t>影</w:t>
      </w:r>
      <w:r>
        <w:rPr>
          <w:rFonts w:hint="eastAsia" w:ascii="仿宋" w:hAnsi="仿宋" w:eastAsia="仿宋"/>
          <w:sz w:val="32"/>
          <w:szCs w:val="32"/>
        </w:rPr>
        <w:t>响评价结论和环境保护对策措施。</w:t>
      </w:r>
    </w:p>
    <w:p>
      <w:pPr>
        <w:spacing w:line="440" w:lineRule="exact"/>
        <w:ind w:firstLine="640" w:firstLineChars="200"/>
        <w:rPr>
          <w:rFonts w:ascii="仿宋" w:hAnsi="仿宋" w:eastAsia="仿宋"/>
          <w:kern w:val="0"/>
          <w:sz w:val="32"/>
          <w:szCs w:val="32"/>
          <w:lang w:bidi="en-US"/>
        </w:rPr>
      </w:pPr>
      <w:r>
        <w:rPr>
          <w:rFonts w:hint="eastAsia" w:ascii="仿宋" w:hAnsi="仿宋" w:eastAsia="仿宋"/>
          <w:kern w:val="0"/>
          <w:sz w:val="32"/>
          <w:szCs w:val="32"/>
          <w:lang w:bidi="en-US"/>
        </w:rPr>
        <w:t>二、认真落实专家及环境影响报告书中提出的各项污染防治措施，并应着重注意以下问题：</w:t>
      </w:r>
    </w:p>
    <w:p>
      <w:pPr>
        <w:shd w:val="clear" w:color="auto" w:fill="FFFFFF"/>
        <w:spacing w:line="440" w:lineRule="exact"/>
        <w:ind w:firstLine="660"/>
        <w:rPr>
          <w:rFonts w:ascii="仿宋" w:hAnsi="仿宋" w:eastAsia="仿宋" w:cs="_4eff_5b8b_GB2312"/>
          <w:bCs/>
          <w:sz w:val="32"/>
          <w:szCs w:val="32"/>
        </w:rPr>
      </w:pPr>
      <w:bookmarkStart w:id="0" w:name="OLE_LINK4"/>
      <w:r>
        <w:rPr>
          <w:rFonts w:hint="eastAsia" w:ascii="仿宋" w:hAnsi="仿宋" w:eastAsia="仿宋" w:cs="_4eff_5b8b_GB2312"/>
          <w:bCs/>
          <w:sz w:val="32"/>
          <w:szCs w:val="32"/>
        </w:rPr>
        <w:t>1、</w:t>
      </w:r>
      <w:r>
        <w:rPr>
          <w:rFonts w:hint="eastAsia" w:ascii="仿宋" w:hAnsi="仿宋" w:eastAsia="仿宋"/>
          <w:color w:val="000000"/>
          <w:sz w:val="32"/>
          <w:szCs w:val="32"/>
        </w:rPr>
        <w:t>废水污染防治工作。严格按照“雨污分流、清污分流”的原则规范建设厂区雨水及污水管网。生产废水、清洗废水、真空泵机组废水经处理，满足《石油化学工业污染物排放标准》（GB31571-2015）表1间接排放标准限值和园区污水处理厂处理接管水质要求后，经园区污水管网排入云溪区污水处理厂进行处理；蒸汽冷凝水经收集后回用，不外排</w:t>
      </w:r>
      <w:r>
        <w:rPr>
          <w:rFonts w:hint="eastAsia" w:ascii="仿宋" w:hAnsi="仿宋" w:eastAsia="仿宋" w:cs="_4eff_5b8b_GB2312"/>
          <w:bCs/>
          <w:sz w:val="32"/>
          <w:szCs w:val="32"/>
        </w:rPr>
        <w:t>。</w:t>
      </w:r>
    </w:p>
    <w:p>
      <w:pPr>
        <w:shd w:val="clear" w:color="auto" w:fill="FFFFFF"/>
        <w:spacing w:line="440" w:lineRule="exact"/>
        <w:ind w:firstLine="660"/>
        <w:rPr>
          <w:rFonts w:ascii="仿宋" w:hAnsi="仿宋" w:eastAsia="仿宋" w:cs="_4eff_5b8b_GB2312"/>
          <w:bCs/>
          <w:sz w:val="32"/>
          <w:szCs w:val="32"/>
        </w:rPr>
      </w:pPr>
      <w:bookmarkStart w:id="1" w:name="OLE_LINK9"/>
      <w:r>
        <w:rPr>
          <w:rFonts w:eastAsia="仿宋"/>
          <w:bCs/>
          <w:color w:val="000000"/>
          <w:sz w:val="32"/>
          <w:szCs w:val="32"/>
        </w:rPr>
        <w:t>按照分区防控的原则落实报告书提出地下水污染防治措施，做好生产车间</w:t>
      </w:r>
      <w:r>
        <w:rPr>
          <w:rFonts w:hint="eastAsia" w:eastAsia="仿宋"/>
          <w:bCs/>
          <w:color w:val="000000"/>
          <w:sz w:val="32"/>
          <w:szCs w:val="32"/>
        </w:rPr>
        <w:t>的</w:t>
      </w:r>
      <w:r>
        <w:rPr>
          <w:rFonts w:eastAsia="仿宋"/>
          <w:bCs/>
          <w:color w:val="000000"/>
          <w:sz w:val="32"/>
          <w:szCs w:val="32"/>
        </w:rPr>
        <w:t>防渗工作，强化管理，避免由于泄漏等造成污染物下渗污染地下水；根据《环境影响评价技术导则地下水环境》（HJ610-2016）要求，跟踪监测地下水质情况，确保地下水环境安全。</w:t>
      </w:r>
    </w:p>
    <w:p>
      <w:pPr>
        <w:shd w:val="clear" w:color="auto" w:fill="FFFFFF"/>
        <w:spacing w:line="440" w:lineRule="exact"/>
        <w:ind w:firstLine="645"/>
        <w:rPr>
          <w:rFonts w:ascii="仿宋" w:hAnsi="仿宋" w:eastAsia="仿宋" w:cs="_4eff_5b8b_GB2312"/>
          <w:bCs/>
          <w:sz w:val="32"/>
          <w:szCs w:val="32"/>
        </w:rPr>
      </w:pPr>
      <w:r>
        <w:rPr>
          <w:rFonts w:hint="eastAsia" w:ascii="仿宋" w:hAnsi="仿宋" w:eastAsia="仿宋" w:cs="_4eff_5b8b_GB2312"/>
          <w:bCs/>
          <w:sz w:val="32"/>
          <w:szCs w:val="32"/>
        </w:rPr>
        <w:t>2</w:t>
      </w:r>
      <w:r>
        <w:rPr>
          <w:rFonts w:ascii="仿宋" w:hAnsi="仿宋" w:eastAsia="仿宋" w:cs="_4eff_5b8b_GB2312"/>
          <w:bCs/>
          <w:sz w:val="32"/>
          <w:szCs w:val="32"/>
        </w:rPr>
        <w:t>、</w:t>
      </w:r>
      <w:r>
        <w:rPr>
          <w:rFonts w:eastAsia="仿宋"/>
          <w:bCs/>
          <w:color w:val="000000"/>
          <w:sz w:val="32"/>
          <w:szCs w:val="32"/>
        </w:rPr>
        <w:t>严格控制项目废气污染，加强日常监管，定期对设备、管道、阀门等进行维护和管理，杜绝生产过程中的跑、冒、滴、漏，最大限度减少生产过程中的废气无组织排放</w:t>
      </w:r>
      <w:r>
        <w:rPr>
          <w:rFonts w:hint="eastAsia" w:eastAsia="仿宋"/>
          <w:bCs/>
          <w:color w:val="000000"/>
          <w:sz w:val="32"/>
          <w:szCs w:val="32"/>
        </w:rPr>
        <w:t>，厂界颗粒物、非甲烷总烃执行《石油化学工业污染物排放标准》（GB31571-2015）中表7规定的大气污染物排放限值标准，氨气执行《恶臭污染物排放标准》（GB14554-93）表1中的标准限值要求，厂区内无组织排放执行《挥发性有机物无组织排放控制标准》（GB 37822—2019）要求；交联剂装置合成冷凝尾气、氰酸钠装置合成尾气经处理，非甲烷总烃、氯丙烯、二甲基甲酰胺满足《石油化学工业污染物排放标准》（GB31571-2015）中标准限值要求，氨气满足《恶臭污染物排放标准》（GB14554-93）标准限值要求；锅炉执行《锅炉大气污染物排放标准》（GB13271-2014）中表3燃气锅炉大气污染物特别排放限值要求。</w:t>
      </w:r>
    </w:p>
    <w:p>
      <w:pPr>
        <w:shd w:val="clear" w:color="auto" w:fill="FFFFFF"/>
        <w:spacing w:line="440" w:lineRule="exact"/>
        <w:ind w:firstLine="660"/>
        <w:rPr>
          <w:rFonts w:ascii="仿宋" w:hAnsi="仿宋" w:eastAsia="仿宋" w:cs="_4eff_5b8b_GB2312"/>
          <w:bCs/>
          <w:sz w:val="32"/>
          <w:szCs w:val="32"/>
        </w:rPr>
      </w:pPr>
      <w:r>
        <w:rPr>
          <w:rFonts w:hint="eastAsia" w:ascii="仿宋" w:hAnsi="仿宋" w:eastAsia="仿宋" w:cs="_4eff_5b8b_GB2312"/>
          <w:bCs/>
          <w:sz w:val="32"/>
          <w:szCs w:val="32"/>
        </w:rPr>
        <w:t>3</w:t>
      </w:r>
      <w:r>
        <w:rPr>
          <w:rFonts w:ascii="仿宋" w:hAnsi="仿宋" w:eastAsia="仿宋" w:cs="_4eff_5b8b_GB2312"/>
          <w:bCs/>
          <w:sz w:val="32"/>
          <w:szCs w:val="32"/>
        </w:rPr>
        <w:t>、噪声污染防治工作。</w:t>
      </w:r>
      <w:r>
        <w:rPr>
          <w:rFonts w:hint="eastAsia" w:ascii="仿宋" w:hAnsi="仿宋" w:eastAsia="仿宋"/>
          <w:color w:val="000000"/>
          <w:sz w:val="32"/>
          <w:szCs w:val="32"/>
        </w:rPr>
        <w:t>采用低噪声设备，合理安排工作时间，对产生噪声的设备和工序进行合理布局，对主要的声源设备采取隔声、减震措施，确保厂界噪声达到《工业企业厂界环境噪声排放标准》(GB12348-2008)中的3类标准要求。</w:t>
      </w:r>
    </w:p>
    <w:p>
      <w:pPr>
        <w:shd w:val="clear" w:color="auto" w:fill="FFFFFF"/>
        <w:spacing w:line="440" w:lineRule="exact"/>
        <w:ind w:firstLine="645"/>
        <w:rPr>
          <w:rFonts w:ascii="仿宋" w:hAnsi="仿宋" w:eastAsia="仿宋" w:cs="_4eff_5b8b_GB2312"/>
          <w:bCs/>
          <w:sz w:val="32"/>
          <w:szCs w:val="32"/>
        </w:rPr>
      </w:pPr>
      <w:r>
        <w:rPr>
          <w:rFonts w:hint="eastAsia" w:ascii="仿宋" w:hAnsi="仿宋" w:eastAsia="仿宋" w:cs="_4eff_5b8b_GB2312"/>
          <w:bCs/>
          <w:sz w:val="32"/>
          <w:szCs w:val="32"/>
        </w:rPr>
        <w:t>4</w:t>
      </w:r>
      <w:r>
        <w:rPr>
          <w:rFonts w:ascii="仿宋" w:hAnsi="仿宋" w:eastAsia="仿宋" w:cs="_4eff_5b8b_GB2312"/>
          <w:bCs/>
          <w:sz w:val="32"/>
          <w:szCs w:val="32"/>
        </w:rPr>
        <w:t>、固体废物防治工作。按“无害化、减量化、资源化”原则，做好固体废物的分类收集</w:t>
      </w:r>
      <w:r>
        <w:rPr>
          <w:rFonts w:hint="eastAsia" w:ascii="仿宋" w:hAnsi="仿宋" w:eastAsia="仿宋" w:cs="_4eff_5b8b_GB2312"/>
          <w:bCs/>
          <w:sz w:val="32"/>
          <w:szCs w:val="32"/>
        </w:rPr>
        <w:t>、贮存、处置、管理工作</w:t>
      </w:r>
      <w:r>
        <w:rPr>
          <w:rFonts w:ascii="仿宋" w:hAnsi="仿宋" w:eastAsia="仿宋" w:cs="_4eff_5b8b_GB2312"/>
          <w:bCs/>
          <w:sz w:val="32"/>
          <w:szCs w:val="32"/>
        </w:rPr>
        <w:t>，</w:t>
      </w:r>
      <w:r>
        <w:rPr>
          <w:rFonts w:hint="eastAsia" w:ascii="仿宋" w:hAnsi="仿宋" w:eastAsia="仿宋" w:cs="_4eff_5b8b_GB2312"/>
          <w:sz w:val="32"/>
          <w:szCs w:val="32"/>
        </w:rPr>
        <w:t>建立</w:t>
      </w:r>
      <w:r>
        <w:rPr>
          <w:rFonts w:ascii="仿宋" w:hAnsi="仿宋" w:eastAsia="仿宋" w:cs="_4eff_5b8b_GB2312"/>
          <w:sz w:val="32"/>
          <w:szCs w:val="32"/>
        </w:rPr>
        <w:t>台账；按照《危险废物贮存污染控制标准》（GB18597-2001）及其修改单中相关要求</w:t>
      </w:r>
      <w:r>
        <w:rPr>
          <w:rFonts w:hint="eastAsia" w:ascii="仿宋" w:hAnsi="仿宋" w:eastAsia="仿宋"/>
          <w:color w:val="000000"/>
          <w:sz w:val="32"/>
          <w:szCs w:val="32"/>
        </w:rPr>
        <w:t>管理</w:t>
      </w:r>
      <w:r>
        <w:rPr>
          <w:rFonts w:hint="eastAsia" w:ascii="仿宋" w:hAnsi="仿宋" w:eastAsia="仿宋" w:cs="_4eff_5b8b_GB2312"/>
          <w:sz w:val="32"/>
          <w:szCs w:val="32"/>
        </w:rPr>
        <w:t>危险废物</w:t>
      </w:r>
      <w:r>
        <w:rPr>
          <w:rFonts w:ascii="仿宋" w:hAnsi="仿宋" w:eastAsia="仿宋" w:cs="_4eff_5b8b_GB2312"/>
          <w:sz w:val="32"/>
          <w:szCs w:val="32"/>
        </w:rPr>
        <w:t>暂存间，</w:t>
      </w:r>
      <w:r>
        <w:rPr>
          <w:rFonts w:hint="eastAsia" w:ascii="仿宋" w:hAnsi="仿宋" w:eastAsia="仿宋"/>
          <w:color w:val="000000"/>
          <w:sz w:val="32"/>
          <w:szCs w:val="32"/>
        </w:rPr>
        <w:t>废废活性炭、废矿物油</w:t>
      </w:r>
      <w:r>
        <w:rPr>
          <w:rFonts w:hint="eastAsia" w:ascii="仿宋" w:hAnsi="仿宋" w:eastAsia="仿宋" w:cs="_4eff_5b8b_GB2312"/>
          <w:sz w:val="32"/>
          <w:szCs w:val="32"/>
        </w:rPr>
        <w:t>等危险废物应收集后交有资质的单位处置，并落实转移联单制度</w:t>
      </w:r>
      <w:r>
        <w:rPr>
          <w:rFonts w:ascii="仿宋" w:hAnsi="仿宋" w:eastAsia="仿宋" w:cs="_4eff_5b8b_GB2312"/>
          <w:sz w:val="32"/>
          <w:szCs w:val="32"/>
        </w:rPr>
        <w:t>；</w:t>
      </w:r>
      <w:r>
        <w:rPr>
          <w:rFonts w:hint="eastAsia" w:ascii="仿宋" w:hAnsi="仿宋" w:eastAsia="仿宋" w:cs="_4eff_5b8b_GB2312"/>
          <w:bCs/>
          <w:sz w:val="32"/>
          <w:szCs w:val="32"/>
        </w:rPr>
        <w:t>按《一般工业固体废物贮存、处置场污染控制标准（GB18599-2001）》和2013年修改单标准要求管理一般固体废物暂存场，</w:t>
      </w:r>
      <w:r>
        <w:rPr>
          <w:rFonts w:hint="eastAsia" w:ascii="仿宋" w:hAnsi="仿宋" w:eastAsia="仿宋"/>
          <w:color w:val="000000"/>
          <w:sz w:val="32"/>
          <w:szCs w:val="32"/>
        </w:rPr>
        <w:t>废包装袋分类收集</w:t>
      </w:r>
      <w:r>
        <w:rPr>
          <w:rFonts w:hint="eastAsia" w:ascii="仿宋" w:hAnsi="仿宋" w:eastAsia="仿宋" w:cs="_4eff_5b8b_GB2312"/>
          <w:bCs/>
          <w:sz w:val="32"/>
          <w:szCs w:val="32"/>
        </w:rPr>
        <w:t>后综合利用；</w:t>
      </w:r>
      <w:r>
        <w:rPr>
          <w:rFonts w:ascii="仿宋" w:hAnsi="仿宋" w:eastAsia="仿宋" w:cs="_4eff_5b8b_GB2312"/>
          <w:bCs/>
          <w:sz w:val="32"/>
          <w:szCs w:val="32"/>
        </w:rPr>
        <w:t>生活垃圾交由环卫部门统一收集处理。</w:t>
      </w:r>
    </w:p>
    <w:p>
      <w:pPr>
        <w:shd w:val="clear" w:color="auto" w:fill="FFFFFF"/>
        <w:spacing w:line="440" w:lineRule="exact"/>
        <w:ind w:firstLine="645"/>
        <w:rPr>
          <w:rFonts w:ascii="仿宋" w:hAnsi="仿宋" w:eastAsia="仿宋" w:cs="_4eff_5b8b_GB2312"/>
          <w:bCs/>
          <w:sz w:val="32"/>
          <w:szCs w:val="32"/>
        </w:rPr>
      </w:pPr>
      <w:r>
        <w:rPr>
          <w:rFonts w:hint="eastAsia" w:ascii="仿宋" w:hAnsi="仿宋" w:eastAsia="仿宋" w:cs="_4eff_5b8b_GB2312"/>
          <w:bCs/>
          <w:sz w:val="32"/>
          <w:szCs w:val="32"/>
        </w:rPr>
        <w:t>5</w:t>
      </w:r>
      <w:r>
        <w:rPr>
          <w:rFonts w:ascii="仿宋" w:hAnsi="仿宋" w:eastAsia="仿宋" w:cs="_4eff_5b8b_GB2312"/>
          <w:bCs/>
          <w:sz w:val="32"/>
          <w:szCs w:val="32"/>
        </w:rPr>
        <w:t>、</w:t>
      </w:r>
      <w:r>
        <w:rPr>
          <w:rFonts w:hint="eastAsia" w:ascii="仿宋" w:hAnsi="仿宋" w:eastAsia="仿宋" w:cs="_4eff_5b8b_GB2312"/>
          <w:bCs/>
          <w:sz w:val="32"/>
          <w:szCs w:val="32"/>
        </w:rPr>
        <w:t>加强营运期风险防范，落实各项风险防范措施。加强设施设备的维护和管理，严格按照《突发环境事件应急预案管理暂行办法》制定事故环境应急预案，储备风险救助物资并组织演练，杜绝环境风险事故发生</w:t>
      </w:r>
      <w:r>
        <w:rPr>
          <w:rFonts w:ascii="仿宋" w:hAnsi="仿宋" w:eastAsia="仿宋" w:cs="_4eff_5b8b_GB2312"/>
          <w:bCs/>
          <w:sz w:val="32"/>
          <w:szCs w:val="32"/>
        </w:rPr>
        <w:t>。</w:t>
      </w:r>
    </w:p>
    <w:p>
      <w:pPr>
        <w:shd w:val="clear" w:color="auto" w:fill="FFFFFF"/>
        <w:spacing w:line="440" w:lineRule="exact"/>
        <w:ind w:firstLine="645"/>
        <w:rPr>
          <w:rFonts w:ascii="仿宋" w:hAnsi="仿宋" w:eastAsia="仿宋" w:cs="_4eff_5b8b_GB2312"/>
          <w:bCs/>
          <w:sz w:val="32"/>
          <w:szCs w:val="32"/>
        </w:rPr>
      </w:pPr>
      <w:r>
        <w:rPr>
          <w:rFonts w:hint="eastAsia" w:ascii="仿宋" w:hAnsi="仿宋" w:eastAsia="仿宋" w:cs="_4eff_5b8b_GB2312"/>
          <w:bCs/>
          <w:sz w:val="32"/>
          <w:szCs w:val="32"/>
        </w:rPr>
        <w:t>6</w:t>
      </w:r>
      <w:r>
        <w:rPr>
          <w:rFonts w:ascii="仿宋" w:hAnsi="仿宋" w:eastAsia="仿宋" w:cs="_4eff_5b8b_GB2312"/>
          <w:bCs/>
          <w:sz w:val="32"/>
          <w:szCs w:val="32"/>
        </w:rPr>
        <w:t>、加强环境管理，</w:t>
      </w:r>
      <w:r>
        <w:rPr>
          <w:rFonts w:hint="eastAsia" w:ascii="仿宋" w:hAnsi="仿宋" w:eastAsia="仿宋"/>
          <w:color w:val="000000"/>
          <w:sz w:val="32"/>
          <w:szCs w:val="32"/>
        </w:rPr>
        <w:t>建立健全的污染防治设施运行管理台帐，设专门的环保机构，配备专人负责环保工作，确保各项污染防治设施正常运行，各类污染物稳定达标排放</w:t>
      </w:r>
      <w:r>
        <w:rPr>
          <w:rFonts w:ascii="仿宋" w:hAnsi="仿宋" w:eastAsia="仿宋" w:cs="_4eff_5b8b_GB2312"/>
          <w:bCs/>
          <w:sz w:val="32"/>
          <w:szCs w:val="32"/>
        </w:rPr>
        <w:t>。</w:t>
      </w:r>
    </w:p>
    <w:p>
      <w:pPr>
        <w:shd w:val="clear" w:color="auto" w:fill="FFFFFF"/>
        <w:spacing w:line="440" w:lineRule="exact"/>
        <w:ind w:firstLine="645"/>
        <w:rPr>
          <w:rFonts w:ascii="仿宋" w:hAnsi="仿宋" w:eastAsia="仿宋" w:cs="_4eff_5b8b_GB2312"/>
          <w:bCs/>
          <w:sz w:val="32"/>
          <w:szCs w:val="32"/>
        </w:rPr>
      </w:pPr>
      <w:r>
        <w:rPr>
          <w:rFonts w:hint="eastAsia" w:ascii="仿宋" w:hAnsi="仿宋" w:eastAsia="仿宋" w:cs="_4eff_5b8b_GB2312"/>
          <w:bCs/>
          <w:sz w:val="32"/>
          <w:szCs w:val="32"/>
        </w:rPr>
        <w:t>7</w:t>
      </w:r>
      <w:r>
        <w:rPr>
          <w:rFonts w:ascii="仿宋" w:hAnsi="仿宋" w:eastAsia="仿宋" w:cs="_4eff_5b8b_GB2312"/>
          <w:bCs/>
          <w:sz w:val="32"/>
          <w:szCs w:val="32"/>
        </w:rPr>
        <w:t>、</w:t>
      </w:r>
      <w:r>
        <w:rPr>
          <w:rFonts w:hint="eastAsia" w:ascii="仿宋" w:hAnsi="仿宋" w:eastAsia="仿宋" w:cs="_4eff_5b8b_GB2312"/>
          <w:bCs/>
          <w:sz w:val="32"/>
          <w:szCs w:val="32"/>
        </w:rPr>
        <w:t>本项目</w:t>
      </w:r>
      <w:r>
        <w:rPr>
          <w:rFonts w:hint="eastAsia" w:ascii="仿宋" w:hAnsi="仿宋" w:eastAsia="仿宋"/>
          <w:color w:val="000000"/>
          <w:sz w:val="32"/>
          <w:szCs w:val="32"/>
        </w:rPr>
        <w:t>污染物总量控制指标</w:t>
      </w:r>
      <w:r>
        <w:rPr>
          <w:rFonts w:ascii="仿宋" w:hAnsi="仿宋" w:eastAsia="仿宋" w:cs="_4eff_5b8b_GB2312"/>
          <w:bCs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COD</w:t>
      </w:r>
      <w:r>
        <w:rPr>
          <w:rFonts w:hint="eastAsia" w:ascii="仿宋" w:hAnsi="仿宋" w:eastAsia="仿宋"/>
          <w:color w:val="000000"/>
          <w:sz w:val="32"/>
          <w:szCs w:val="32"/>
        </w:rPr>
        <w:t>≤</w:t>
      </w:r>
      <w:r>
        <w:rPr>
          <w:rFonts w:ascii="仿宋" w:hAnsi="仿宋" w:eastAsia="仿宋"/>
          <w:color w:val="000000"/>
          <w:sz w:val="32"/>
          <w:szCs w:val="32"/>
        </w:rPr>
        <w:t>0.</w:t>
      </w:r>
      <w:r>
        <w:rPr>
          <w:rFonts w:hint="eastAsia" w:ascii="仿宋" w:hAnsi="仿宋" w:eastAsia="仿宋"/>
          <w:color w:val="000000"/>
          <w:sz w:val="32"/>
          <w:szCs w:val="32"/>
        </w:rPr>
        <w:t>3、氨氮≤</w:t>
      </w:r>
      <w:r>
        <w:rPr>
          <w:rFonts w:ascii="仿宋" w:hAnsi="仿宋" w:eastAsia="仿宋"/>
          <w:color w:val="000000"/>
          <w:sz w:val="32"/>
          <w:szCs w:val="32"/>
        </w:rPr>
        <w:t>0.1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SO</w:t>
      </w:r>
      <w:r>
        <w:rPr>
          <w:rFonts w:ascii="仿宋" w:hAnsi="仿宋" w:eastAsia="仿宋"/>
          <w:color w:val="000000"/>
          <w:sz w:val="32"/>
          <w:szCs w:val="32"/>
          <w:vertAlign w:val="subscript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≤</w:t>
      </w: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9、</w:t>
      </w:r>
      <w:r>
        <w:rPr>
          <w:rFonts w:ascii="仿宋" w:hAnsi="仿宋" w:eastAsia="仿宋"/>
          <w:color w:val="000000"/>
          <w:sz w:val="32"/>
          <w:szCs w:val="32"/>
        </w:rPr>
        <w:t>NOx</w:t>
      </w:r>
      <w:r>
        <w:rPr>
          <w:rFonts w:hint="eastAsia" w:ascii="仿宋" w:hAnsi="仿宋" w:eastAsia="仿宋"/>
          <w:color w:val="000000"/>
          <w:sz w:val="32"/>
          <w:szCs w:val="32"/>
        </w:rPr>
        <w:t>≤</w:t>
      </w:r>
      <w:r>
        <w:rPr>
          <w:rFonts w:ascii="仿宋" w:hAnsi="仿宋" w:eastAsia="仿宋"/>
          <w:color w:val="000000"/>
          <w:sz w:val="32"/>
          <w:szCs w:val="32"/>
        </w:rPr>
        <w:t>6.</w:t>
      </w:r>
      <w:r>
        <w:rPr>
          <w:rFonts w:hint="eastAsia" w:ascii="仿宋" w:hAnsi="仿宋" w:eastAsia="仿宋"/>
          <w:color w:val="000000"/>
          <w:sz w:val="32"/>
          <w:szCs w:val="32"/>
        </w:rPr>
        <w:t>8、VOCs≤</w:t>
      </w:r>
      <w:r>
        <w:rPr>
          <w:rFonts w:ascii="仿宋" w:hAnsi="仿宋" w:eastAsia="仿宋"/>
          <w:color w:val="000000"/>
          <w:sz w:val="32"/>
          <w:szCs w:val="32"/>
        </w:rPr>
        <w:t>0.</w:t>
      </w:r>
      <w:r>
        <w:rPr>
          <w:rFonts w:hint="eastAsia" w:ascii="仿宋" w:hAnsi="仿宋" w:eastAsia="仿宋"/>
          <w:color w:val="000000"/>
          <w:sz w:val="32"/>
          <w:szCs w:val="32"/>
        </w:rPr>
        <w:t>4t/a</w:t>
      </w:r>
      <w:r>
        <w:rPr>
          <w:rFonts w:ascii="仿宋" w:hAnsi="仿宋" w:eastAsia="仿宋" w:cs="_4eff_5b8b_GB2312"/>
          <w:bCs/>
          <w:sz w:val="32"/>
          <w:szCs w:val="32"/>
        </w:rPr>
        <w:t>。</w:t>
      </w:r>
      <w:bookmarkEnd w:id="0"/>
      <w:bookmarkEnd w:id="1"/>
    </w:p>
    <w:p>
      <w:pPr>
        <w:shd w:val="clear" w:color="auto" w:fill="FFFFFF"/>
        <w:spacing w:line="440" w:lineRule="exact"/>
        <w:ind w:firstLine="645"/>
        <w:rPr>
          <w:rFonts w:ascii="仿宋" w:hAnsi="仿宋" w:eastAsia="仿宋" w:cs="_4eff_5b8b_GB2312"/>
          <w:bCs/>
          <w:sz w:val="32"/>
          <w:szCs w:val="32"/>
        </w:rPr>
      </w:pPr>
      <w:r>
        <w:rPr>
          <w:rFonts w:hint="eastAsia" w:ascii="仿宋" w:hAnsi="仿宋" w:eastAsia="仿宋" w:cs="_4eff_5b8b_GB2312"/>
          <w:bCs/>
          <w:sz w:val="32"/>
          <w:szCs w:val="32"/>
        </w:rPr>
        <w:t>三、</w:t>
      </w:r>
      <w:r>
        <w:rPr>
          <w:rFonts w:hint="eastAsia" w:ascii="仿宋" w:hAnsi="仿宋" w:eastAsia="仿宋"/>
          <w:color w:val="000000"/>
          <w:sz w:val="32"/>
          <w:szCs w:val="32"/>
        </w:rPr>
        <w:t>你公司应收到本批复后15个工作日内，将批复及批准的环评报告文件送岳阳市生态环境局云溪分局、湖南志远环境咨询服务有限公司</w:t>
      </w:r>
      <w:r>
        <w:rPr>
          <w:rFonts w:ascii="仿宋" w:hAnsi="仿宋" w:eastAsia="仿宋" w:cs="_4eff_5b8b_GB2312"/>
          <w:bCs/>
          <w:sz w:val="32"/>
          <w:szCs w:val="32"/>
        </w:rPr>
        <w:t>。</w:t>
      </w:r>
    </w:p>
    <w:p>
      <w:pPr>
        <w:shd w:val="clear" w:color="auto" w:fill="FFFFFF"/>
        <w:spacing w:line="440" w:lineRule="exact"/>
        <w:ind w:firstLine="645"/>
        <w:rPr>
          <w:rFonts w:ascii="仿宋" w:hAnsi="仿宋" w:eastAsia="仿宋" w:cs="_4eff_5b8b_GB2312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四、</w:t>
      </w:r>
      <w:r>
        <w:rPr>
          <w:rFonts w:hint="eastAsia" w:ascii="仿宋" w:hAnsi="仿宋" w:eastAsia="仿宋" w:cs="_4eff_5b8b_GB2312"/>
          <w:bCs/>
          <w:sz w:val="32"/>
          <w:szCs w:val="32"/>
        </w:rPr>
        <w:t>请</w:t>
      </w:r>
      <w:r>
        <w:rPr>
          <w:rFonts w:hint="eastAsia" w:ascii="仿宋" w:hAnsi="仿宋" w:eastAsia="仿宋"/>
          <w:color w:val="000000"/>
          <w:sz w:val="32"/>
          <w:szCs w:val="32"/>
        </w:rPr>
        <w:t>岳阳市生态环境局云溪分局</w:t>
      </w:r>
      <w:r>
        <w:rPr>
          <w:rFonts w:hint="eastAsia" w:ascii="仿宋" w:hAnsi="仿宋" w:eastAsia="仿宋" w:cs="_4eff_5b8b_GB2312"/>
          <w:bCs/>
          <w:sz w:val="32"/>
          <w:szCs w:val="32"/>
        </w:rPr>
        <w:t>负责项目建设和运营期的日常环境监管</w:t>
      </w:r>
      <w:r>
        <w:rPr>
          <w:rFonts w:ascii="仿宋" w:hAnsi="仿宋" w:eastAsia="仿宋" w:cs="_4eff_5b8b_GB2312"/>
          <w:bCs/>
          <w:sz w:val="32"/>
          <w:szCs w:val="32"/>
        </w:rPr>
        <w:t>。</w:t>
      </w:r>
    </w:p>
    <w:p>
      <w:pPr>
        <w:spacing w:line="440" w:lineRule="exact"/>
        <w:jc w:val="right"/>
        <w:rPr>
          <w:rFonts w:ascii="仿宋" w:hAnsi="仿宋" w:eastAsia="仿宋"/>
          <w:kern w:val="0"/>
          <w:sz w:val="32"/>
          <w:szCs w:val="32"/>
          <w:lang w:bidi="en-US"/>
        </w:rPr>
      </w:pPr>
    </w:p>
    <w:p>
      <w:pPr>
        <w:spacing w:line="440" w:lineRule="exact"/>
        <w:jc w:val="right"/>
        <w:rPr>
          <w:rFonts w:ascii="仿宋" w:hAnsi="仿宋" w:eastAsia="仿宋"/>
          <w:kern w:val="0"/>
          <w:sz w:val="32"/>
          <w:szCs w:val="32"/>
          <w:lang w:bidi="en-US"/>
        </w:rPr>
      </w:pPr>
    </w:p>
    <w:p>
      <w:pPr>
        <w:spacing w:line="440" w:lineRule="exact"/>
        <w:jc w:val="right"/>
        <w:rPr>
          <w:rFonts w:ascii="仿宋" w:hAnsi="仿宋" w:eastAsia="仿宋"/>
          <w:kern w:val="0"/>
          <w:sz w:val="32"/>
          <w:szCs w:val="32"/>
          <w:lang w:bidi="en-US"/>
        </w:rPr>
      </w:pPr>
    </w:p>
    <w:p>
      <w:pPr>
        <w:spacing w:line="440" w:lineRule="exact"/>
        <w:jc w:val="center"/>
        <w:rPr>
          <w:rFonts w:ascii="仿宋" w:hAnsi="仿宋" w:eastAsia="仿宋"/>
          <w:kern w:val="0"/>
          <w:sz w:val="32"/>
          <w:szCs w:val="32"/>
          <w:lang w:bidi="en-US"/>
        </w:rPr>
      </w:pPr>
      <w:r>
        <w:rPr>
          <w:rFonts w:hint="eastAsia" w:ascii="仿宋" w:hAnsi="仿宋" w:eastAsia="仿宋"/>
          <w:kern w:val="0"/>
          <w:sz w:val="32"/>
          <w:szCs w:val="32"/>
          <w:lang w:bidi="en-US"/>
        </w:rPr>
        <w:t xml:space="preserve">                     </w:t>
      </w:r>
      <w:r>
        <w:rPr>
          <w:rFonts w:ascii="仿宋" w:hAnsi="仿宋" w:eastAsia="仿宋"/>
          <w:kern w:val="0"/>
          <w:sz w:val="32"/>
          <w:szCs w:val="32"/>
          <w:lang w:bidi="en-US"/>
        </w:rPr>
        <w:t>岳阳市</w:t>
      </w:r>
      <w:r>
        <w:rPr>
          <w:rFonts w:hint="eastAsia" w:ascii="仿宋" w:hAnsi="仿宋" w:eastAsia="仿宋"/>
          <w:kern w:val="0"/>
          <w:sz w:val="32"/>
          <w:szCs w:val="32"/>
          <w:lang w:bidi="en-US"/>
        </w:rPr>
        <w:t>生态环境</w:t>
      </w:r>
      <w:r>
        <w:rPr>
          <w:rFonts w:ascii="仿宋" w:hAnsi="仿宋" w:eastAsia="仿宋"/>
          <w:kern w:val="0"/>
          <w:sz w:val="32"/>
          <w:szCs w:val="32"/>
          <w:lang w:bidi="en-US"/>
        </w:rPr>
        <w:t>局</w:t>
      </w:r>
    </w:p>
    <w:tbl>
      <w:tblPr>
        <w:tblStyle w:val="5"/>
        <w:tblpPr w:leftFromText="180" w:rightFromText="180" w:vertAnchor="page" w:horzAnchor="margin" w:tblpXSpec="left" w:tblpY="14221"/>
        <w:tblW w:w="891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hd w:val="clear" w:color="auto" w:fill="FFFFFF"/>
              <w:spacing w:line="440" w:lineRule="exact"/>
              <w:ind w:left="800" w:hanging="800" w:hanging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_4eff_5b8b_GB2312"/>
                <w:bCs/>
                <w:sz w:val="32"/>
                <w:szCs w:val="32"/>
              </w:rPr>
              <w:t>抄送</w:t>
            </w:r>
            <w:r>
              <w:rPr>
                <w:rFonts w:ascii="仿宋" w:hAnsi="仿宋" w:eastAsia="仿宋" w:cs="_4eff_5b8b_GB2312"/>
                <w:bCs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岳阳市生态环境局云溪分局、湖南志远环境咨询服务有限公司</w:t>
            </w:r>
          </w:p>
        </w:tc>
      </w:tr>
    </w:tbl>
    <w:p>
      <w:pPr>
        <w:spacing w:line="440" w:lineRule="exact"/>
        <w:jc w:val="center"/>
        <w:rPr>
          <w:rFonts w:ascii="仿宋" w:hAnsi="仿宋" w:eastAsia="仿宋"/>
          <w:kern w:val="0"/>
          <w:sz w:val="32"/>
          <w:szCs w:val="32"/>
          <w:lang w:bidi="en-US"/>
        </w:rPr>
      </w:pPr>
      <w:r>
        <w:rPr>
          <w:rFonts w:hint="eastAsia" w:ascii="仿宋" w:hAnsi="仿宋" w:eastAsia="仿宋"/>
          <w:kern w:val="0"/>
          <w:sz w:val="32"/>
          <w:szCs w:val="32"/>
          <w:lang w:bidi="en-US"/>
        </w:rPr>
        <w:t xml:space="preserve">                     </w:t>
      </w:r>
      <w:del w:id="3" w:author="王志勤" w:date="2021-04-10T13:36:33Z">
        <w:r>
          <w:rPr>
            <w:rFonts w:hint="eastAsia" w:ascii="仿宋" w:hAnsi="仿宋" w:eastAsia="仿宋"/>
            <w:kern w:val="0"/>
            <w:sz w:val="32"/>
            <w:szCs w:val="32"/>
            <w:lang w:bidi="en-US"/>
          </w:rPr>
          <w:delText xml:space="preserve"> </w:delText>
        </w:r>
      </w:del>
      <w:r>
        <w:rPr>
          <w:rFonts w:hint="eastAsia" w:ascii="仿宋" w:hAnsi="仿宋" w:eastAsia="仿宋"/>
          <w:kern w:val="0"/>
          <w:sz w:val="32"/>
          <w:szCs w:val="32"/>
          <w:lang w:bidi="en-US"/>
        </w:rPr>
        <w:t>20</w:t>
      </w:r>
      <w:r>
        <w:rPr>
          <w:rFonts w:hint="default" w:ascii="仿宋" w:hAnsi="仿宋" w:eastAsia="仿宋"/>
          <w:kern w:val="0"/>
          <w:sz w:val="32"/>
          <w:szCs w:val="32"/>
          <w:lang w:bidi="en-US"/>
        </w:rPr>
        <w:t>21</w:t>
      </w:r>
      <w:r>
        <w:rPr>
          <w:rFonts w:hint="eastAsia" w:ascii="仿宋" w:hAnsi="仿宋" w:eastAsia="仿宋"/>
          <w:kern w:val="0"/>
          <w:sz w:val="32"/>
          <w:szCs w:val="32"/>
          <w:lang w:bidi="en-US"/>
        </w:rPr>
        <w:t>年</w:t>
      </w:r>
      <w:del w:id="4" w:author="王志勤" w:date="2021-04-10T13:36:11Z">
        <w:r>
          <w:rPr>
            <w:rFonts w:hint="default" w:ascii="仿宋" w:hAnsi="仿宋" w:eastAsia="仿宋"/>
            <w:kern w:val="0"/>
            <w:sz w:val="32"/>
            <w:szCs w:val="32"/>
            <w:lang w:val="en-US" w:bidi="en-US"/>
          </w:rPr>
          <w:delText xml:space="preserve">  </w:delText>
        </w:r>
      </w:del>
      <w:ins w:id="5" w:author="王志勤" w:date="2021-04-10T13:36:11Z">
        <w:r>
          <w:rPr>
            <w:rFonts w:hint="eastAsia" w:ascii="仿宋" w:hAnsi="仿宋" w:eastAsia="仿宋"/>
            <w:kern w:val="0"/>
            <w:sz w:val="32"/>
            <w:szCs w:val="32"/>
            <w:lang w:val="en-US" w:eastAsia="zh-CN" w:bidi="en-US"/>
          </w:rPr>
          <w:t>4</w:t>
        </w:r>
      </w:ins>
      <w:r>
        <w:rPr>
          <w:rFonts w:hint="eastAsia" w:ascii="仿宋" w:hAnsi="仿宋" w:eastAsia="仿宋"/>
          <w:kern w:val="0"/>
          <w:sz w:val="32"/>
          <w:szCs w:val="32"/>
          <w:lang w:bidi="en-US"/>
        </w:rPr>
        <w:t>月</w:t>
      </w:r>
      <w:del w:id="6" w:author="王志勤" w:date="2021-04-10T13:36:13Z">
        <w:r>
          <w:rPr>
            <w:rFonts w:hint="default" w:ascii="仿宋" w:hAnsi="仿宋" w:eastAsia="仿宋"/>
            <w:kern w:val="0"/>
            <w:sz w:val="32"/>
            <w:szCs w:val="32"/>
            <w:lang w:val="en-US" w:bidi="en-US"/>
          </w:rPr>
          <w:delText xml:space="preserve">  </w:delText>
        </w:r>
      </w:del>
      <w:ins w:id="7" w:author="王志勤" w:date="2021-04-10T13:36:13Z">
        <w:r>
          <w:rPr>
            <w:rFonts w:hint="eastAsia" w:ascii="仿宋" w:hAnsi="仿宋" w:eastAsia="仿宋"/>
            <w:kern w:val="0"/>
            <w:sz w:val="32"/>
            <w:szCs w:val="32"/>
            <w:lang w:val="en-US" w:eastAsia="zh-CN" w:bidi="en-US"/>
          </w:rPr>
          <w:t>9</w:t>
        </w:r>
      </w:ins>
      <w:r>
        <w:rPr>
          <w:rFonts w:hint="eastAsia" w:ascii="仿宋" w:hAnsi="仿宋" w:eastAsia="仿宋"/>
          <w:kern w:val="0"/>
          <w:sz w:val="32"/>
          <w:szCs w:val="32"/>
          <w:lang w:bidi="en-US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志勤">
    <w15:presenceInfo w15:providerId="None" w15:userId="王志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C4927"/>
    <w:rsid w:val="368E1FD7"/>
    <w:rsid w:val="511B4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1841</Words>
  <Characters>2035</Characters>
  <Paragraphs>32</Paragraphs>
  <TotalTime>17</TotalTime>
  <ScaleCrop>false</ScaleCrop>
  <LinksUpToDate>false</LinksUpToDate>
  <CharactersWithSpaces>2088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2021-04-07T09:24:00Z</dcterms:created>
  <dc:creator>sky</dc:creator>
  <cp:lastModifiedBy>王志勤</cp:lastModifiedBy>
  <cp:lastPrinted>2021-04-10T05:44:03Z</cp:lastPrinted>
  <dcterms:modified xsi:type="dcterms:W3CDTF">2021-04-10T05:46:22Z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_DocHome">
    <vt:i4>-1644690289</vt:i4>
  </property>
  <property fmtid="{D5CDD505-2E9C-101B-9397-08002B2CF9AE}" pid="4" name="ICV">
    <vt:lpwstr>fc9a048ac8ac4ab1a411f5f49f6e84e9</vt:lpwstr>
  </property>
</Properties>
</file>